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11E70">
      <w:pPr>
        <w:keepNext w:val="0"/>
        <w:keepLines w:val="0"/>
        <w:pageBreakBefore w:val="0"/>
        <w:kinsoku/>
        <w:overflowPunct/>
        <w:bidi w:val="0"/>
        <w:snapToGrid w:val="0"/>
        <w:spacing w:before="417" w:line="360" w:lineRule="auto"/>
        <w:ind w:right="117"/>
        <w:jc w:val="center"/>
        <w:rPr>
          <w:rFonts w:hint="eastAsia" w:ascii="仿宋" w:hAnsi="仿宋" w:eastAsia="仿宋" w:cs="仿宋"/>
          <w:color w:val="auto"/>
          <w:sz w:val="84"/>
          <w:szCs w:val="84"/>
          <w:highlight w:val="none"/>
        </w:rPr>
      </w:pPr>
      <w:r>
        <w:rPr>
          <w:rFonts w:hint="eastAsia" w:ascii="仿宋" w:hAnsi="仿宋" w:eastAsia="仿宋" w:cs="仿宋"/>
          <w:color w:val="auto"/>
          <w:sz w:val="44"/>
          <w:szCs w:val="44"/>
          <w:highlight w:val="none"/>
          <w:lang w:val="en-US" w:eastAsia="zh-CN"/>
        </w:rPr>
        <w:t>睢县住房和城乡建设局睢县城乡供排水一体化项目（一期）项目</w:t>
      </w:r>
    </w:p>
    <w:p w14:paraId="5627E98E">
      <w:pPr>
        <w:keepNext w:val="0"/>
        <w:keepLines w:val="0"/>
        <w:pageBreakBefore w:val="0"/>
        <w:kinsoku/>
        <w:overflowPunct/>
        <w:bidi w:val="0"/>
        <w:snapToGrid w:val="0"/>
        <w:spacing w:before="417" w:line="360" w:lineRule="auto"/>
        <w:ind w:right="117"/>
        <w:jc w:val="center"/>
        <w:rPr>
          <w:rFonts w:hint="eastAsia" w:ascii="仿宋" w:hAnsi="仿宋" w:eastAsia="仿宋" w:cs="仿宋"/>
          <w:color w:val="auto"/>
          <w:sz w:val="84"/>
          <w:szCs w:val="84"/>
          <w:highlight w:val="none"/>
        </w:rPr>
      </w:pPr>
      <w:r>
        <w:rPr>
          <w:rFonts w:hint="eastAsia" w:ascii="仿宋" w:hAnsi="仿宋" w:eastAsia="仿宋" w:cs="仿宋"/>
          <w:color w:val="auto"/>
          <w:sz w:val="84"/>
          <w:szCs w:val="84"/>
          <w:highlight w:val="none"/>
        </w:rPr>
        <w:t>招 标 文 件</w:t>
      </w:r>
    </w:p>
    <w:p w14:paraId="3B71DB4C">
      <w:pPr>
        <w:keepNext w:val="0"/>
        <w:keepLines w:val="0"/>
        <w:pageBreakBefore w:val="0"/>
        <w:kinsoku/>
        <w:overflowPunct/>
        <w:autoSpaceDE/>
        <w:autoSpaceDN/>
        <w:bidi w:val="0"/>
        <w:snapToGrid w:val="0"/>
        <w:spacing w:line="360" w:lineRule="auto"/>
        <w:ind w:firstLine="2400" w:firstLineChars="1000"/>
        <w:jc w:val="both"/>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u w:val="none"/>
          <w:lang w:val="en-US"/>
        </w:rPr>
        <w:t>采购</w:t>
      </w:r>
      <w:r>
        <w:rPr>
          <w:rFonts w:hint="eastAsia" w:ascii="仿宋" w:hAnsi="仿宋" w:eastAsia="仿宋" w:cs="仿宋"/>
          <w:color w:val="auto"/>
          <w:sz w:val="24"/>
          <w:szCs w:val="24"/>
          <w:highlight w:val="none"/>
          <w:u w:val="none"/>
        </w:rPr>
        <w:t>编号：</w:t>
      </w:r>
      <w:r>
        <w:rPr>
          <w:rFonts w:hint="eastAsia" w:ascii="仿宋" w:hAnsi="仿宋" w:eastAsia="仿宋" w:cs="仿宋"/>
          <w:color w:val="auto"/>
          <w:sz w:val="24"/>
          <w:szCs w:val="24"/>
          <w:highlight w:val="none"/>
          <w:u w:val="none"/>
          <w:shd w:val="clear" w:color="auto" w:fill="auto"/>
          <w:lang w:val="en-US" w:eastAsia="zh-CN"/>
        </w:rPr>
        <w:t>睢县财采招-2025-2</w:t>
      </w:r>
    </w:p>
    <w:p w14:paraId="455FC92F">
      <w:pPr>
        <w:pStyle w:val="2"/>
        <w:ind w:firstLine="2400" w:firstLineChars="1000"/>
        <w:jc w:val="both"/>
        <w:rPr>
          <w:rFonts w:hint="default"/>
          <w:sz w:val="24"/>
          <w:szCs w:val="24"/>
          <w:lang w:val="en-US" w:eastAsia="zh-CN"/>
        </w:rPr>
      </w:pPr>
      <w:r>
        <w:rPr>
          <w:rFonts w:hint="eastAsia" w:ascii="仿宋" w:hAnsi="仿宋" w:eastAsia="仿宋" w:cs="仿宋"/>
          <w:color w:val="auto"/>
          <w:sz w:val="24"/>
          <w:szCs w:val="24"/>
          <w:highlight w:val="none"/>
          <w:u w:val="none"/>
          <w:shd w:val="clear" w:color="auto" w:fill="auto"/>
          <w:lang w:val="en-US" w:eastAsia="zh-CN"/>
        </w:rPr>
        <w:t>招标编号：SXJY-CG-2024-142</w:t>
      </w:r>
    </w:p>
    <w:p w14:paraId="437B89BC">
      <w:pPr>
        <w:pStyle w:val="2"/>
        <w:rPr>
          <w:rFonts w:hint="eastAsia"/>
        </w:rPr>
      </w:pPr>
    </w:p>
    <w:p w14:paraId="59C8F6EC">
      <w:pPr>
        <w:pStyle w:val="5"/>
        <w:keepNext w:val="0"/>
        <w:keepLines w:val="0"/>
        <w:pageBreakBefore w:val="0"/>
        <w:kinsoku/>
        <w:overflowPunct/>
        <w:bidi w:val="0"/>
        <w:snapToGrid w:val="0"/>
        <w:spacing w:before="634" w:line="360" w:lineRule="auto"/>
        <w:ind w:left="256" w:right="117"/>
        <w:outlineLvl w:val="9"/>
        <w:rPr>
          <w:rFonts w:hint="eastAsia" w:ascii="仿宋" w:hAnsi="仿宋" w:eastAsia="仿宋" w:cs="仿宋"/>
          <w:color w:val="auto"/>
          <w:sz w:val="20"/>
          <w:highlight w:val="none"/>
        </w:rPr>
      </w:pPr>
      <w:bookmarkStart w:id="0" w:name="_Toc18098"/>
      <w:bookmarkStart w:id="1" w:name="_Toc23927"/>
      <w:bookmarkStart w:id="2" w:name="_Toc22201"/>
      <w:bookmarkStart w:id="3" w:name="_Toc6641"/>
      <w:r>
        <w:rPr>
          <w:rFonts w:hint="eastAsia" w:ascii="仿宋" w:hAnsi="仿宋" w:eastAsia="仿宋" w:cs="仿宋"/>
          <w:color w:val="auto"/>
          <w:highlight w:val="none"/>
        </w:rPr>
        <w:drawing>
          <wp:inline distT="0" distB="0" distL="0" distR="0">
            <wp:extent cx="2263775" cy="2221230"/>
            <wp:effectExtent l="0" t="0" r="3175" b="7620"/>
            <wp:docPr id="1811988268" name="图片 1811988268" descr="ae9fd93dce32d7e722d006f652ec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988268" name="图片 1811988268" descr="ae9fd93dce32d7e722d006f652ecd5d"/>
                    <pic:cNvPicPr>
                      <a:picLocks noChangeAspect="1"/>
                    </pic:cNvPicPr>
                  </pic:nvPicPr>
                  <pic:blipFill>
                    <a:blip r:embed="rId13"/>
                    <a:stretch>
                      <a:fillRect/>
                    </a:stretch>
                  </pic:blipFill>
                  <pic:spPr>
                    <a:xfrm>
                      <a:off x="0" y="0"/>
                      <a:ext cx="2263775" cy="2221230"/>
                    </a:xfrm>
                    <a:prstGeom prst="rect">
                      <a:avLst/>
                    </a:prstGeom>
                    <a:noFill/>
                    <a:ln>
                      <a:noFill/>
                    </a:ln>
                  </pic:spPr>
                </pic:pic>
              </a:graphicData>
            </a:graphic>
          </wp:inline>
        </w:drawing>
      </w:r>
      <w:bookmarkEnd w:id="0"/>
      <w:bookmarkEnd w:id="1"/>
      <w:bookmarkEnd w:id="2"/>
      <w:bookmarkEnd w:id="3"/>
    </w:p>
    <w:p w14:paraId="372026A8">
      <w:pPr>
        <w:keepNext w:val="0"/>
        <w:keepLines w:val="0"/>
        <w:pageBreakBefore w:val="0"/>
        <w:tabs>
          <w:tab w:val="left" w:pos="2634"/>
        </w:tabs>
        <w:kinsoku/>
        <w:overflowPunct/>
        <w:bidi w:val="0"/>
        <w:snapToGrid w:val="0"/>
        <w:spacing w:line="360" w:lineRule="auto"/>
        <w:ind w:right="-50" w:firstLine="1042" w:firstLineChars="343"/>
        <w:rPr>
          <w:rFonts w:hint="eastAsia" w:ascii="仿宋" w:hAnsi="仿宋" w:eastAsia="仿宋" w:cs="仿宋"/>
          <w:bCs/>
          <w:color w:val="auto"/>
          <w:w w:val="95"/>
          <w:sz w:val="32"/>
          <w:szCs w:val="32"/>
          <w:highlight w:val="none"/>
        </w:rPr>
      </w:pPr>
    </w:p>
    <w:p w14:paraId="378008F3">
      <w:pPr>
        <w:keepNext w:val="0"/>
        <w:keepLines w:val="0"/>
        <w:pageBreakBefore w:val="0"/>
        <w:tabs>
          <w:tab w:val="left" w:pos="2634"/>
        </w:tabs>
        <w:kinsoku/>
        <w:overflowPunct/>
        <w:bidi w:val="0"/>
        <w:snapToGrid w:val="0"/>
        <w:spacing w:line="360" w:lineRule="auto"/>
        <w:ind w:right="-50" w:firstLine="1824" w:firstLineChars="600"/>
        <w:rPr>
          <w:rFonts w:hint="eastAsia" w:ascii="仿宋" w:hAnsi="仿宋" w:eastAsia="仿宋" w:cs="仿宋"/>
          <w:bCs/>
          <w:color w:val="auto"/>
          <w:w w:val="95"/>
          <w:sz w:val="32"/>
          <w:szCs w:val="32"/>
          <w:highlight w:val="none"/>
          <w:lang w:val="en-US"/>
        </w:rPr>
      </w:pPr>
    </w:p>
    <w:p w14:paraId="77EF3A04">
      <w:pPr>
        <w:keepNext w:val="0"/>
        <w:keepLines w:val="0"/>
        <w:pageBreakBefore w:val="0"/>
        <w:tabs>
          <w:tab w:val="left" w:pos="2634"/>
        </w:tabs>
        <w:kinsoku/>
        <w:overflowPunct/>
        <w:bidi w:val="0"/>
        <w:snapToGrid w:val="0"/>
        <w:spacing w:line="360" w:lineRule="auto"/>
        <w:ind w:right="-50" w:firstLine="1824" w:firstLineChars="600"/>
        <w:rPr>
          <w:rFonts w:hint="eastAsia" w:ascii="仿宋" w:hAnsi="仿宋" w:eastAsia="仿宋" w:cs="仿宋"/>
          <w:bCs/>
          <w:color w:val="auto"/>
          <w:w w:val="95"/>
          <w:sz w:val="32"/>
          <w:szCs w:val="32"/>
          <w:highlight w:val="none"/>
          <w:lang w:eastAsia="zh-CN"/>
        </w:rPr>
      </w:pPr>
      <w:r>
        <w:rPr>
          <w:rFonts w:hint="eastAsia" w:ascii="仿宋" w:hAnsi="仿宋" w:eastAsia="仿宋" w:cs="仿宋"/>
          <w:bCs/>
          <w:color w:val="auto"/>
          <w:w w:val="95"/>
          <w:sz w:val="32"/>
          <w:szCs w:val="32"/>
          <w:highlight w:val="none"/>
          <w:lang w:val="en-US"/>
        </w:rPr>
        <w:t xml:space="preserve">采    购  </w:t>
      </w:r>
      <w:r>
        <w:rPr>
          <w:rFonts w:hint="eastAsia" w:ascii="仿宋" w:hAnsi="仿宋" w:eastAsia="仿宋" w:cs="仿宋"/>
          <w:bCs/>
          <w:color w:val="auto"/>
          <w:w w:val="95"/>
          <w:sz w:val="32"/>
          <w:szCs w:val="32"/>
          <w:highlight w:val="none"/>
        </w:rPr>
        <w:t>人：</w:t>
      </w:r>
      <w:r>
        <w:rPr>
          <w:rFonts w:hint="eastAsia" w:ascii="仿宋" w:hAnsi="仿宋" w:eastAsia="仿宋" w:cs="仿宋"/>
          <w:bCs/>
          <w:color w:val="auto"/>
          <w:w w:val="95"/>
          <w:sz w:val="32"/>
          <w:szCs w:val="32"/>
          <w:highlight w:val="none"/>
          <w:lang w:eastAsia="zh-CN"/>
        </w:rPr>
        <w:t>睢县住房和城乡建设局</w:t>
      </w:r>
    </w:p>
    <w:p w14:paraId="01E11200">
      <w:pPr>
        <w:keepNext w:val="0"/>
        <w:keepLines w:val="0"/>
        <w:pageBreakBefore w:val="0"/>
        <w:tabs>
          <w:tab w:val="left" w:pos="2634"/>
        </w:tabs>
        <w:kinsoku/>
        <w:overflowPunct/>
        <w:bidi w:val="0"/>
        <w:snapToGrid w:val="0"/>
        <w:spacing w:line="360" w:lineRule="auto"/>
        <w:ind w:right="-50" w:firstLine="1824" w:firstLineChars="600"/>
        <w:jc w:val="both"/>
        <w:rPr>
          <w:rFonts w:hint="eastAsia" w:ascii="仿宋" w:hAnsi="仿宋" w:eastAsia="仿宋" w:cs="仿宋"/>
          <w:bCs/>
          <w:color w:val="auto"/>
          <w:w w:val="95"/>
          <w:sz w:val="32"/>
          <w:szCs w:val="32"/>
          <w:highlight w:val="none"/>
          <w:lang w:val="en-US"/>
        </w:rPr>
      </w:pPr>
      <w:r>
        <w:rPr>
          <w:rFonts w:hint="eastAsia" w:ascii="仿宋" w:hAnsi="仿宋" w:eastAsia="仿宋" w:cs="仿宋"/>
          <w:bCs/>
          <w:color w:val="auto"/>
          <w:w w:val="95"/>
          <w:sz w:val="32"/>
          <w:szCs w:val="32"/>
          <w:highlight w:val="none"/>
          <w:lang w:val="en-US"/>
        </w:rPr>
        <w:t>采购</w:t>
      </w:r>
      <w:r>
        <w:rPr>
          <w:rFonts w:hint="eastAsia" w:ascii="仿宋" w:hAnsi="仿宋" w:eastAsia="仿宋" w:cs="仿宋"/>
          <w:bCs/>
          <w:color w:val="auto"/>
          <w:w w:val="95"/>
          <w:sz w:val="32"/>
          <w:szCs w:val="32"/>
          <w:highlight w:val="none"/>
        </w:rPr>
        <w:t>代理机构：</w:t>
      </w:r>
      <w:r>
        <w:rPr>
          <w:rFonts w:hint="eastAsia" w:ascii="仿宋" w:hAnsi="仿宋" w:eastAsia="仿宋" w:cs="仿宋"/>
          <w:bCs/>
          <w:color w:val="auto"/>
          <w:w w:val="95"/>
          <w:sz w:val="32"/>
          <w:szCs w:val="32"/>
          <w:highlight w:val="none"/>
          <w:lang w:val="en-US"/>
        </w:rPr>
        <w:t>中海域安项目管理咨询有限公司</w:t>
      </w:r>
    </w:p>
    <w:p w14:paraId="0D71956F">
      <w:pPr>
        <w:keepNext w:val="0"/>
        <w:keepLines w:val="0"/>
        <w:pageBreakBefore w:val="0"/>
        <w:tabs>
          <w:tab w:val="left" w:pos="2634"/>
        </w:tabs>
        <w:kinsoku/>
        <w:overflowPunct/>
        <w:bidi w:val="0"/>
        <w:snapToGrid w:val="0"/>
        <w:spacing w:line="360" w:lineRule="auto"/>
        <w:ind w:right="-50" w:firstLine="1824" w:firstLineChars="600"/>
        <w:rPr>
          <w:rFonts w:hint="eastAsia" w:ascii="仿宋" w:hAnsi="仿宋" w:eastAsia="仿宋" w:cs="仿宋"/>
          <w:bCs/>
          <w:color w:val="auto"/>
          <w:w w:val="95"/>
          <w:sz w:val="32"/>
          <w:szCs w:val="32"/>
          <w:highlight w:val="none"/>
        </w:rPr>
      </w:pPr>
      <w:r>
        <w:rPr>
          <w:rFonts w:hint="eastAsia" w:ascii="仿宋" w:hAnsi="仿宋" w:eastAsia="仿宋" w:cs="仿宋"/>
          <w:bCs/>
          <w:color w:val="auto"/>
          <w:w w:val="95"/>
          <w:sz w:val="32"/>
          <w:szCs w:val="32"/>
          <w:highlight w:val="none"/>
        </w:rPr>
        <w:t>日</w:t>
      </w:r>
      <w:r>
        <w:rPr>
          <w:rFonts w:hint="eastAsia" w:ascii="仿宋" w:hAnsi="仿宋" w:eastAsia="仿宋" w:cs="仿宋"/>
          <w:bCs/>
          <w:color w:val="auto"/>
          <w:w w:val="95"/>
          <w:sz w:val="32"/>
          <w:szCs w:val="32"/>
          <w:highlight w:val="none"/>
          <w:lang w:val="en-US"/>
        </w:rPr>
        <w:t xml:space="preserve">        </w:t>
      </w:r>
      <w:r>
        <w:rPr>
          <w:rFonts w:hint="eastAsia" w:ascii="仿宋" w:hAnsi="仿宋" w:eastAsia="仿宋" w:cs="仿宋"/>
          <w:bCs/>
          <w:color w:val="auto"/>
          <w:w w:val="95"/>
          <w:sz w:val="32"/>
          <w:szCs w:val="32"/>
          <w:highlight w:val="none"/>
        </w:rPr>
        <w:t>期：二〇二</w:t>
      </w:r>
      <w:r>
        <w:rPr>
          <w:rFonts w:hint="eastAsia" w:ascii="仿宋" w:hAnsi="仿宋" w:eastAsia="仿宋" w:cs="仿宋"/>
          <w:bCs/>
          <w:color w:val="auto"/>
          <w:w w:val="95"/>
          <w:sz w:val="32"/>
          <w:szCs w:val="32"/>
          <w:highlight w:val="none"/>
          <w:lang w:val="en-US" w:eastAsia="zh-CN"/>
        </w:rPr>
        <w:t>五</w:t>
      </w:r>
      <w:r>
        <w:rPr>
          <w:rFonts w:hint="eastAsia" w:ascii="仿宋" w:hAnsi="仿宋" w:eastAsia="仿宋" w:cs="仿宋"/>
          <w:bCs/>
          <w:color w:val="auto"/>
          <w:w w:val="95"/>
          <w:sz w:val="32"/>
          <w:szCs w:val="32"/>
          <w:highlight w:val="none"/>
        </w:rPr>
        <w:t>年</w:t>
      </w:r>
      <w:r>
        <w:rPr>
          <w:rFonts w:hint="eastAsia" w:ascii="仿宋" w:hAnsi="仿宋" w:eastAsia="仿宋" w:cs="仿宋"/>
          <w:bCs/>
          <w:color w:val="auto"/>
          <w:w w:val="95"/>
          <w:sz w:val="32"/>
          <w:szCs w:val="32"/>
          <w:highlight w:val="none"/>
          <w:lang w:val="en-US" w:eastAsia="zh-CN"/>
        </w:rPr>
        <w:t>三</w:t>
      </w:r>
      <w:r>
        <w:rPr>
          <w:rFonts w:hint="eastAsia" w:ascii="仿宋" w:hAnsi="仿宋" w:eastAsia="仿宋" w:cs="仿宋"/>
          <w:bCs/>
          <w:color w:val="auto"/>
          <w:w w:val="95"/>
          <w:sz w:val="32"/>
          <w:szCs w:val="32"/>
          <w:highlight w:val="none"/>
        </w:rPr>
        <w:t>月</w:t>
      </w:r>
    </w:p>
    <w:p w14:paraId="106B944C">
      <w:pPr>
        <w:keepNext w:val="0"/>
        <w:keepLines w:val="0"/>
        <w:pageBreakBefore w:val="0"/>
        <w:kinsoku/>
        <w:overflowPunct/>
        <w:bidi w:val="0"/>
        <w:snapToGrid w:val="0"/>
        <w:spacing w:line="360" w:lineRule="auto"/>
        <w:rPr>
          <w:rFonts w:hint="eastAsia" w:ascii="仿宋" w:hAnsi="仿宋" w:eastAsia="仿宋" w:cs="仿宋"/>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type w:val="continuous"/>
          <w:pgSz w:w="11850" w:h="16790"/>
          <w:pgMar w:top="1600" w:right="1080" w:bottom="890" w:left="1580" w:header="720" w:footer="720" w:gutter="0"/>
          <w:cols w:space="720" w:num="1"/>
        </w:sectPr>
      </w:pPr>
    </w:p>
    <w:sdt>
      <w:sdtPr>
        <w:rPr>
          <w:rFonts w:ascii="宋体" w:hAnsi="宋体" w:eastAsia="宋体" w:cs="宋体"/>
          <w:color w:val="auto"/>
          <w:sz w:val="36"/>
          <w:szCs w:val="36"/>
          <w:highlight w:val="none"/>
          <w:lang w:val="zh-CN" w:eastAsia="zh-CN" w:bidi="zh-CN"/>
        </w:rPr>
        <w:id w:val="147463497"/>
        <w15:color w:val="DBDBDB"/>
        <w:docPartObj>
          <w:docPartGallery w:val="Table of Contents"/>
          <w:docPartUnique/>
        </w:docPartObj>
      </w:sdtPr>
      <w:sdtEndPr>
        <w:rPr>
          <w:rFonts w:ascii="宋体" w:hAnsi="宋体" w:eastAsia="宋体" w:cs="宋体"/>
          <w:b/>
          <w:color w:val="auto"/>
          <w:sz w:val="36"/>
          <w:szCs w:val="36"/>
          <w:highlight w:val="none"/>
          <w:lang w:val="zh-CN" w:eastAsia="zh-CN" w:bidi="zh-CN"/>
        </w:rPr>
      </w:sdtEndPr>
      <w:sdtContent>
        <w:p w14:paraId="28A948A7">
          <w:pPr>
            <w:keepNext w:val="0"/>
            <w:keepLines w:val="0"/>
            <w:pageBreakBefore w:val="0"/>
            <w:kinsoku/>
            <w:wordWrap/>
            <w:overflowPunct/>
            <w:topLinePunct w:val="0"/>
            <w:bidi w:val="0"/>
            <w:adjustRightInd/>
            <w:snapToGrid w:val="0"/>
            <w:spacing w:before="0" w:beforeLines="0" w:after="0" w:afterLines="0" w:line="360" w:lineRule="auto"/>
            <w:ind w:left="0" w:leftChars="0" w:right="0" w:rightChars="0" w:firstLine="0" w:firstLineChars="0"/>
            <w:jc w:val="center"/>
            <w:textAlignment w:val="auto"/>
            <w:rPr>
              <w:rFonts w:hint="eastAsia" w:ascii="仿宋" w:hAnsi="仿宋" w:eastAsia="仿宋" w:cs="仿宋"/>
              <w:b/>
              <w:color w:val="auto"/>
              <w:sz w:val="22"/>
              <w:szCs w:val="22"/>
              <w:highlight w:val="none"/>
              <w:lang w:val="zh-CN" w:eastAsia="zh-CN" w:bidi="zh-CN"/>
            </w:rPr>
          </w:pPr>
          <w:r>
            <w:rPr>
              <w:rFonts w:hint="eastAsia" w:ascii="仿宋" w:hAnsi="仿宋" w:eastAsia="仿宋" w:cs="仿宋"/>
              <w:color w:val="auto"/>
              <w:sz w:val="36"/>
              <w:szCs w:val="36"/>
              <w:highlight w:val="none"/>
            </w:rPr>
            <w:t>目录</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"1-2" \h \u </w:instrText>
          </w:r>
          <w:r>
            <w:rPr>
              <w:rFonts w:hint="eastAsia" w:ascii="仿宋" w:hAnsi="仿宋" w:eastAsia="仿宋" w:cs="仿宋"/>
              <w:color w:val="auto"/>
              <w:highlight w:val="none"/>
            </w:rPr>
            <w:fldChar w:fldCharType="separate"/>
          </w:r>
        </w:p>
        <w:p w14:paraId="1A0604EB">
          <w:pPr>
            <w:pStyle w:val="18"/>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_Toc4249 </w:instrText>
          </w:r>
          <w:r>
            <w:rPr>
              <w:rFonts w:hint="eastAsia" w:ascii="仿宋" w:hAnsi="仿宋" w:eastAsia="仿宋" w:cs="仿宋"/>
              <w:highlight w:val="none"/>
            </w:rPr>
            <w:fldChar w:fldCharType="separate"/>
          </w:r>
          <w:r>
            <w:rPr>
              <w:rFonts w:hint="eastAsia" w:ascii="仿宋" w:hAnsi="仿宋" w:eastAsia="仿宋" w:cs="仿宋"/>
              <w:bCs/>
              <w:szCs w:val="28"/>
              <w:highlight w:val="none"/>
            </w:rPr>
            <w:t>第一章</w:t>
          </w:r>
          <w:r>
            <w:rPr>
              <w:rFonts w:hint="eastAsia" w:ascii="仿宋" w:hAnsi="仿宋" w:eastAsia="仿宋" w:cs="仿宋"/>
              <w:bCs/>
              <w:szCs w:val="28"/>
              <w:highlight w:val="none"/>
              <w:lang w:val="en-US"/>
            </w:rPr>
            <w:t xml:space="preserve"> </w:t>
          </w:r>
          <w:r>
            <w:rPr>
              <w:rFonts w:hint="eastAsia" w:ascii="仿宋" w:hAnsi="仿宋" w:eastAsia="仿宋" w:cs="仿宋"/>
              <w:bCs/>
              <w:szCs w:val="28"/>
              <w:highlight w:val="none"/>
            </w:rPr>
            <w:t>招标公告</w:t>
          </w:r>
          <w:r>
            <w:tab/>
          </w:r>
          <w:r>
            <w:fldChar w:fldCharType="begin"/>
          </w:r>
          <w:r>
            <w:instrText xml:space="preserve"> PAGEREF _Toc4249 \h </w:instrText>
          </w:r>
          <w:r>
            <w:fldChar w:fldCharType="separate"/>
          </w:r>
          <w:r>
            <w:t>3</w:t>
          </w:r>
          <w:r>
            <w:fldChar w:fldCharType="end"/>
          </w:r>
          <w:r>
            <w:rPr>
              <w:rFonts w:hint="eastAsia" w:ascii="仿宋" w:hAnsi="仿宋" w:eastAsia="仿宋" w:cs="仿宋"/>
              <w:color w:val="auto"/>
              <w:highlight w:val="none"/>
            </w:rPr>
            <w:fldChar w:fldCharType="end"/>
          </w:r>
        </w:p>
        <w:p w14:paraId="277DE6F8">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_Toc31837 </w:instrText>
          </w:r>
          <w:r>
            <w:rPr>
              <w:rFonts w:hint="eastAsia" w:ascii="仿宋" w:hAnsi="仿宋" w:eastAsia="仿宋" w:cs="仿宋"/>
              <w:highlight w:val="none"/>
            </w:rPr>
            <w:fldChar w:fldCharType="separate"/>
          </w:r>
          <w:r>
            <w:rPr>
              <w:rFonts w:hint="eastAsia" w:ascii="仿宋" w:hAnsi="仿宋" w:eastAsia="仿宋" w:cs="仿宋"/>
              <w:szCs w:val="21"/>
              <w:highlight w:val="none"/>
            </w:rPr>
            <w:t>一、项目基本情况</w:t>
          </w:r>
          <w:r>
            <w:tab/>
          </w:r>
          <w:r>
            <w:fldChar w:fldCharType="begin"/>
          </w:r>
          <w:r>
            <w:instrText xml:space="preserve"> PAGEREF _Toc31837 \h </w:instrText>
          </w:r>
          <w:r>
            <w:fldChar w:fldCharType="separate"/>
          </w:r>
          <w:r>
            <w:t>3</w:t>
          </w:r>
          <w:r>
            <w:fldChar w:fldCharType="end"/>
          </w:r>
          <w:r>
            <w:rPr>
              <w:rFonts w:hint="eastAsia" w:ascii="仿宋" w:hAnsi="仿宋" w:eastAsia="仿宋" w:cs="仿宋"/>
              <w:color w:val="auto"/>
              <w:highlight w:val="none"/>
            </w:rPr>
            <w:fldChar w:fldCharType="end"/>
          </w:r>
        </w:p>
        <w:p w14:paraId="10C4596B">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_Toc24854 </w:instrText>
          </w:r>
          <w:r>
            <w:rPr>
              <w:rFonts w:hint="eastAsia" w:ascii="仿宋" w:hAnsi="仿宋" w:eastAsia="仿宋" w:cs="仿宋"/>
              <w:highlight w:val="none"/>
            </w:rPr>
            <w:fldChar w:fldCharType="separate"/>
          </w:r>
          <w:r>
            <w:rPr>
              <w:rFonts w:hint="eastAsia" w:ascii="仿宋" w:hAnsi="仿宋" w:eastAsia="仿宋" w:cs="仿宋"/>
              <w:szCs w:val="21"/>
              <w:highlight w:val="none"/>
            </w:rPr>
            <w:t>二、申请人资格要求：</w:t>
          </w:r>
          <w:r>
            <w:tab/>
          </w:r>
          <w:r>
            <w:fldChar w:fldCharType="begin"/>
          </w:r>
          <w:r>
            <w:instrText xml:space="preserve"> PAGEREF _Toc24854 \h </w:instrText>
          </w:r>
          <w:r>
            <w:fldChar w:fldCharType="separate"/>
          </w:r>
          <w:r>
            <w:t>4</w:t>
          </w:r>
          <w:r>
            <w:fldChar w:fldCharType="end"/>
          </w:r>
          <w:r>
            <w:rPr>
              <w:rFonts w:hint="eastAsia" w:ascii="仿宋" w:hAnsi="仿宋" w:eastAsia="仿宋" w:cs="仿宋"/>
              <w:color w:val="auto"/>
              <w:highlight w:val="none"/>
            </w:rPr>
            <w:fldChar w:fldCharType="end"/>
          </w:r>
        </w:p>
        <w:p w14:paraId="679D4AA4">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_Toc7819 </w:instrText>
          </w:r>
          <w:r>
            <w:rPr>
              <w:rFonts w:hint="eastAsia" w:ascii="仿宋" w:hAnsi="仿宋" w:eastAsia="仿宋" w:cs="仿宋"/>
              <w:highlight w:val="none"/>
            </w:rPr>
            <w:fldChar w:fldCharType="separate"/>
          </w:r>
          <w:r>
            <w:rPr>
              <w:rFonts w:hint="eastAsia" w:ascii="仿宋" w:hAnsi="仿宋" w:eastAsia="仿宋" w:cs="仿宋"/>
              <w:szCs w:val="21"/>
              <w:highlight w:val="none"/>
            </w:rPr>
            <w:t>三、获取招标文件</w:t>
          </w:r>
          <w:r>
            <w:tab/>
          </w:r>
          <w:r>
            <w:fldChar w:fldCharType="begin"/>
          </w:r>
          <w:r>
            <w:instrText xml:space="preserve"> PAGEREF _Toc7819 \h </w:instrText>
          </w:r>
          <w:r>
            <w:fldChar w:fldCharType="separate"/>
          </w:r>
          <w:r>
            <w:t>4</w:t>
          </w:r>
          <w:r>
            <w:fldChar w:fldCharType="end"/>
          </w:r>
          <w:r>
            <w:rPr>
              <w:rFonts w:hint="eastAsia" w:ascii="仿宋" w:hAnsi="仿宋" w:eastAsia="仿宋" w:cs="仿宋"/>
              <w:color w:val="auto"/>
              <w:highlight w:val="none"/>
            </w:rPr>
            <w:fldChar w:fldCharType="end"/>
          </w:r>
        </w:p>
        <w:p w14:paraId="727D9FA6">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_Toc14394 </w:instrText>
          </w:r>
          <w:r>
            <w:rPr>
              <w:rFonts w:hint="eastAsia" w:ascii="仿宋" w:hAnsi="仿宋" w:eastAsia="仿宋" w:cs="仿宋"/>
              <w:highlight w:val="none"/>
            </w:rPr>
            <w:fldChar w:fldCharType="separate"/>
          </w:r>
          <w:r>
            <w:rPr>
              <w:rFonts w:hint="eastAsia" w:ascii="仿宋" w:hAnsi="仿宋" w:eastAsia="仿宋" w:cs="仿宋"/>
              <w:szCs w:val="21"/>
              <w:highlight w:val="none"/>
            </w:rPr>
            <w:t>四、投标截止时间及地点</w:t>
          </w:r>
          <w:r>
            <w:tab/>
          </w:r>
          <w:r>
            <w:fldChar w:fldCharType="begin"/>
          </w:r>
          <w:r>
            <w:instrText xml:space="preserve"> PAGEREF _Toc14394 \h </w:instrText>
          </w:r>
          <w:r>
            <w:fldChar w:fldCharType="separate"/>
          </w:r>
          <w:r>
            <w:t>4</w:t>
          </w:r>
          <w:r>
            <w:fldChar w:fldCharType="end"/>
          </w:r>
          <w:r>
            <w:rPr>
              <w:rFonts w:hint="eastAsia" w:ascii="仿宋" w:hAnsi="仿宋" w:eastAsia="仿宋" w:cs="仿宋"/>
              <w:color w:val="auto"/>
              <w:highlight w:val="none"/>
            </w:rPr>
            <w:fldChar w:fldCharType="end"/>
          </w:r>
        </w:p>
        <w:p w14:paraId="027ECA4E">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_Toc30258 </w:instrText>
          </w:r>
          <w:r>
            <w:rPr>
              <w:rFonts w:hint="eastAsia" w:ascii="仿宋" w:hAnsi="仿宋" w:eastAsia="仿宋" w:cs="仿宋"/>
              <w:highlight w:val="none"/>
            </w:rPr>
            <w:fldChar w:fldCharType="separate"/>
          </w:r>
          <w:r>
            <w:rPr>
              <w:rFonts w:hint="eastAsia" w:ascii="仿宋" w:hAnsi="仿宋" w:eastAsia="仿宋" w:cs="仿宋"/>
              <w:szCs w:val="21"/>
              <w:highlight w:val="none"/>
            </w:rPr>
            <w:t>五、开标时间及地点</w:t>
          </w:r>
          <w:r>
            <w:tab/>
          </w:r>
          <w:r>
            <w:fldChar w:fldCharType="begin"/>
          </w:r>
          <w:r>
            <w:instrText xml:space="preserve"> PAGEREF _Toc30258 \h </w:instrText>
          </w:r>
          <w:r>
            <w:fldChar w:fldCharType="separate"/>
          </w:r>
          <w:r>
            <w:t>5</w:t>
          </w:r>
          <w:r>
            <w:fldChar w:fldCharType="end"/>
          </w:r>
          <w:r>
            <w:rPr>
              <w:rFonts w:hint="eastAsia" w:ascii="仿宋" w:hAnsi="仿宋" w:eastAsia="仿宋" w:cs="仿宋"/>
              <w:color w:val="auto"/>
              <w:highlight w:val="none"/>
            </w:rPr>
            <w:fldChar w:fldCharType="end"/>
          </w:r>
        </w:p>
        <w:p w14:paraId="6B8FC76E">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_Toc22446 </w:instrText>
          </w:r>
          <w:r>
            <w:rPr>
              <w:rFonts w:hint="eastAsia" w:ascii="仿宋" w:hAnsi="仿宋" w:eastAsia="仿宋" w:cs="仿宋"/>
              <w:highlight w:val="none"/>
            </w:rPr>
            <w:fldChar w:fldCharType="separate"/>
          </w:r>
          <w:r>
            <w:rPr>
              <w:rFonts w:hint="eastAsia" w:ascii="仿宋" w:hAnsi="仿宋" w:eastAsia="仿宋" w:cs="仿宋"/>
              <w:szCs w:val="21"/>
              <w:highlight w:val="none"/>
            </w:rPr>
            <w:t>六、发布公告的媒介及招标公告期限</w:t>
          </w:r>
          <w:r>
            <w:tab/>
          </w:r>
          <w:r>
            <w:fldChar w:fldCharType="begin"/>
          </w:r>
          <w:r>
            <w:instrText xml:space="preserve"> PAGEREF _Toc22446 \h </w:instrText>
          </w:r>
          <w:r>
            <w:fldChar w:fldCharType="separate"/>
          </w:r>
          <w:r>
            <w:t>5</w:t>
          </w:r>
          <w:r>
            <w:fldChar w:fldCharType="end"/>
          </w:r>
          <w:r>
            <w:rPr>
              <w:rFonts w:hint="eastAsia" w:ascii="仿宋" w:hAnsi="仿宋" w:eastAsia="仿宋" w:cs="仿宋"/>
              <w:color w:val="auto"/>
              <w:highlight w:val="none"/>
            </w:rPr>
            <w:fldChar w:fldCharType="end"/>
          </w:r>
        </w:p>
        <w:p w14:paraId="3937C334">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_Toc27586 </w:instrText>
          </w:r>
          <w:r>
            <w:rPr>
              <w:rFonts w:hint="eastAsia" w:ascii="仿宋" w:hAnsi="仿宋" w:eastAsia="仿宋" w:cs="仿宋"/>
              <w:highlight w:val="none"/>
            </w:rPr>
            <w:fldChar w:fldCharType="separate"/>
          </w:r>
          <w:r>
            <w:rPr>
              <w:rFonts w:hint="eastAsia" w:ascii="仿宋" w:hAnsi="仿宋" w:eastAsia="仿宋" w:cs="仿宋"/>
              <w:szCs w:val="21"/>
              <w:highlight w:val="none"/>
            </w:rPr>
            <w:t>七、其他补充事宜</w:t>
          </w:r>
          <w:r>
            <w:tab/>
          </w:r>
          <w:r>
            <w:fldChar w:fldCharType="begin"/>
          </w:r>
          <w:r>
            <w:instrText xml:space="preserve"> PAGEREF _Toc27586 \h </w:instrText>
          </w:r>
          <w:r>
            <w:fldChar w:fldCharType="separate"/>
          </w:r>
          <w:r>
            <w:t>5</w:t>
          </w:r>
          <w:r>
            <w:fldChar w:fldCharType="end"/>
          </w:r>
          <w:r>
            <w:rPr>
              <w:rFonts w:hint="eastAsia" w:ascii="仿宋" w:hAnsi="仿宋" w:eastAsia="仿宋" w:cs="仿宋"/>
              <w:color w:val="auto"/>
              <w:highlight w:val="none"/>
            </w:rPr>
            <w:fldChar w:fldCharType="end"/>
          </w:r>
        </w:p>
        <w:p w14:paraId="37998DA1">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_Toc9695 </w:instrText>
          </w:r>
          <w:r>
            <w:rPr>
              <w:rFonts w:hint="eastAsia" w:ascii="仿宋" w:hAnsi="仿宋" w:eastAsia="仿宋" w:cs="仿宋"/>
              <w:highlight w:val="none"/>
            </w:rPr>
            <w:fldChar w:fldCharType="separate"/>
          </w:r>
          <w:r>
            <w:rPr>
              <w:rFonts w:hint="eastAsia" w:ascii="仿宋" w:hAnsi="仿宋" w:eastAsia="仿宋" w:cs="仿宋"/>
              <w:szCs w:val="21"/>
              <w:highlight w:val="none"/>
            </w:rPr>
            <w:t>八、凡对本次招标提出询问，请按照以下方式联系</w:t>
          </w:r>
          <w:r>
            <w:tab/>
          </w:r>
          <w:r>
            <w:fldChar w:fldCharType="begin"/>
          </w:r>
          <w:r>
            <w:instrText xml:space="preserve"> PAGEREF _Toc9695 \h </w:instrText>
          </w:r>
          <w:r>
            <w:fldChar w:fldCharType="separate"/>
          </w:r>
          <w:r>
            <w:t>5</w:t>
          </w:r>
          <w:r>
            <w:fldChar w:fldCharType="end"/>
          </w:r>
          <w:r>
            <w:rPr>
              <w:rFonts w:hint="eastAsia" w:ascii="仿宋" w:hAnsi="仿宋" w:eastAsia="仿宋" w:cs="仿宋"/>
              <w:color w:val="auto"/>
              <w:highlight w:val="none"/>
            </w:rPr>
            <w:fldChar w:fldCharType="end"/>
          </w:r>
        </w:p>
        <w:p w14:paraId="1B48B982">
          <w:pPr>
            <w:pStyle w:val="18"/>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_Toc29865 </w:instrText>
          </w:r>
          <w:r>
            <w:rPr>
              <w:rFonts w:hint="eastAsia" w:ascii="仿宋" w:hAnsi="仿宋" w:eastAsia="仿宋" w:cs="仿宋"/>
              <w:highlight w:val="none"/>
            </w:rPr>
            <w:fldChar w:fldCharType="separate"/>
          </w:r>
          <w:r>
            <w:rPr>
              <w:rFonts w:hint="eastAsia" w:ascii="仿宋" w:hAnsi="仿宋" w:eastAsia="仿宋" w:cs="仿宋"/>
              <w:bCs/>
              <w:szCs w:val="28"/>
              <w:highlight w:val="none"/>
            </w:rPr>
            <w:t>第二章</w:t>
          </w:r>
          <w:r>
            <w:rPr>
              <w:rFonts w:hint="eastAsia" w:ascii="仿宋" w:hAnsi="仿宋" w:eastAsia="仿宋" w:cs="仿宋"/>
              <w:bCs/>
              <w:szCs w:val="28"/>
              <w:highlight w:val="none"/>
              <w:lang w:val="en-US"/>
            </w:rPr>
            <w:t xml:space="preserve"> </w:t>
          </w:r>
          <w:r>
            <w:rPr>
              <w:rFonts w:hint="eastAsia" w:ascii="仿宋" w:hAnsi="仿宋" w:eastAsia="仿宋" w:cs="仿宋"/>
              <w:bCs/>
              <w:szCs w:val="28"/>
              <w:highlight w:val="none"/>
            </w:rPr>
            <w:t>供应商须知</w:t>
          </w:r>
          <w:r>
            <w:tab/>
          </w:r>
          <w:r>
            <w:fldChar w:fldCharType="begin"/>
          </w:r>
          <w:r>
            <w:instrText xml:space="preserve"> PAGEREF _Toc29865 \h </w:instrText>
          </w:r>
          <w:r>
            <w:fldChar w:fldCharType="separate"/>
          </w:r>
          <w:r>
            <w:t>6</w:t>
          </w:r>
          <w:r>
            <w:fldChar w:fldCharType="end"/>
          </w:r>
          <w:r>
            <w:rPr>
              <w:rFonts w:hint="eastAsia" w:ascii="仿宋" w:hAnsi="仿宋" w:eastAsia="仿宋" w:cs="仿宋"/>
              <w:color w:val="auto"/>
              <w:highlight w:val="none"/>
            </w:rPr>
            <w:fldChar w:fldCharType="end"/>
          </w:r>
        </w:p>
        <w:p w14:paraId="2854E066">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_Toc12377 </w:instrText>
          </w:r>
          <w:r>
            <w:rPr>
              <w:rFonts w:hint="eastAsia" w:ascii="仿宋" w:hAnsi="仿宋" w:eastAsia="仿宋" w:cs="仿宋"/>
              <w:highlight w:val="none"/>
            </w:rPr>
            <w:fldChar w:fldCharType="separate"/>
          </w:r>
          <w:r>
            <w:rPr>
              <w:rFonts w:hint="eastAsia" w:ascii="仿宋" w:hAnsi="仿宋" w:eastAsia="仿宋" w:cs="仿宋"/>
              <w:szCs w:val="24"/>
              <w:highlight w:val="none"/>
            </w:rPr>
            <w:t>供应商须知前附表</w:t>
          </w:r>
          <w:r>
            <w:tab/>
          </w:r>
          <w:r>
            <w:fldChar w:fldCharType="begin"/>
          </w:r>
          <w:r>
            <w:instrText xml:space="preserve"> PAGEREF _Toc12377 \h </w:instrText>
          </w:r>
          <w:r>
            <w:fldChar w:fldCharType="separate"/>
          </w:r>
          <w:r>
            <w:t>6</w:t>
          </w:r>
          <w:r>
            <w:fldChar w:fldCharType="end"/>
          </w:r>
          <w:r>
            <w:rPr>
              <w:rFonts w:hint="eastAsia" w:ascii="仿宋" w:hAnsi="仿宋" w:eastAsia="仿宋" w:cs="仿宋"/>
              <w:color w:val="auto"/>
              <w:highlight w:val="none"/>
            </w:rPr>
            <w:fldChar w:fldCharType="end"/>
          </w:r>
        </w:p>
        <w:p w14:paraId="24DF7AD2">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_Toc26322 </w:instrText>
          </w:r>
          <w:r>
            <w:rPr>
              <w:rFonts w:hint="eastAsia" w:ascii="仿宋" w:hAnsi="仿宋" w:eastAsia="仿宋" w:cs="仿宋"/>
              <w:highlight w:val="none"/>
            </w:rPr>
            <w:fldChar w:fldCharType="separate"/>
          </w:r>
          <w:r>
            <w:rPr>
              <w:rFonts w:hint="eastAsia" w:ascii="仿宋" w:hAnsi="仿宋" w:eastAsia="仿宋" w:cs="仿宋"/>
              <w:highlight w:val="none"/>
              <w:lang w:val="en-US"/>
            </w:rPr>
            <w:t>1</w:t>
          </w:r>
          <w:r>
            <w:rPr>
              <w:rFonts w:hint="eastAsia" w:ascii="仿宋" w:hAnsi="仿宋" w:eastAsia="仿宋" w:cs="仿宋"/>
              <w:highlight w:val="none"/>
            </w:rPr>
            <w:t>.总则</w:t>
          </w:r>
          <w:r>
            <w:tab/>
          </w:r>
          <w:r>
            <w:fldChar w:fldCharType="begin"/>
          </w:r>
          <w:r>
            <w:instrText xml:space="preserve"> PAGEREF _Toc26322 \h </w:instrText>
          </w:r>
          <w:r>
            <w:fldChar w:fldCharType="separate"/>
          </w:r>
          <w:r>
            <w:t>11</w:t>
          </w:r>
          <w:r>
            <w:fldChar w:fldCharType="end"/>
          </w:r>
          <w:r>
            <w:rPr>
              <w:rFonts w:hint="eastAsia" w:ascii="仿宋" w:hAnsi="仿宋" w:eastAsia="仿宋" w:cs="仿宋"/>
              <w:color w:val="auto"/>
              <w:highlight w:val="none"/>
            </w:rPr>
            <w:fldChar w:fldCharType="end"/>
          </w:r>
        </w:p>
        <w:p w14:paraId="59AC1D01">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_Toc8634 </w:instrText>
          </w:r>
          <w:r>
            <w:rPr>
              <w:rFonts w:hint="eastAsia" w:ascii="仿宋" w:hAnsi="仿宋" w:eastAsia="仿宋" w:cs="仿宋"/>
              <w:highlight w:val="none"/>
            </w:rPr>
            <w:fldChar w:fldCharType="separate"/>
          </w:r>
          <w:r>
            <w:rPr>
              <w:rFonts w:hint="eastAsia" w:ascii="仿宋" w:hAnsi="仿宋" w:eastAsia="仿宋" w:cs="仿宋"/>
              <w:highlight w:val="none"/>
            </w:rPr>
            <w:t>2. 招标文件</w:t>
          </w:r>
          <w:r>
            <w:tab/>
          </w:r>
          <w:r>
            <w:fldChar w:fldCharType="begin"/>
          </w:r>
          <w:r>
            <w:instrText xml:space="preserve"> PAGEREF _Toc8634 \h </w:instrText>
          </w:r>
          <w:r>
            <w:fldChar w:fldCharType="separate"/>
          </w:r>
          <w:r>
            <w:t>12</w:t>
          </w:r>
          <w:r>
            <w:fldChar w:fldCharType="end"/>
          </w:r>
          <w:r>
            <w:rPr>
              <w:rFonts w:hint="eastAsia" w:ascii="仿宋" w:hAnsi="仿宋" w:eastAsia="仿宋" w:cs="仿宋"/>
              <w:color w:val="auto"/>
              <w:highlight w:val="none"/>
            </w:rPr>
            <w:fldChar w:fldCharType="end"/>
          </w:r>
        </w:p>
        <w:p w14:paraId="7F3F8DC8">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_Toc29939 </w:instrText>
          </w:r>
          <w:r>
            <w:rPr>
              <w:rFonts w:hint="eastAsia" w:ascii="仿宋" w:hAnsi="仿宋" w:eastAsia="仿宋" w:cs="仿宋"/>
              <w:highlight w:val="none"/>
            </w:rPr>
            <w:fldChar w:fldCharType="separate"/>
          </w:r>
          <w:r>
            <w:rPr>
              <w:rFonts w:hint="eastAsia" w:ascii="仿宋" w:hAnsi="仿宋" w:eastAsia="仿宋" w:cs="仿宋"/>
              <w:highlight w:val="none"/>
            </w:rPr>
            <w:t>3. 投标文件</w:t>
          </w:r>
          <w:r>
            <w:tab/>
          </w:r>
          <w:r>
            <w:fldChar w:fldCharType="begin"/>
          </w:r>
          <w:r>
            <w:instrText xml:space="preserve"> PAGEREF _Toc29939 \h </w:instrText>
          </w:r>
          <w:r>
            <w:fldChar w:fldCharType="separate"/>
          </w:r>
          <w:r>
            <w:t>13</w:t>
          </w:r>
          <w:r>
            <w:fldChar w:fldCharType="end"/>
          </w:r>
          <w:r>
            <w:rPr>
              <w:rFonts w:hint="eastAsia" w:ascii="仿宋" w:hAnsi="仿宋" w:eastAsia="仿宋" w:cs="仿宋"/>
              <w:color w:val="auto"/>
              <w:highlight w:val="none"/>
            </w:rPr>
            <w:fldChar w:fldCharType="end"/>
          </w:r>
        </w:p>
        <w:p w14:paraId="6E0B899E">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_Toc6016 </w:instrText>
          </w:r>
          <w:r>
            <w:rPr>
              <w:rFonts w:hint="eastAsia" w:ascii="仿宋" w:hAnsi="仿宋" w:eastAsia="仿宋" w:cs="仿宋"/>
              <w:highlight w:val="none"/>
            </w:rPr>
            <w:fldChar w:fldCharType="separate"/>
          </w:r>
          <w:r>
            <w:rPr>
              <w:rFonts w:hint="eastAsia" w:ascii="仿宋" w:hAnsi="仿宋" w:eastAsia="仿宋" w:cs="仿宋"/>
              <w:szCs w:val="28"/>
              <w:highlight w:val="none"/>
            </w:rPr>
            <w:t>4. 投标</w:t>
          </w:r>
          <w:r>
            <w:tab/>
          </w:r>
          <w:r>
            <w:fldChar w:fldCharType="begin"/>
          </w:r>
          <w:r>
            <w:instrText xml:space="preserve"> PAGEREF _Toc6016 \h </w:instrText>
          </w:r>
          <w:r>
            <w:fldChar w:fldCharType="separate"/>
          </w:r>
          <w:r>
            <w:t>14</w:t>
          </w:r>
          <w:r>
            <w:fldChar w:fldCharType="end"/>
          </w:r>
          <w:r>
            <w:rPr>
              <w:rFonts w:hint="eastAsia" w:ascii="仿宋" w:hAnsi="仿宋" w:eastAsia="仿宋" w:cs="仿宋"/>
              <w:color w:val="auto"/>
              <w:highlight w:val="none"/>
            </w:rPr>
            <w:fldChar w:fldCharType="end"/>
          </w:r>
        </w:p>
        <w:p w14:paraId="34782A57">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_Toc18461 </w:instrText>
          </w:r>
          <w:r>
            <w:rPr>
              <w:rFonts w:hint="eastAsia" w:ascii="仿宋" w:hAnsi="仿宋" w:eastAsia="仿宋" w:cs="仿宋"/>
              <w:highlight w:val="none"/>
            </w:rPr>
            <w:fldChar w:fldCharType="separate"/>
          </w:r>
          <w:r>
            <w:rPr>
              <w:rFonts w:hint="eastAsia" w:ascii="仿宋" w:hAnsi="仿宋" w:eastAsia="仿宋" w:cs="仿宋"/>
              <w:highlight w:val="none"/>
            </w:rPr>
            <w:t>5. 开标</w:t>
          </w:r>
          <w:r>
            <w:tab/>
          </w:r>
          <w:r>
            <w:fldChar w:fldCharType="begin"/>
          </w:r>
          <w:r>
            <w:instrText xml:space="preserve"> PAGEREF _Toc18461 \h </w:instrText>
          </w:r>
          <w:r>
            <w:fldChar w:fldCharType="separate"/>
          </w:r>
          <w:r>
            <w:t>15</w:t>
          </w:r>
          <w:r>
            <w:fldChar w:fldCharType="end"/>
          </w:r>
          <w:r>
            <w:rPr>
              <w:rFonts w:hint="eastAsia" w:ascii="仿宋" w:hAnsi="仿宋" w:eastAsia="仿宋" w:cs="仿宋"/>
              <w:color w:val="auto"/>
              <w:highlight w:val="none"/>
            </w:rPr>
            <w:fldChar w:fldCharType="end"/>
          </w:r>
        </w:p>
        <w:p w14:paraId="3B2F753B">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_Toc3369 </w:instrText>
          </w:r>
          <w:r>
            <w:rPr>
              <w:rFonts w:hint="eastAsia" w:ascii="仿宋" w:hAnsi="仿宋" w:eastAsia="仿宋" w:cs="仿宋"/>
              <w:highlight w:val="none"/>
            </w:rPr>
            <w:fldChar w:fldCharType="separate"/>
          </w:r>
          <w:r>
            <w:rPr>
              <w:rFonts w:hint="eastAsia" w:ascii="仿宋" w:hAnsi="仿宋" w:eastAsia="仿宋" w:cs="仿宋"/>
              <w:szCs w:val="28"/>
              <w:highlight w:val="none"/>
            </w:rPr>
            <w:t>6. 评标</w:t>
          </w:r>
          <w:r>
            <w:tab/>
          </w:r>
          <w:r>
            <w:fldChar w:fldCharType="begin"/>
          </w:r>
          <w:r>
            <w:instrText xml:space="preserve"> PAGEREF _Toc3369 \h </w:instrText>
          </w:r>
          <w:r>
            <w:fldChar w:fldCharType="separate"/>
          </w:r>
          <w:r>
            <w:t>15</w:t>
          </w:r>
          <w:r>
            <w:fldChar w:fldCharType="end"/>
          </w:r>
          <w:r>
            <w:rPr>
              <w:rFonts w:hint="eastAsia" w:ascii="仿宋" w:hAnsi="仿宋" w:eastAsia="仿宋" w:cs="仿宋"/>
              <w:color w:val="auto"/>
              <w:highlight w:val="none"/>
            </w:rPr>
            <w:fldChar w:fldCharType="end"/>
          </w:r>
        </w:p>
        <w:p w14:paraId="5C269186">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_Toc6730 </w:instrText>
          </w:r>
          <w:r>
            <w:rPr>
              <w:rFonts w:hint="eastAsia" w:ascii="仿宋" w:hAnsi="仿宋" w:eastAsia="仿宋" w:cs="仿宋"/>
              <w:highlight w:val="none"/>
            </w:rPr>
            <w:fldChar w:fldCharType="separate"/>
          </w:r>
          <w:r>
            <w:rPr>
              <w:rFonts w:hint="eastAsia" w:ascii="仿宋" w:hAnsi="仿宋" w:eastAsia="仿宋" w:cs="仿宋"/>
              <w:highlight w:val="none"/>
            </w:rPr>
            <w:t>7. 合同授予</w:t>
          </w:r>
          <w:r>
            <w:tab/>
          </w:r>
          <w:r>
            <w:fldChar w:fldCharType="begin"/>
          </w:r>
          <w:r>
            <w:instrText xml:space="preserve"> PAGEREF _Toc6730 \h </w:instrText>
          </w:r>
          <w:r>
            <w:fldChar w:fldCharType="separate"/>
          </w:r>
          <w:r>
            <w:t>16</w:t>
          </w:r>
          <w:r>
            <w:fldChar w:fldCharType="end"/>
          </w:r>
          <w:r>
            <w:rPr>
              <w:rFonts w:hint="eastAsia" w:ascii="仿宋" w:hAnsi="仿宋" w:eastAsia="仿宋" w:cs="仿宋"/>
              <w:color w:val="auto"/>
              <w:highlight w:val="none"/>
            </w:rPr>
            <w:fldChar w:fldCharType="end"/>
          </w:r>
        </w:p>
        <w:p w14:paraId="214F7536">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_Toc31560 </w:instrText>
          </w:r>
          <w:r>
            <w:rPr>
              <w:rFonts w:hint="eastAsia" w:ascii="仿宋" w:hAnsi="仿宋" w:eastAsia="仿宋" w:cs="仿宋"/>
              <w:highlight w:val="none"/>
            </w:rPr>
            <w:fldChar w:fldCharType="separate"/>
          </w:r>
          <w:r>
            <w:rPr>
              <w:rFonts w:hint="eastAsia" w:ascii="仿宋" w:hAnsi="仿宋" w:eastAsia="仿宋" w:cs="仿宋"/>
              <w:szCs w:val="28"/>
              <w:highlight w:val="none"/>
            </w:rPr>
            <w:t>8. 重新招标</w:t>
          </w:r>
          <w:r>
            <w:tab/>
          </w:r>
          <w:r>
            <w:fldChar w:fldCharType="begin"/>
          </w:r>
          <w:r>
            <w:instrText xml:space="preserve"> PAGEREF _Toc31560 \h </w:instrText>
          </w:r>
          <w:r>
            <w:fldChar w:fldCharType="separate"/>
          </w:r>
          <w:r>
            <w:t>16</w:t>
          </w:r>
          <w:r>
            <w:fldChar w:fldCharType="end"/>
          </w:r>
          <w:r>
            <w:rPr>
              <w:rFonts w:hint="eastAsia" w:ascii="仿宋" w:hAnsi="仿宋" w:eastAsia="仿宋" w:cs="仿宋"/>
              <w:color w:val="auto"/>
              <w:highlight w:val="none"/>
            </w:rPr>
            <w:fldChar w:fldCharType="end"/>
          </w:r>
        </w:p>
        <w:p w14:paraId="3FDE3B36">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_Toc10144 </w:instrText>
          </w:r>
          <w:r>
            <w:rPr>
              <w:rFonts w:hint="eastAsia" w:ascii="仿宋" w:hAnsi="仿宋" w:eastAsia="仿宋" w:cs="仿宋"/>
              <w:highlight w:val="none"/>
            </w:rPr>
            <w:fldChar w:fldCharType="separate"/>
          </w:r>
          <w:r>
            <w:rPr>
              <w:rFonts w:hint="eastAsia" w:ascii="仿宋" w:hAnsi="仿宋" w:eastAsia="仿宋" w:cs="仿宋"/>
              <w:highlight w:val="none"/>
            </w:rPr>
            <w:t>9. 纪律和监督</w:t>
          </w:r>
          <w:r>
            <w:tab/>
          </w:r>
          <w:r>
            <w:fldChar w:fldCharType="begin"/>
          </w:r>
          <w:r>
            <w:instrText xml:space="preserve"> PAGEREF _Toc10144 \h </w:instrText>
          </w:r>
          <w:r>
            <w:fldChar w:fldCharType="separate"/>
          </w:r>
          <w:r>
            <w:t>16</w:t>
          </w:r>
          <w:r>
            <w:fldChar w:fldCharType="end"/>
          </w:r>
          <w:r>
            <w:rPr>
              <w:rFonts w:hint="eastAsia" w:ascii="仿宋" w:hAnsi="仿宋" w:eastAsia="仿宋" w:cs="仿宋"/>
              <w:color w:val="auto"/>
              <w:highlight w:val="none"/>
            </w:rPr>
            <w:fldChar w:fldCharType="end"/>
          </w:r>
        </w:p>
        <w:p w14:paraId="54CC6198">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_Toc15186 </w:instrText>
          </w:r>
          <w:r>
            <w:rPr>
              <w:rFonts w:hint="eastAsia" w:ascii="仿宋" w:hAnsi="仿宋" w:eastAsia="仿宋" w:cs="仿宋"/>
              <w:highlight w:val="none"/>
            </w:rPr>
            <w:fldChar w:fldCharType="separate"/>
          </w:r>
          <w:r>
            <w:rPr>
              <w:rFonts w:hint="eastAsia" w:ascii="仿宋" w:hAnsi="仿宋" w:eastAsia="仿宋" w:cs="仿宋"/>
              <w:highlight w:val="none"/>
            </w:rPr>
            <w:t>10. 需要补充的其他内容</w:t>
          </w:r>
          <w:r>
            <w:tab/>
          </w:r>
          <w:r>
            <w:fldChar w:fldCharType="begin"/>
          </w:r>
          <w:r>
            <w:instrText xml:space="preserve"> PAGEREF _Toc15186 \h </w:instrText>
          </w:r>
          <w:r>
            <w:fldChar w:fldCharType="separate"/>
          </w:r>
          <w:r>
            <w:t>17</w:t>
          </w:r>
          <w:r>
            <w:fldChar w:fldCharType="end"/>
          </w:r>
          <w:r>
            <w:rPr>
              <w:rFonts w:hint="eastAsia" w:ascii="仿宋" w:hAnsi="仿宋" w:eastAsia="仿宋" w:cs="仿宋"/>
              <w:color w:val="auto"/>
              <w:highlight w:val="none"/>
            </w:rPr>
            <w:fldChar w:fldCharType="end"/>
          </w:r>
        </w:p>
        <w:p w14:paraId="7C14CCE7">
          <w:pPr>
            <w:pStyle w:val="18"/>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_Toc25300 </w:instrText>
          </w:r>
          <w:r>
            <w:rPr>
              <w:rFonts w:hint="eastAsia" w:ascii="仿宋" w:hAnsi="仿宋" w:eastAsia="仿宋" w:cs="仿宋"/>
              <w:highlight w:val="none"/>
            </w:rPr>
            <w:fldChar w:fldCharType="separate"/>
          </w:r>
          <w:r>
            <w:rPr>
              <w:rFonts w:hint="eastAsia" w:ascii="仿宋" w:hAnsi="仿宋" w:eastAsia="仿宋" w:cs="仿宋"/>
              <w:szCs w:val="28"/>
              <w:highlight w:val="none"/>
            </w:rPr>
            <w:t>第</w:t>
          </w:r>
          <w:r>
            <w:rPr>
              <w:rFonts w:hint="eastAsia" w:ascii="仿宋" w:hAnsi="仿宋" w:eastAsia="仿宋" w:cs="仿宋"/>
              <w:szCs w:val="28"/>
              <w:highlight w:val="none"/>
              <w:lang w:val="en-US"/>
            </w:rPr>
            <w:t>三</w:t>
          </w:r>
          <w:r>
            <w:rPr>
              <w:rFonts w:hint="eastAsia" w:ascii="仿宋" w:hAnsi="仿宋" w:eastAsia="仿宋" w:cs="仿宋"/>
              <w:szCs w:val="28"/>
              <w:highlight w:val="none"/>
            </w:rPr>
            <w:t>章</w:t>
          </w:r>
          <w:r>
            <w:rPr>
              <w:rFonts w:hint="eastAsia" w:ascii="仿宋" w:hAnsi="仿宋" w:eastAsia="仿宋" w:cs="仿宋"/>
              <w:szCs w:val="28"/>
              <w:highlight w:val="none"/>
              <w:lang w:val="en-US"/>
            </w:rPr>
            <w:t xml:space="preserve"> </w:t>
          </w:r>
          <w:r>
            <w:rPr>
              <w:rFonts w:hint="eastAsia" w:ascii="仿宋" w:hAnsi="仿宋" w:eastAsia="仿宋" w:cs="仿宋"/>
              <w:szCs w:val="28"/>
              <w:highlight w:val="none"/>
            </w:rPr>
            <w:t>评</w:t>
          </w:r>
          <w:r>
            <w:rPr>
              <w:rFonts w:hint="eastAsia" w:ascii="仿宋" w:hAnsi="仿宋" w:eastAsia="仿宋" w:cs="仿宋"/>
              <w:szCs w:val="28"/>
              <w:highlight w:val="none"/>
              <w:lang w:val="en-US"/>
            </w:rPr>
            <w:t>标</w:t>
          </w:r>
          <w:r>
            <w:rPr>
              <w:rFonts w:hint="eastAsia" w:ascii="仿宋" w:hAnsi="仿宋" w:eastAsia="仿宋" w:cs="仿宋"/>
              <w:szCs w:val="28"/>
              <w:highlight w:val="none"/>
            </w:rPr>
            <w:t>方法</w:t>
          </w:r>
          <w:r>
            <w:tab/>
          </w:r>
          <w:r>
            <w:fldChar w:fldCharType="begin"/>
          </w:r>
          <w:r>
            <w:instrText xml:space="preserve"> PAGEREF _Toc25300 \h </w:instrText>
          </w:r>
          <w:r>
            <w:fldChar w:fldCharType="separate"/>
          </w:r>
          <w:r>
            <w:t>18</w:t>
          </w:r>
          <w:r>
            <w:fldChar w:fldCharType="end"/>
          </w:r>
          <w:r>
            <w:rPr>
              <w:rFonts w:hint="eastAsia" w:ascii="仿宋" w:hAnsi="仿宋" w:eastAsia="仿宋" w:cs="仿宋"/>
              <w:color w:val="auto"/>
              <w:highlight w:val="none"/>
            </w:rPr>
            <w:fldChar w:fldCharType="end"/>
          </w:r>
        </w:p>
        <w:p w14:paraId="6A5729B2">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_Toc4796 </w:instrText>
          </w:r>
          <w:r>
            <w:rPr>
              <w:rFonts w:hint="eastAsia" w:ascii="仿宋" w:hAnsi="仿宋" w:eastAsia="仿宋" w:cs="仿宋"/>
              <w:highlight w:val="none"/>
            </w:rPr>
            <w:fldChar w:fldCharType="separate"/>
          </w:r>
          <w:r>
            <w:rPr>
              <w:rFonts w:hint="eastAsia" w:ascii="仿宋" w:hAnsi="仿宋" w:eastAsia="仿宋" w:cs="仿宋"/>
              <w:szCs w:val="28"/>
              <w:highlight w:val="none"/>
            </w:rPr>
            <w:t>评标方法前附表</w:t>
          </w:r>
          <w:r>
            <w:tab/>
          </w:r>
          <w:r>
            <w:fldChar w:fldCharType="begin"/>
          </w:r>
          <w:r>
            <w:instrText xml:space="preserve"> PAGEREF _Toc4796 \h </w:instrText>
          </w:r>
          <w:r>
            <w:fldChar w:fldCharType="separate"/>
          </w:r>
          <w:r>
            <w:t>18</w:t>
          </w:r>
          <w:r>
            <w:fldChar w:fldCharType="end"/>
          </w:r>
          <w:r>
            <w:rPr>
              <w:rFonts w:hint="eastAsia" w:ascii="仿宋" w:hAnsi="仿宋" w:eastAsia="仿宋" w:cs="仿宋"/>
              <w:color w:val="auto"/>
              <w:highlight w:val="none"/>
            </w:rPr>
            <w:fldChar w:fldCharType="end"/>
          </w:r>
        </w:p>
        <w:p w14:paraId="7BF9A37B">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_Toc3308 </w:instrText>
          </w:r>
          <w:r>
            <w:rPr>
              <w:rFonts w:hint="eastAsia" w:ascii="仿宋" w:hAnsi="仿宋" w:eastAsia="仿宋" w:cs="仿宋"/>
              <w:highlight w:val="none"/>
            </w:rPr>
            <w:fldChar w:fldCharType="separate"/>
          </w:r>
          <w:r>
            <w:rPr>
              <w:rFonts w:hint="eastAsia" w:ascii="仿宋" w:hAnsi="仿宋" w:eastAsia="仿宋" w:cs="仿宋"/>
              <w:szCs w:val="21"/>
              <w:highlight w:val="none"/>
            </w:rPr>
            <w:t>1. 评标方法</w:t>
          </w:r>
          <w:r>
            <w:tab/>
          </w:r>
          <w:r>
            <w:fldChar w:fldCharType="begin"/>
          </w:r>
          <w:r>
            <w:instrText xml:space="preserve"> PAGEREF _Toc3308 \h </w:instrText>
          </w:r>
          <w:r>
            <w:fldChar w:fldCharType="separate"/>
          </w:r>
          <w:r>
            <w:t>21</w:t>
          </w:r>
          <w:r>
            <w:fldChar w:fldCharType="end"/>
          </w:r>
          <w:r>
            <w:rPr>
              <w:rFonts w:hint="eastAsia" w:ascii="仿宋" w:hAnsi="仿宋" w:eastAsia="仿宋" w:cs="仿宋"/>
              <w:color w:val="auto"/>
              <w:highlight w:val="none"/>
            </w:rPr>
            <w:fldChar w:fldCharType="end"/>
          </w:r>
        </w:p>
        <w:p w14:paraId="6314D89C">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_Toc3026 </w:instrText>
          </w:r>
          <w:r>
            <w:rPr>
              <w:rFonts w:hint="eastAsia" w:ascii="仿宋" w:hAnsi="仿宋" w:eastAsia="仿宋" w:cs="仿宋"/>
              <w:highlight w:val="none"/>
            </w:rPr>
            <w:fldChar w:fldCharType="separate"/>
          </w:r>
          <w:r>
            <w:rPr>
              <w:rFonts w:hint="eastAsia" w:ascii="仿宋" w:hAnsi="仿宋" w:eastAsia="仿宋" w:cs="仿宋"/>
              <w:szCs w:val="21"/>
              <w:highlight w:val="none"/>
            </w:rPr>
            <w:t>2. 评审标准</w:t>
          </w:r>
          <w:r>
            <w:tab/>
          </w:r>
          <w:r>
            <w:fldChar w:fldCharType="begin"/>
          </w:r>
          <w:r>
            <w:instrText xml:space="preserve"> PAGEREF _Toc3026 \h </w:instrText>
          </w:r>
          <w:r>
            <w:fldChar w:fldCharType="separate"/>
          </w:r>
          <w:r>
            <w:t>21</w:t>
          </w:r>
          <w:r>
            <w:fldChar w:fldCharType="end"/>
          </w:r>
          <w:r>
            <w:rPr>
              <w:rFonts w:hint="eastAsia" w:ascii="仿宋" w:hAnsi="仿宋" w:eastAsia="仿宋" w:cs="仿宋"/>
              <w:color w:val="auto"/>
              <w:highlight w:val="none"/>
            </w:rPr>
            <w:fldChar w:fldCharType="end"/>
          </w:r>
        </w:p>
        <w:p w14:paraId="64CB0B4D">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_Toc25906 </w:instrText>
          </w:r>
          <w:r>
            <w:rPr>
              <w:rFonts w:hint="eastAsia" w:ascii="仿宋" w:hAnsi="仿宋" w:eastAsia="仿宋" w:cs="仿宋"/>
              <w:highlight w:val="none"/>
            </w:rPr>
            <w:fldChar w:fldCharType="separate"/>
          </w:r>
          <w:r>
            <w:rPr>
              <w:rFonts w:hint="eastAsia" w:ascii="仿宋" w:hAnsi="仿宋" w:eastAsia="仿宋" w:cs="仿宋"/>
              <w:szCs w:val="21"/>
              <w:highlight w:val="none"/>
            </w:rPr>
            <w:t>3. 评标程序</w:t>
          </w:r>
          <w:r>
            <w:tab/>
          </w:r>
          <w:r>
            <w:fldChar w:fldCharType="begin"/>
          </w:r>
          <w:r>
            <w:instrText xml:space="preserve"> PAGEREF _Toc25906 \h </w:instrText>
          </w:r>
          <w:r>
            <w:fldChar w:fldCharType="separate"/>
          </w:r>
          <w:r>
            <w:t>21</w:t>
          </w:r>
          <w:r>
            <w:fldChar w:fldCharType="end"/>
          </w:r>
          <w:r>
            <w:rPr>
              <w:rFonts w:hint="eastAsia" w:ascii="仿宋" w:hAnsi="仿宋" w:eastAsia="仿宋" w:cs="仿宋"/>
              <w:color w:val="auto"/>
              <w:highlight w:val="none"/>
            </w:rPr>
            <w:fldChar w:fldCharType="end"/>
          </w:r>
        </w:p>
        <w:p w14:paraId="55E894BD">
          <w:pPr>
            <w:pStyle w:val="18"/>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_Toc15244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rPr>
            <w:t>第四章 合同条款及格式</w:t>
          </w:r>
          <w:r>
            <w:tab/>
          </w:r>
          <w:r>
            <w:fldChar w:fldCharType="begin"/>
          </w:r>
          <w:r>
            <w:instrText xml:space="preserve"> PAGEREF _Toc15244 \h </w:instrText>
          </w:r>
          <w:r>
            <w:fldChar w:fldCharType="separate"/>
          </w:r>
          <w:r>
            <w:t>23</w:t>
          </w:r>
          <w:r>
            <w:fldChar w:fldCharType="end"/>
          </w:r>
          <w:r>
            <w:rPr>
              <w:rFonts w:hint="eastAsia" w:ascii="仿宋" w:hAnsi="仿宋" w:eastAsia="仿宋" w:cs="仿宋"/>
              <w:color w:val="auto"/>
              <w:highlight w:val="none"/>
            </w:rPr>
            <w:fldChar w:fldCharType="end"/>
          </w:r>
        </w:p>
        <w:p w14:paraId="21F228DA">
          <w:pPr>
            <w:pStyle w:val="18"/>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_Toc14184 </w:instrText>
          </w:r>
          <w:r>
            <w:rPr>
              <w:rFonts w:hint="eastAsia" w:ascii="仿宋" w:hAnsi="仿宋" w:eastAsia="仿宋" w:cs="仿宋"/>
              <w:highlight w:val="none"/>
            </w:rPr>
            <w:fldChar w:fldCharType="separate"/>
          </w:r>
          <w:r>
            <w:rPr>
              <w:rFonts w:hint="eastAsia" w:ascii="仿宋" w:hAnsi="仿宋" w:eastAsia="仿宋" w:cs="仿宋"/>
              <w:szCs w:val="28"/>
              <w:highlight w:val="none"/>
            </w:rPr>
            <w:t>第</w:t>
          </w:r>
          <w:r>
            <w:rPr>
              <w:rFonts w:hint="eastAsia" w:ascii="仿宋" w:hAnsi="仿宋" w:eastAsia="仿宋" w:cs="仿宋"/>
              <w:szCs w:val="28"/>
              <w:highlight w:val="none"/>
              <w:lang w:val="en-US"/>
            </w:rPr>
            <w:t>五</w:t>
          </w:r>
          <w:r>
            <w:rPr>
              <w:rFonts w:hint="eastAsia" w:ascii="仿宋" w:hAnsi="仿宋" w:eastAsia="仿宋" w:cs="仿宋"/>
              <w:szCs w:val="28"/>
              <w:highlight w:val="none"/>
            </w:rPr>
            <w:t>章</w:t>
          </w:r>
          <w:r>
            <w:rPr>
              <w:rFonts w:hint="eastAsia" w:ascii="仿宋" w:hAnsi="仿宋" w:eastAsia="仿宋" w:cs="仿宋"/>
              <w:szCs w:val="28"/>
              <w:highlight w:val="none"/>
              <w:lang w:val="en-US"/>
            </w:rPr>
            <w:t xml:space="preserve"> </w:t>
          </w:r>
          <w:r>
            <w:rPr>
              <w:rFonts w:hint="eastAsia" w:ascii="仿宋" w:hAnsi="仿宋" w:eastAsia="仿宋" w:cs="仿宋"/>
              <w:szCs w:val="28"/>
              <w:highlight w:val="none"/>
            </w:rPr>
            <w:t>项目招标需求</w:t>
          </w:r>
          <w:r>
            <w:tab/>
          </w:r>
          <w:r>
            <w:fldChar w:fldCharType="begin"/>
          </w:r>
          <w:r>
            <w:instrText xml:space="preserve"> PAGEREF _Toc14184 \h </w:instrText>
          </w:r>
          <w:r>
            <w:fldChar w:fldCharType="separate"/>
          </w:r>
          <w:r>
            <w:t>24</w:t>
          </w:r>
          <w:r>
            <w:fldChar w:fldCharType="end"/>
          </w:r>
          <w:r>
            <w:rPr>
              <w:rFonts w:hint="eastAsia" w:ascii="仿宋" w:hAnsi="仿宋" w:eastAsia="仿宋" w:cs="仿宋"/>
              <w:color w:val="auto"/>
              <w:highlight w:val="none"/>
            </w:rPr>
            <w:fldChar w:fldCharType="end"/>
          </w:r>
        </w:p>
        <w:p w14:paraId="6FEB5704">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_Toc15204 </w:instrText>
          </w:r>
          <w:r>
            <w:rPr>
              <w:rFonts w:hint="eastAsia" w:ascii="仿宋" w:hAnsi="仿宋" w:eastAsia="仿宋" w:cs="仿宋"/>
              <w:highlight w:val="none"/>
            </w:rPr>
            <w:fldChar w:fldCharType="separate"/>
          </w:r>
          <w:r>
            <w:rPr>
              <w:rFonts w:hint="eastAsia" w:ascii="仿宋" w:hAnsi="仿宋" w:eastAsia="仿宋" w:cs="仿宋"/>
              <w:szCs w:val="21"/>
              <w:highlight w:val="none"/>
              <w:lang w:val="en-US"/>
            </w:rPr>
            <w:t>（一）项目名称</w:t>
          </w:r>
          <w:r>
            <w:tab/>
          </w:r>
          <w:r>
            <w:fldChar w:fldCharType="begin"/>
          </w:r>
          <w:r>
            <w:instrText xml:space="preserve"> PAGEREF _Toc15204 \h </w:instrText>
          </w:r>
          <w:r>
            <w:fldChar w:fldCharType="separate"/>
          </w:r>
          <w:r>
            <w:t>24</w:t>
          </w:r>
          <w:r>
            <w:fldChar w:fldCharType="end"/>
          </w:r>
          <w:r>
            <w:rPr>
              <w:rFonts w:hint="eastAsia" w:ascii="仿宋" w:hAnsi="仿宋" w:eastAsia="仿宋" w:cs="仿宋"/>
              <w:color w:val="auto"/>
              <w:highlight w:val="none"/>
            </w:rPr>
            <w:fldChar w:fldCharType="end"/>
          </w:r>
        </w:p>
        <w:p w14:paraId="7B0DF4DF">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_Toc18264 </w:instrText>
          </w:r>
          <w:r>
            <w:rPr>
              <w:rFonts w:hint="eastAsia" w:ascii="仿宋" w:hAnsi="仿宋" w:eastAsia="仿宋" w:cs="仿宋"/>
              <w:highlight w:val="none"/>
            </w:rPr>
            <w:fldChar w:fldCharType="separate"/>
          </w:r>
          <w:r>
            <w:rPr>
              <w:rFonts w:hint="eastAsia" w:ascii="仿宋" w:hAnsi="仿宋" w:eastAsia="仿宋" w:cs="仿宋"/>
              <w:szCs w:val="21"/>
              <w:highlight w:val="none"/>
              <w:lang w:val="en-US"/>
            </w:rPr>
            <w:t>（二）</w:t>
          </w:r>
          <w:r>
            <w:rPr>
              <w:rFonts w:hint="eastAsia" w:ascii="仿宋" w:hAnsi="仿宋" w:eastAsia="仿宋" w:cs="仿宋"/>
              <w:szCs w:val="21"/>
              <w:highlight w:val="none"/>
              <w:lang w:val="en-US" w:eastAsia="zh-CN"/>
            </w:rPr>
            <w:t>项目类型</w:t>
          </w:r>
          <w:r>
            <w:tab/>
          </w:r>
          <w:r>
            <w:fldChar w:fldCharType="begin"/>
          </w:r>
          <w:r>
            <w:instrText xml:space="preserve"> PAGEREF _Toc18264 \h </w:instrText>
          </w:r>
          <w:r>
            <w:fldChar w:fldCharType="separate"/>
          </w:r>
          <w:r>
            <w:t>24</w:t>
          </w:r>
          <w:r>
            <w:fldChar w:fldCharType="end"/>
          </w:r>
          <w:r>
            <w:rPr>
              <w:rFonts w:hint="eastAsia" w:ascii="仿宋" w:hAnsi="仿宋" w:eastAsia="仿宋" w:cs="仿宋"/>
              <w:color w:val="auto"/>
              <w:highlight w:val="none"/>
            </w:rPr>
            <w:fldChar w:fldCharType="end"/>
          </w:r>
        </w:p>
        <w:p w14:paraId="7D8B224E">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_Toc2232 </w:instrText>
          </w:r>
          <w:r>
            <w:rPr>
              <w:rFonts w:hint="eastAsia" w:ascii="仿宋" w:hAnsi="仿宋" w:eastAsia="仿宋" w:cs="仿宋"/>
              <w:highlight w:val="none"/>
            </w:rPr>
            <w:fldChar w:fldCharType="separate"/>
          </w:r>
          <w:r>
            <w:rPr>
              <w:rFonts w:hint="eastAsia" w:ascii="仿宋" w:hAnsi="仿宋" w:eastAsia="仿宋" w:cs="仿宋"/>
              <w:szCs w:val="21"/>
              <w:highlight w:val="none"/>
              <w:lang w:val="en-US"/>
            </w:rPr>
            <w:t>（三）</w:t>
          </w:r>
          <w:r>
            <w:rPr>
              <w:rFonts w:hint="eastAsia" w:ascii="仿宋" w:hAnsi="仿宋" w:eastAsia="仿宋" w:cs="仿宋"/>
              <w:szCs w:val="21"/>
              <w:highlight w:val="none"/>
              <w:lang w:val="en-US" w:eastAsia="zh-CN"/>
            </w:rPr>
            <w:t>所属行业</w:t>
          </w:r>
          <w:r>
            <w:tab/>
          </w:r>
          <w:r>
            <w:fldChar w:fldCharType="begin"/>
          </w:r>
          <w:r>
            <w:instrText xml:space="preserve"> PAGEREF _Toc2232 \h </w:instrText>
          </w:r>
          <w:r>
            <w:fldChar w:fldCharType="separate"/>
          </w:r>
          <w:r>
            <w:t>24</w:t>
          </w:r>
          <w:r>
            <w:fldChar w:fldCharType="end"/>
          </w:r>
          <w:r>
            <w:rPr>
              <w:rFonts w:hint="eastAsia" w:ascii="仿宋" w:hAnsi="仿宋" w:eastAsia="仿宋" w:cs="仿宋"/>
              <w:color w:val="auto"/>
              <w:highlight w:val="none"/>
            </w:rPr>
            <w:fldChar w:fldCharType="end"/>
          </w:r>
        </w:p>
        <w:p w14:paraId="4B1A181F">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_Toc19986 </w:instrText>
          </w:r>
          <w:r>
            <w:rPr>
              <w:rFonts w:hint="eastAsia" w:ascii="仿宋" w:hAnsi="仿宋" w:eastAsia="仿宋" w:cs="仿宋"/>
              <w:highlight w:val="none"/>
            </w:rPr>
            <w:fldChar w:fldCharType="separate"/>
          </w:r>
          <w:r>
            <w:rPr>
              <w:rFonts w:hint="eastAsia" w:ascii="仿宋" w:hAnsi="仿宋" w:eastAsia="仿宋" w:cs="仿宋"/>
              <w:szCs w:val="21"/>
              <w:highlight w:val="none"/>
              <w:lang w:val="en-US"/>
            </w:rPr>
            <w:t>（四）</w:t>
          </w:r>
          <w:r>
            <w:rPr>
              <w:rFonts w:hint="eastAsia" w:ascii="仿宋" w:hAnsi="仿宋" w:eastAsia="仿宋" w:cs="仿宋"/>
              <w:szCs w:val="21"/>
              <w:highlight w:val="none"/>
              <w:lang w:val="en-US" w:eastAsia="zh-CN"/>
            </w:rPr>
            <w:t>回报机制</w:t>
          </w:r>
          <w:r>
            <w:tab/>
          </w:r>
          <w:r>
            <w:fldChar w:fldCharType="begin"/>
          </w:r>
          <w:r>
            <w:instrText xml:space="preserve"> PAGEREF _Toc19986 \h </w:instrText>
          </w:r>
          <w:r>
            <w:fldChar w:fldCharType="separate"/>
          </w:r>
          <w:r>
            <w:t>24</w:t>
          </w:r>
          <w:r>
            <w:fldChar w:fldCharType="end"/>
          </w:r>
          <w:r>
            <w:rPr>
              <w:rFonts w:hint="eastAsia" w:ascii="仿宋" w:hAnsi="仿宋" w:eastAsia="仿宋" w:cs="仿宋"/>
              <w:color w:val="auto"/>
              <w:highlight w:val="none"/>
            </w:rPr>
            <w:fldChar w:fldCharType="end"/>
          </w:r>
        </w:p>
        <w:p w14:paraId="55E95400">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_Toc30212 </w:instrText>
          </w:r>
          <w:r>
            <w:rPr>
              <w:rFonts w:hint="eastAsia" w:ascii="仿宋" w:hAnsi="仿宋" w:eastAsia="仿宋" w:cs="仿宋"/>
              <w:highlight w:val="none"/>
            </w:rPr>
            <w:fldChar w:fldCharType="separate"/>
          </w:r>
          <w:r>
            <w:rPr>
              <w:rFonts w:hint="eastAsia" w:ascii="仿宋" w:hAnsi="仿宋" w:eastAsia="仿宋" w:cs="仿宋"/>
              <w:szCs w:val="21"/>
              <w:lang w:val="en-US" w:eastAsia="zh-CN"/>
            </w:rPr>
            <w:t>（五）</w:t>
          </w:r>
          <w:r>
            <w:rPr>
              <w:rFonts w:hint="eastAsia" w:ascii="仿宋" w:hAnsi="仿宋" w:eastAsia="仿宋" w:cs="仿宋"/>
              <w:szCs w:val="21"/>
              <w:highlight w:val="none"/>
              <w:lang w:val="en-US" w:eastAsia="zh-CN"/>
            </w:rPr>
            <w:t>存量资产内容</w:t>
          </w:r>
          <w:r>
            <w:tab/>
          </w:r>
          <w:r>
            <w:fldChar w:fldCharType="begin"/>
          </w:r>
          <w:r>
            <w:instrText xml:space="preserve"> PAGEREF _Toc30212 \h </w:instrText>
          </w:r>
          <w:r>
            <w:fldChar w:fldCharType="separate"/>
          </w:r>
          <w:r>
            <w:t>24</w:t>
          </w:r>
          <w:r>
            <w:fldChar w:fldCharType="end"/>
          </w:r>
          <w:r>
            <w:rPr>
              <w:rFonts w:hint="eastAsia" w:ascii="仿宋" w:hAnsi="仿宋" w:eastAsia="仿宋" w:cs="仿宋"/>
              <w:color w:val="auto"/>
              <w:highlight w:val="none"/>
            </w:rPr>
            <w:fldChar w:fldCharType="end"/>
          </w:r>
        </w:p>
        <w:p w14:paraId="732D07DA">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_Toc6363 </w:instrText>
          </w:r>
          <w:r>
            <w:rPr>
              <w:rFonts w:hint="eastAsia" w:ascii="仿宋" w:hAnsi="仿宋" w:eastAsia="仿宋" w:cs="仿宋"/>
              <w:highlight w:val="none"/>
            </w:rPr>
            <w:fldChar w:fldCharType="separate"/>
          </w:r>
          <w:r>
            <w:rPr>
              <w:rFonts w:hint="eastAsia" w:ascii="仿宋" w:hAnsi="仿宋" w:eastAsia="仿宋" w:cs="仿宋"/>
              <w:szCs w:val="21"/>
              <w:highlight w:val="none"/>
              <w:lang w:val="en-US"/>
            </w:rPr>
            <w:t>（</w:t>
          </w:r>
          <w:r>
            <w:rPr>
              <w:rFonts w:hint="eastAsia" w:ascii="仿宋" w:hAnsi="仿宋" w:eastAsia="仿宋" w:cs="仿宋"/>
              <w:szCs w:val="21"/>
              <w:highlight w:val="none"/>
              <w:lang w:val="en-US" w:eastAsia="zh-CN"/>
            </w:rPr>
            <w:t>六</w:t>
          </w:r>
          <w:r>
            <w:rPr>
              <w:rFonts w:hint="eastAsia" w:ascii="仿宋" w:hAnsi="仿宋" w:eastAsia="仿宋" w:cs="仿宋"/>
              <w:szCs w:val="21"/>
              <w:highlight w:val="none"/>
              <w:lang w:val="en-US"/>
            </w:rPr>
            <w:t>）</w:t>
          </w:r>
          <w:r>
            <w:rPr>
              <w:rFonts w:hint="eastAsia" w:ascii="仿宋" w:hAnsi="仿宋" w:eastAsia="仿宋" w:cs="仿宋"/>
              <w:szCs w:val="21"/>
              <w:highlight w:val="none"/>
              <w:lang w:val="en-US" w:eastAsia="zh-CN"/>
            </w:rPr>
            <w:t>项目资产运营与效益情况</w:t>
          </w:r>
          <w:r>
            <w:tab/>
          </w:r>
          <w:r>
            <w:fldChar w:fldCharType="begin"/>
          </w:r>
          <w:r>
            <w:instrText xml:space="preserve"> PAGEREF _Toc6363 \h </w:instrText>
          </w:r>
          <w:r>
            <w:fldChar w:fldCharType="separate"/>
          </w:r>
          <w:r>
            <w:t>24</w:t>
          </w:r>
          <w:r>
            <w:fldChar w:fldCharType="end"/>
          </w:r>
          <w:r>
            <w:rPr>
              <w:rFonts w:hint="eastAsia" w:ascii="仿宋" w:hAnsi="仿宋" w:eastAsia="仿宋" w:cs="仿宋"/>
              <w:color w:val="auto"/>
              <w:highlight w:val="none"/>
            </w:rPr>
            <w:fldChar w:fldCharType="end"/>
          </w:r>
        </w:p>
        <w:p w14:paraId="5F1AC319">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_Toc6206 </w:instrText>
          </w:r>
          <w:r>
            <w:rPr>
              <w:rFonts w:hint="eastAsia" w:ascii="仿宋" w:hAnsi="仿宋" w:eastAsia="仿宋" w:cs="仿宋"/>
              <w:highlight w:val="none"/>
            </w:rPr>
            <w:fldChar w:fldCharType="separate"/>
          </w:r>
          <w:r>
            <w:rPr>
              <w:rFonts w:hint="eastAsia" w:ascii="仿宋" w:hAnsi="仿宋" w:eastAsia="仿宋" w:cs="仿宋"/>
              <w:szCs w:val="21"/>
              <w:highlight w:val="none"/>
              <w:lang w:val="en-US"/>
            </w:rPr>
            <w:t>（</w:t>
          </w:r>
          <w:r>
            <w:rPr>
              <w:rFonts w:hint="eastAsia" w:ascii="仿宋" w:hAnsi="仿宋" w:eastAsia="仿宋" w:cs="仿宋"/>
              <w:szCs w:val="21"/>
              <w:highlight w:val="none"/>
              <w:lang w:val="en-US" w:eastAsia="zh-CN"/>
            </w:rPr>
            <w:t>七</w:t>
          </w:r>
          <w:r>
            <w:rPr>
              <w:rFonts w:hint="eastAsia" w:ascii="仿宋" w:hAnsi="仿宋" w:eastAsia="仿宋" w:cs="仿宋"/>
              <w:szCs w:val="21"/>
              <w:highlight w:val="none"/>
              <w:lang w:val="en-US"/>
            </w:rPr>
            <w:t>）</w:t>
          </w:r>
          <w:r>
            <w:rPr>
              <w:rFonts w:hint="eastAsia" w:ascii="仿宋" w:hAnsi="仿宋" w:eastAsia="仿宋" w:cs="仿宋"/>
              <w:szCs w:val="21"/>
              <w:highlight w:val="none"/>
              <w:lang w:val="en-US" w:eastAsia="zh-CN"/>
            </w:rPr>
            <w:t>存量资产评估情况</w:t>
          </w:r>
          <w:r>
            <w:tab/>
          </w:r>
          <w:r>
            <w:fldChar w:fldCharType="begin"/>
          </w:r>
          <w:r>
            <w:instrText xml:space="preserve"> PAGEREF _Toc6206 \h </w:instrText>
          </w:r>
          <w:r>
            <w:fldChar w:fldCharType="separate"/>
          </w:r>
          <w:r>
            <w:t>24</w:t>
          </w:r>
          <w:r>
            <w:fldChar w:fldCharType="end"/>
          </w:r>
          <w:r>
            <w:rPr>
              <w:rFonts w:hint="eastAsia" w:ascii="仿宋" w:hAnsi="仿宋" w:eastAsia="仿宋" w:cs="仿宋"/>
              <w:color w:val="auto"/>
              <w:highlight w:val="none"/>
            </w:rPr>
            <w:fldChar w:fldCharType="end"/>
          </w:r>
        </w:p>
        <w:p w14:paraId="00F6CD56">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_Toc31374 </w:instrText>
          </w:r>
          <w:r>
            <w:rPr>
              <w:rFonts w:hint="eastAsia" w:ascii="仿宋" w:hAnsi="仿宋" w:eastAsia="仿宋" w:cs="仿宋"/>
              <w:highlight w:val="none"/>
            </w:rPr>
            <w:fldChar w:fldCharType="separate"/>
          </w:r>
          <w:r>
            <w:rPr>
              <w:rFonts w:hint="eastAsia" w:ascii="仿宋" w:hAnsi="仿宋" w:eastAsia="仿宋" w:cs="仿宋"/>
              <w:szCs w:val="21"/>
              <w:highlight w:val="none"/>
              <w:lang w:val="en-US"/>
            </w:rPr>
            <w:t>（</w:t>
          </w:r>
          <w:r>
            <w:rPr>
              <w:rFonts w:hint="eastAsia" w:ascii="仿宋" w:hAnsi="仿宋" w:eastAsia="仿宋" w:cs="仿宋"/>
              <w:szCs w:val="21"/>
              <w:highlight w:val="none"/>
              <w:lang w:val="en-US" w:eastAsia="zh-CN"/>
            </w:rPr>
            <w:t>八</w:t>
          </w:r>
          <w:r>
            <w:rPr>
              <w:rFonts w:hint="eastAsia" w:ascii="仿宋" w:hAnsi="仿宋" w:eastAsia="仿宋" w:cs="仿宋"/>
              <w:szCs w:val="21"/>
              <w:highlight w:val="none"/>
              <w:lang w:val="en-US"/>
            </w:rPr>
            <w:t>）</w:t>
          </w:r>
          <w:r>
            <w:rPr>
              <w:rFonts w:hint="eastAsia" w:ascii="仿宋" w:hAnsi="仿宋" w:eastAsia="仿宋" w:cs="仿宋"/>
              <w:szCs w:val="21"/>
              <w:highlight w:val="none"/>
              <w:lang w:val="en-US" w:eastAsia="zh-CN"/>
            </w:rPr>
            <w:t>项目合作模式及范围</w:t>
          </w:r>
          <w:r>
            <w:tab/>
          </w:r>
          <w:r>
            <w:fldChar w:fldCharType="begin"/>
          </w:r>
          <w:r>
            <w:instrText xml:space="preserve"> PAGEREF _Toc31374 \h </w:instrText>
          </w:r>
          <w:r>
            <w:fldChar w:fldCharType="separate"/>
          </w:r>
          <w:r>
            <w:t>25</w:t>
          </w:r>
          <w:r>
            <w:fldChar w:fldCharType="end"/>
          </w:r>
          <w:r>
            <w:rPr>
              <w:rFonts w:hint="eastAsia" w:ascii="仿宋" w:hAnsi="仿宋" w:eastAsia="仿宋" w:cs="仿宋"/>
              <w:color w:val="auto"/>
              <w:highlight w:val="none"/>
            </w:rPr>
            <w:fldChar w:fldCharType="end"/>
          </w:r>
        </w:p>
        <w:p w14:paraId="001F82B3">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_Toc10663 </w:instrText>
          </w:r>
          <w:r>
            <w:rPr>
              <w:rFonts w:hint="eastAsia" w:ascii="仿宋" w:hAnsi="仿宋" w:eastAsia="仿宋" w:cs="仿宋"/>
              <w:highlight w:val="none"/>
            </w:rPr>
            <w:fldChar w:fldCharType="separate"/>
          </w:r>
          <w:r>
            <w:rPr>
              <w:rFonts w:hint="eastAsia" w:ascii="仿宋" w:hAnsi="仿宋" w:eastAsia="仿宋" w:cs="仿宋"/>
              <w:szCs w:val="21"/>
              <w:highlight w:val="none"/>
              <w:lang w:val="en-US"/>
            </w:rPr>
            <w:t>（</w:t>
          </w:r>
          <w:r>
            <w:rPr>
              <w:rFonts w:hint="eastAsia" w:ascii="仿宋" w:hAnsi="仿宋" w:eastAsia="仿宋" w:cs="仿宋"/>
              <w:szCs w:val="21"/>
              <w:highlight w:val="none"/>
              <w:lang w:val="en-US" w:eastAsia="zh-CN"/>
            </w:rPr>
            <w:t>九</w:t>
          </w:r>
          <w:r>
            <w:rPr>
              <w:rFonts w:hint="eastAsia" w:ascii="仿宋" w:hAnsi="仿宋" w:eastAsia="仿宋" w:cs="仿宋"/>
              <w:szCs w:val="21"/>
              <w:highlight w:val="none"/>
              <w:lang w:val="en-US"/>
            </w:rPr>
            <w:t>）</w:t>
          </w:r>
          <w:r>
            <w:rPr>
              <w:rFonts w:hint="eastAsia" w:ascii="仿宋" w:hAnsi="仿宋" w:eastAsia="仿宋" w:cs="仿宋"/>
              <w:bCs/>
              <w:szCs w:val="21"/>
              <w:highlight w:val="none"/>
              <w:lang w:val="en-US" w:eastAsia="zh-CN"/>
            </w:rPr>
            <w:t>运作</w:t>
          </w:r>
          <w:r>
            <w:rPr>
              <w:rFonts w:hint="eastAsia" w:ascii="仿宋" w:hAnsi="仿宋" w:eastAsia="仿宋" w:cs="仿宋"/>
              <w:szCs w:val="21"/>
              <w:highlight w:val="none"/>
              <w:lang w:val="en-US" w:eastAsia="zh-CN"/>
            </w:rPr>
            <w:t>模式</w:t>
          </w:r>
          <w:r>
            <w:tab/>
          </w:r>
          <w:r>
            <w:fldChar w:fldCharType="begin"/>
          </w:r>
          <w:r>
            <w:instrText xml:space="preserve"> PAGEREF _Toc10663 \h </w:instrText>
          </w:r>
          <w:r>
            <w:fldChar w:fldCharType="separate"/>
          </w:r>
          <w:r>
            <w:t>25</w:t>
          </w:r>
          <w:r>
            <w:fldChar w:fldCharType="end"/>
          </w:r>
          <w:r>
            <w:rPr>
              <w:rFonts w:hint="eastAsia" w:ascii="仿宋" w:hAnsi="仿宋" w:eastAsia="仿宋" w:cs="仿宋"/>
              <w:color w:val="auto"/>
              <w:highlight w:val="none"/>
            </w:rPr>
            <w:fldChar w:fldCharType="end"/>
          </w:r>
        </w:p>
        <w:p w14:paraId="66628D13">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_Toc29678 </w:instrText>
          </w:r>
          <w:r>
            <w:rPr>
              <w:rFonts w:hint="eastAsia" w:ascii="仿宋" w:hAnsi="仿宋" w:eastAsia="仿宋" w:cs="仿宋"/>
              <w:highlight w:val="none"/>
            </w:rPr>
            <w:fldChar w:fldCharType="separate"/>
          </w:r>
          <w:r>
            <w:rPr>
              <w:rFonts w:hint="eastAsia" w:ascii="仿宋" w:hAnsi="仿宋" w:eastAsia="仿宋" w:cs="仿宋"/>
              <w:szCs w:val="21"/>
              <w:highlight w:val="none"/>
              <w:lang w:val="en-US"/>
            </w:rPr>
            <w:t>（十）</w:t>
          </w:r>
          <w:r>
            <w:rPr>
              <w:rFonts w:hint="eastAsia" w:ascii="仿宋" w:hAnsi="仿宋" w:eastAsia="仿宋" w:cs="仿宋"/>
              <w:szCs w:val="21"/>
              <w:highlight w:val="none"/>
              <w:lang w:val="en-US" w:eastAsia="zh-CN"/>
            </w:rPr>
            <w:t>前期工作进展</w:t>
          </w:r>
          <w:r>
            <w:tab/>
          </w:r>
          <w:r>
            <w:fldChar w:fldCharType="begin"/>
          </w:r>
          <w:r>
            <w:instrText xml:space="preserve"> PAGEREF _Toc29678 \h </w:instrText>
          </w:r>
          <w:r>
            <w:fldChar w:fldCharType="separate"/>
          </w:r>
          <w:r>
            <w:t>25</w:t>
          </w:r>
          <w:r>
            <w:fldChar w:fldCharType="end"/>
          </w:r>
          <w:r>
            <w:rPr>
              <w:rFonts w:hint="eastAsia" w:ascii="仿宋" w:hAnsi="仿宋" w:eastAsia="仿宋" w:cs="仿宋"/>
              <w:color w:val="auto"/>
              <w:highlight w:val="none"/>
            </w:rPr>
            <w:fldChar w:fldCharType="end"/>
          </w:r>
        </w:p>
        <w:p w14:paraId="139EF9C6">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_Toc16729 </w:instrText>
          </w:r>
          <w:r>
            <w:rPr>
              <w:rFonts w:hint="eastAsia" w:ascii="仿宋" w:hAnsi="仿宋" w:eastAsia="仿宋" w:cs="仿宋"/>
              <w:highlight w:val="none"/>
            </w:rPr>
            <w:fldChar w:fldCharType="separate"/>
          </w:r>
          <w:r>
            <w:rPr>
              <w:rFonts w:hint="eastAsia" w:ascii="仿宋" w:hAnsi="仿宋" w:eastAsia="仿宋" w:cs="仿宋"/>
              <w:szCs w:val="21"/>
              <w:highlight w:val="none"/>
              <w:lang w:val="en-US"/>
            </w:rPr>
            <w:t>（十</w:t>
          </w:r>
          <w:r>
            <w:rPr>
              <w:rFonts w:hint="eastAsia" w:ascii="仿宋" w:hAnsi="仿宋" w:eastAsia="仿宋" w:cs="仿宋"/>
              <w:szCs w:val="21"/>
              <w:highlight w:val="none"/>
              <w:lang w:val="en-US" w:eastAsia="zh-CN"/>
            </w:rPr>
            <w:t>一</w:t>
          </w:r>
          <w:r>
            <w:rPr>
              <w:rFonts w:hint="eastAsia" w:ascii="仿宋" w:hAnsi="仿宋" w:eastAsia="仿宋" w:cs="仿宋"/>
              <w:szCs w:val="21"/>
              <w:highlight w:val="none"/>
              <w:lang w:val="en-US"/>
            </w:rPr>
            <w:t>）</w:t>
          </w:r>
          <w:r>
            <w:rPr>
              <w:rFonts w:hint="eastAsia" w:ascii="仿宋" w:hAnsi="仿宋" w:eastAsia="仿宋" w:cs="仿宋"/>
              <w:szCs w:val="21"/>
              <w:highlight w:val="none"/>
              <w:lang w:val="en-US" w:eastAsia="zh-CN"/>
            </w:rPr>
            <w:t>项目实施机构及政府出资人代表</w:t>
          </w:r>
          <w:r>
            <w:tab/>
          </w:r>
          <w:r>
            <w:fldChar w:fldCharType="begin"/>
          </w:r>
          <w:r>
            <w:instrText xml:space="preserve"> PAGEREF _Toc16729 \h </w:instrText>
          </w:r>
          <w:r>
            <w:fldChar w:fldCharType="separate"/>
          </w:r>
          <w:r>
            <w:t>25</w:t>
          </w:r>
          <w:r>
            <w:fldChar w:fldCharType="end"/>
          </w:r>
          <w:r>
            <w:rPr>
              <w:rFonts w:hint="eastAsia" w:ascii="仿宋" w:hAnsi="仿宋" w:eastAsia="仿宋" w:cs="仿宋"/>
              <w:color w:val="auto"/>
              <w:highlight w:val="none"/>
            </w:rPr>
            <w:fldChar w:fldCharType="end"/>
          </w:r>
        </w:p>
        <w:p w14:paraId="17B1E879">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_Toc31624 </w:instrText>
          </w:r>
          <w:r>
            <w:rPr>
              <w:rFonts w:hint="eastAsia" w:ascii="仿宋" w:hAnsi="仿宋" w:eastAsia="仿宋" w:cs="仿宋"/>
              <w:highlight w:val="none"/>
            </w:rPr>
            <w:fldChar w:fldCharType="separate"/>
          </w:r>
          <w:r>
            <w:rPr>
              <w:rFonts w:hint="eastAsia" w:ascii="仿宋" w:hAnsi="仿宋" w:eastAsia="仿宋" w:cs="仿宋"/>
              <w:szCs w:val="21"/>
              <w:highlight w:val="none"/>
              <w:lang w:val="en-US"/>
            </w:rPr>
            <w:t>（十</w:t>
          </w:r>
          <w:r>
            <w:rPr>
              <w:rFonts w:hint="eastAsia" w:ascii="仿宋" w:hAnsi="仿宋" w:eastAsia="仿宋" w:cs="仿宋"/>
              <w:szCs w:val="21"/>
              <w:highlight w:val="none"/>
              <w:lang w:val="en-US" w:eastAsia="zh-CN"/>
            </w:rPr>
            <w:t>二</w:t>
          </w:r>
          <w:r>
            <w:rPr>
              <w:rFonts w:hint="eastAsia" w:ascii="仿宋" w:hAnsi="仿宋" w:eastAsia="仿宋" w:cs="仿宋"/>
              <w:szCs w:val="21"/>
              <w:highlight w:val="none"/>
              <w:lang w:val="en-US"/>
            </w:rPr>
            <w:t>）</w:t>
          </w:r>
          <w:r>
            <w:rPr>
              <w:rFonts w:hint="eastAsia" w:ascii="仿宋" w:hAnsi="仿宋" w:eastAsia="仿宋" w:cs="仿宋"/>
              <w:szCs w:val="21"/>
              <w:highlight w:val="none"/>
              <w:lang w:val="en-US" w:eastAsia="zh-CN"/>
            </w:rPr>
            <w:t>特许经营主要内容</w:t>
          </w:r>
          <w:r>
            <w:tab/>
          </w:r>
          <w:r>
            <w:fldChar w:fldCharType="begin"/>
          </w:r>
          <w:r>
            <w:instrText xml:space="preserve"> PAGEREF _Toc31624 \h </w:instrText>
          </w:r>
          <w:r>
            <w:fldChar w:fldCharType="separate"/>
          </w:r>
          <w:r>
            <w:t>25</w:t>
          </w:r>
          <w:r>
            <w:fldChar w:fldCharType="end"/>
          </w:r>
          <w:r>
            <w:rPr>
              <w:rFonts w:hint="eastAsia" w:ascii="仿宋" w:hAnsi="仿宋" w:eastAsia="仿宋" w:cs="仿宋"/>
              <w:color w:val="auto"/>
              <w:highlight w:val="none"/>
            </w:rPr>
            <w:fldChar w:fldCharType="end"/>
          </w:r>
        </w:p>
        <w:p w14:paraId="73A3A591">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_Toc12314 </w:instrText>
          </w:r>
          <w:r>
            <w:rPr>
              <w:rFonts w:hint="eastAsia" w:ascii="仿宋" w:hAnsi="仿宋" w:eastAsia="仿宋" w:cs="仿宋"/>
              <w:highlight w:val="none"/>
            </w:rPr>
            <w:fldChar w:fldCharType="separate"/>
          </w:r>
          <w:r>
            <w:rPr>
              <w:rFonts w:hint="eastAsia" w:ascii="仿宋" w:hAnsi="仿宋" w:eastAsia="仿宋" w:cs="仿宋"/>
              <w:szCs w:val="21"/>
              <w:highlight w:val="none"/>
              <w:lang w:val="en-US"/>
            </w:rPr>
            <w:t>（十</w:t>
          </w:r>
          <w:r>
            <w:rPr>
              <w:rFonts w:hint="eastAsia" w:ascii="仿宋" w:hAnsi="仿宋" w:eastAsia="仿宋" w:cs="仿宋"/>
              <w:szCs w:val="21"/>
              <w:highlight w:val="none"/>
              <w:lang w:val="en-US" w:eastAsia="zh-CN"/>
            </w:rPr>
            <w:t>三</w:t>
          </w:r>
          <w:r>
            <w:rPr>
              <w:rFonts w:hint="eastAsia" w:ascii="仿宋" w:hAnsi="仿宋" w:eastAsia="仿宋" w:cs="仿宋"/>
              <w:szCs w:val="21"/>
              <w:highlight w:val="none"/>
              <w:lang w:val="en-US"/>
            </w:rPr>
            <w:t>）</w:t>
          </w:r>
          <w:r>
            <w:rPr>
              <w:rFonts w:hint="eastAsia" w:ascii="仿宋" w:hAnsi="仿宋" w:eastAsia="仿宋" w:cs="仿宋"/>
              <w:szCs w:val="21"/>
              <w:highlight w:val="none"/>
              <w:lang w:val="en-US" w:eastAsia="zh-CN"/>
            </w:rPr>
            <w:t>政府承诺和保障</w:t>
          </w:r>
          <w:r>
            <w:tab/>
          </w:r>
          <w:r>
            <w:fldChar w:fldCharType="begin"/>
          </w:r>
          <w:r>
            <w:instrText xml:space="preserve"> PAGEREF _Toc12314 \h </w:instrText>
          </w:r>
          <w:r>
            <w:fldChar w:fldCharType="separate"/>
          </w:r>
          <w:r>
            <w:t>28</w:t>
          </w:r>
          <w:r>
            <w:fldChar w:fldCharType="end"/>
          </w:r>
          <w:r>
            <w:rPr>
              <w:rFonts w:hint="eastAsia" w:ascii="仿宋" w:hAnsi="仿宋" w:eastAsia="仿宋" w:cs="仿宋"/>
              <w:color w:val="auto"/>
              <w:highlight w:val="none"/>
            </w:rPr>
            <w:fldChar w:fldCharType="end"/>
          </w:r>
        </w:p>
        <w:p w14:paraId="0C228A56">
          <w:pPr>
            <w:pStyle w:val="18"/>
            <w:tabs>
              <w:tab w:val="right" w:pos="2800"/>
              <w:tab w:val="right" w:leader="dot" w:pos="9330"/>
            </w:tabs>
            <w:rPr>
              <w:b/>
              <w:bCs/>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_Toc18868 </w:instrText>
          </w:r>
          <w:r>
            <w:rPr>
              <w:rFonts w:hint="eastAsia" w:ascii="仿宋" w:hAnsi="仿宋" w:eastAsia="仿宋" w:cs="仿宋"/>
              <w:b/>
              <w:bCs/>
              <w:highlight w:val="none"/>
            </w:rPr>
            <w:fldChar w:fldCharType="separate"/>
          </w:r>
          <w:r>
            <w:rPr>
              <w:rFonts w:hint="eastAsia" w:ascii="仿宋" w:hAnsi="仿宋" w:eastAsia="仿宋" w:cs="仿宋"/>
              <w:b/>
              <w:bCs/>
              <w:szCs w:val="28"/>
              <w:highlight w:val="none"/>
            </w:rPr>
            <w:t>第六章</w:t>
          </w:r>
          <w:r>
            <w:rPr>
              <w:rFonts w:hint="eastAsia" w:ascii="仿宋" w:hAnsi="仿宋" w:eastAsia="仿宋" w:cs="仿宋"/>
              <w:b/>
              <w:bCs/>
              <w:szCs w:val="28"/>
              <w:highlight w:val="none"/>
            </w:rPr>
            <w:tab/>
          </w:r>
          <w:r>
            <w:rPr>
              <w:rFonts w:hint="eastAsia" w:ascii="仿宋" w:hAnsi="仿宋" w:eastAsia="仿宋" w:cs="仿宋"/>
              <w:b/>
              <w:bCs/>
              <w:szCs w:val="28"/>
              <w:highlight w:val="none"/>
            </w:rPr>
            <w:t>投标文件格式</w:t>
          </w:r>
          <w:r>
            <w:rPr>
              <w:b/>
              <w:bCs/>
            </w:rPr>
            <w:tab/>
          </w:r>
          <w:r>
            <w:rPr>
              <w:b/>
              <w:bCs/>
            </w:rPr>
            <w:fldChar w:fldCharType="begin"/>
          </w:r>
          <w:r>
            <w:rPr>
              <w:b/>
              <w:bCs/>
            </w:rPr>
            <w:instrText xml:space="preserve"> PAGEREF _Toc18868 \h </w:instrText>
          </w:r>
          <w:r>
            <w:rPr>
              <w:b/>
              <w:bCs/>
            </w:rPr>
            <w:fldChar w:fldCharType="separate"/>
          </w:r>
          <w:r>
            <w:rPr>
              <w:b/>
              <w:bCs/>
            </w:rPr>
            <w:t>29</w:t>
          </w:r>
          <w:r>
            <w:rPr>
              <w:b/>
              <w:bCs/>
            </w:rPr>
            <w:fldChar w:fldCharType="end"/>
          </w:r>
          <w:r>
            <w:rPr>
              <w:rFonts w:hint="eastAsia" w:ascii="仿宋" w:hAnsi="仿宋" w:eastAsia="仿宋" w:cs="仿宋"/>
              <w:b/>
              <w:bCs/>
              <w:color w:val="auto"/>
              <w:highlight w:val="none"/>
            </w:rPr>
            <w:fldChar w:fldCharType="end"/>
          </w:r>
        </w:p>
        <w:p w14:paraId="329A6D04">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_Toc5396 </w:instrText>
          </w:r>
          <w:r>
            <w:rPr>
              <w:rFonts w:hint="eastAsia" w:ascii="仿宋" w:hAnsi="仿宋" w:eastAsia="仿宋" w:cs="仿宋"/>
              <w:highlight w:val="none"/>
            </w:rPr>
            <w:fldChar w:fldCharType="separate"/>
          </w:r>
          <w:r>
            <w:rPr>
              <w:rFonts w:hint="eastAsia" w:ascii="仿宋" w:hAnsi="仿宋" w:eastAsia="仿宋" w:cs="仿宋"/>
              <w:highlight w:val="none"/>
            </w:rPr>
            <w:t>一、投标函</w:t>
          </w:r>
          <w:r>
            <w:tab/>
          </w:r>
          <w:r>
            <w:fldChar w:fldCharType="begin"/>
          </w:r>
          <w:r>
            <w:instrText xml:space="preserve"> PAGEREF _Toc5396 \h </w:instrText>
          </w:r>
          <w:r>
            <w:fldChar w:fldCharType="separate"/>
          </w:r>
          <w:r>
            <w:t>31</w:t>
          </w:r>
          <w:r>
            <w:fldChar w:fldCharType="end"/>
          </w:r>
          <w:r>
            <w:rPr>
              <w:rFonts w:hint="eastAsia" w:ascii="仿宋" w:hAnsi="仿宋" w:eastAsia="仿宋" w:cs="仿宋"/>
              <w:color w:val="auto"/>
              <w:highlight w:val="none"/>
            </w:rPr>
            <w:fldChar w:fldCharType="end"/>
          </w:r>
        </w:p>
        <w:p w14:paraId="11362574">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_Toc24461 </w:instrText>
          </w:r>
          <w:r>
            <w:rPr>
              <w:rFonts w:hint="eastAsia" w:ascii="仿宋" w:hAnsi="仿宋" w:eastAsia="仿宋" w:cs="仿宋"/>
              <w:highlight w:val="none"/>
            </w:rPr>
            <w:fldChar w:fldCharType="separate"/>
          </w:r>
          <w:r>
            <w:rPr>
              <w:rFonts w:hint="eastAsia" w:ascii="仿宋" w:hAnsi="仿宋" w:eastAsia="仿宋" w:cs="仿宋"/>
              <w:highlight w:val="none"/>
            </w:rPr>
            <w:t>二、开标一览表</w:t>
          </w:r>
          <w:r>
            <w:tab/>
          </w:r>
          <w:r>
            <w:fldChar w:fldCharType="begin"/>
          </w:r>
          <w:r>
            <w:instrText xml:space="preserve"> PAGEREF _Toc24461 \h </w:instrText>
          </w:r>
          <w:r>
            <w:fldChar w:fldCharType="separate"/>
          </w:r>
          <w:r>
            <w:t>32</w:t>
          </w:r>
          <w:r>
            <w:fldChar w:fldCharType="end"/>
          </w:r>
          <w:r>
            <w:rPr>
              <w:rFonts w:hint="eastAsia" w:ascii="仿宋" w:hAnsi="仿宋" w:eastAsia="仿宋" w:cs="仿宋"/>
              <w:color w:val="auto"/>
              <w:highlight w:val="none"/>
            </w:rPr>
            <w:fldChar w:fldCharType="end"/>
          </w:r>
        </w:p>
        <w:p w14:paraId="6955C285">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_Toc15990 </w:instrText>
          </w:r>
          <w:r>
            <w:rPr>
              <w:rFonts w:hint="eastAsia" w:ascii="仿宋" w:hAnsi="仿宋" w:eastAsia="仿宋" w:cs="仿宋"/>
              <w:highlight w:val="none"/>
            </w:rPr>
            <w:fldChar w:fldCharType="separate"/>
          </w:r>
          <w:r>
            <w:rPr>
              <w:rFonts w:hint="eastAsia" w:ascii="仿宋" w:hAnsi="仿宋" w:eastAsia="仿宋" w:cs="仿宋"/>
              <w:highlight w:val="none"/>
            </w:rPr>
            <w:t>三、法定代表人身份证明</w:t>
          </w:r>
          <w:r>
            <w:tab/>
          </w:r>
          <w:r>
            <w:fldChar w:fldCharType="begin"/>
          </w:r>
          <w:r>
            <w:instrText xml:space="preserve"> PAGEREF _Toc15990 \h </w:instrText>
          </w:r>
          <w:r>
            <w:fldChar w:fldCharType="separate"/>
          </w:r>
          <w:r>
            <w:t>33</w:t>
          </w:r>
          <w:r>
            <w:fldChar w:fldCharType="end"/>
          </w:r>
          <w:r>
            <w:rPr>
              <w:rFonts w:hint="eastAsia" w:ascii="仿宋" w:hAnsi="仿宋" w:eastAsia="仿宋" w:cs="仿宋"/>
              <w:color w:val="auto"/>
              <w:highlight w:val="none"/>
            </w:rPr>
            <w:fldChar w:fldCharType="end"/>
          </w:r>
        </w:p>
        <w:p w14:paraId="11BEB76A">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_Toc10027 </w:instrText>
          </w:r>
          <w:r>
            <w:rPr>
              <w:rFonts w:hint="eastAsia" w:ascii="仿宋" w:hAnsi="仿宋" w:eastAsia="仿宋" w:cs="仿宋"/>
              <w:highlight w:val="none"/>
            </w:rPr>
            <w:fldChar w:fldCharType="separate"/>
          </w:r>
          <w:r>
            <w:rPr>
              <w:rFonts w:hint="eastAsia" w:ascii="仿宋" w:hAnsi="仿宋" w:eastAsia="仿宋" w:cs="仿宋"/>
              <w:highlight w:val="none"/>
            </w:rPr>
            <w:t>四、授权委托书</w:t>
          </w:r>
          <w:r>
            <w:tab/>
          </w:r>
          <w:r>
            <w:fldChar w:fldCharType="begin"/>
          </w:r>
          <w:r>
            <w:instrText xml:space="preserve"> PAGEREF _Toc10027 \h </w:instrText>
          </w:r>
          <w:r>
            <w:fldChar w:fldCharType="separate"/>
          </w:r>
          <w:r>
            <w:t>34</w:t>
          </w:r>
          <w:r>
            <w:fldChar w:fldCharType="end"/>
          </w:r>
          <w:r>
            <w:rPr>
              <w:rFonts w:hint="eastAsia" w:ascii="仿宋" w:hAnsi="仿宋" w:eastAsia="仿宋" w:cs="仿宋"/>
              <w:color w:val="auto"/>
              <w:highlight w:val="none"/>
            </w:rPr>
            <w:fldChar w:fldCharType="end"/>
          </w:r>
        </w:p>
        <w:p w14:paraId="0E28A3F3">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_Toc23404 </w:instrText>
          </w:r>
          <w:r>
            <w:rPr>
              <w:rFonts w:hint="eastAsia" w:ascii="仿宋" w:hAnsi="仿宋" w:eastAsia="仿宋" w:cs="仿宋"/>
              <w:highlight w:val="none"/>
            </w:rPr>
            <w:fldChar w:fldCharType="separate"/>
          </w:r>
          <w:r>
            <w:rPr>
              <w:rFonts w:hint="eastAsia" w:ascii="仿宋" w:hAnsi="仿宋" w:eastAsia="仿宋" w:cs="仿宋"/>
              <w:highlight w:val="none"/>
              <w:lang w:val="en-US" w:eastAsia="zh-CN"/>
            </w:rPr>
            <w:t>五</w:t>
          </w:r>
          <w:r>
            <w:rPr>
              <w:rFonts w:hint="eastAsia" w:ascii="仿宋" w:hAnsi="仿宋" w:eastAsia="仿宋" w:cs="仿宋"/>
              <w:highlight w:val="none"/>
              <w:lang w:val="en-US"/>
            </w:rPr>
            <w:t>、资格审查资料</w:t>
          </w:r>
          <w:r>
            <w:tab/>
          </w:r>
          <w:r>
            <w:fldChar w:fldCharType="begin"/>
          </w:r>
          <w:r>
            <w:instrText xml:space="preserve"> PAGEREF _Toc23404 \h </w:instrText>
          </w:r>
          <w:r>
            <w:fldChar w:fldCharType="separate"/>
          </w:r>
          <w:r>
            <w:t>35</w:t>
          </w:r>
          <w:r>
            <w:fldChar w:fldCharType="end"/>
          </w:r>
          <w:r>
            <w:rPr>
              <w:rFonts w:hint="eastAsia" w:ascii="仿宋" w:hAnsi="仿宋" w:eastAsia="仿宋" w:cs="仿宋"/>
              <w:color w:val="auto"/>
              <w:highlight w:val="none"/>
            </w:rPr>
            <w:fldChar w:fldCharType="end"/>
          </w:r>
        </w:p>
        <w:p w14:paraId="06B7B5D9">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_Toc14202 </w:instrText>
          </w:r>
          <w:r>
            <w:rPr>
              <w:rFonts w:hint="eastAsia" w:ascii="仿宋" w:hAnsi="仿宋" w:eastAsia="仿宋" w:cs="仿宋"/>
              <w:highlight w:val="none"/>
            </w:rPr>
            <w:fldChar w:fldCharType="separate"/>
          </w:r>
          <w:r>
            <w:rPr>
              <w:rFonts w:hint="eastAsia" w:ascii="仿宋" w:hAnsi="仿宋" w:eastAsia="仿宋" w:cs="仿宋"/>
              <w:szCs w:val="24"/>
              <w:highlight w:val="none"/>
            </w:rPr>
            <w:t>（一）供应商基本情况表</w:t>
          </w:r>
          <w:r>
            <w:tab/>
          </w:r>
          <w:r>
            <w:fldChar w:fldCharType="begin"/>
          </w:r>
          <w:r>
            <w:instrText xml:space="preserve"> PAGEREF _Toc14202 \h </w:instrText>
          </w:r>
          <w:r>
            <w:fldChar w:fldCharType="separate"/>
          </w:r>
          <w:r>
            <w:t>35</w:t>
          </w:r>
          <w:r>
            <w:fldChar w:fldCharType="end"/>
          </w:r>
          <w:r>
            <w:rPr>
              <w:rFonts w:hint="eastAsia" w:ascii="仿宋" w:hAnsi="仿宋" w:eastAsia="仿宋" w:cs="仿宋"/>
              <w:color w:val="auto"/>
              <w:highlight w:val="none"/>
            </w:rPr>
            <w:fldChar w:fldCharType="end"/>
          </w:r>
        </w:p>
        <w:p w14:paraId="1863080C">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_Toc11538 </w:instrText>
          </w:r>
          <w:r>
            <w:rPr>
              <w:rFonts w:hint="eastAsia" w:ascii="仿宋" w:hAnsi="仿宋" w:eastAsia="仿宋" w:cs="仿宋"/>
              <w:highlight w:val="none"/>
            </w:rPr>
            <w:fldChar w:fldCharType="separate"/>
          </w:r>
          <w:r>
            <w:rPr>
              <w:rFonts w:hint="eastAsia" w:ascii="仿宋" w:hAnsi="仿宋" w:eastAsia="仿宋" w:cs="仿宋"/>
              <w:szCs w:val="24"/>
              <w:highlight w:val="none"/>
            </w:rPr>
            <w:t>（二）供应商资格证明资料</w:t>
          </w:r>
          <w:r>
            <w:tab/>
          </w:r>
          <w:r>
            <w:fldChar w:fldCharType="begin"/>
          </w:r>
          <w:r>
            <w:instrText xml:space="preserve"> PAGEREF _Toc11538 \h </w:instrText>
          </w:r>
          <w:r>
            <w:fldChar w:fldCharType="separate"/>
          </w:r>
          <w:r>
            <w:t>36</w:t>
          </w:r>
          <w:r>
            <w:fldChar w:fldCharType="end"/>
          </w:r>
          <w:r>
            <w:rPr>
              <w:rFonts w:hint="eastAsia" w:ascii="仿宋" w:hAnsi="仿宋" w:eastAsia="仿宋" w:cs="仿宋"/>
              <w:color w:val="auto"/>
              <w:highlight w:val="none"/>
            </w:rPr>
            <w:fldChar w:fldCharType="end"/>
          </w:r>
        </w:p>
        <w:p w14:paraId="6D25154F">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_Toc4723 </w:instrText>
          </w:r>
          <w:r>
            <w:rPr>
              <w:rFonts w:hint="eastAsia" w:ascii="仿宋" w:hAnsi="仿宋" w:eastAsia="仿宋" w:cs="仿宋"/>
              <w:highlight w:val="none"/>
            </w:rPr>
            <w:fldChar w:fldCharType="separate"/>
          </w:r>
          <w:r>
            <w:rPr>
              <w:rFonts w:hint="eastAsia" w:ascii="仿宋" w:hAnsi="仿宋" w:eastAsia="仿宋" w:cs="仿宋"/>
              <w:szCs w:val="24"/>
              <w:highlight w:val="none"/>
              <w:lang w:val="en-US"/>
            </w:rPr>
            <w:t>（三）近年投融资业绩情况表</w:t>
          </w:r>
          <w:r>
            <w:tab/>
          </w:r>
          <w:r>
            <w:fldChar w:fldCharType="begin"/>
          </w:r>
          <w:r>
            <w:instrText xml:space="preserve"> PAGEREF _Toc4723 \h </w:instrText>
          </w:r>
          <w:r>
            <w:fldChar w:fldCharType="separate"/>
          </w:r>
          <w:r>
            <w:t>37</w:t>
          </w:r>
          <w:r>
            <w:fldChar w:fldCharType="end"/>
          </w:r>
          <w:r>
            <w:rPr>
              <w:rFonts w:hint="eastAsia" w:ascii="仿宋" w:hAnsi="仿宋" w:eastAsia="仿宋" w:cs="仿宋"/>
              <w:color w:val="auto"/>
              <w:highlight w:val="none"/>
            </w:rPr>
            <w:fldChar w:fldCharType="end"/>
          </w:r>
        </w:p>
        <w:p w14:paraId="5CEB55FF">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_Toc9603 </w:instrText>
          </w:r>
          <w:r>
            <w:rPr>
              <w:rFonts w:hint="eastAsia" w:ascii="仿宋" w:hAnsi="仿宋" w:eastAsia="仿宋" w:cs="仿宋"/>
              <w:highlight w:val="none"/>
            </w:rPr>
            <w:fldChar w:fldCharType="separate"/>
          </w:r>
          <w:r>
            <w:rPr>
              <w:rFonts w:hint="eastAsia" w:ascii="仿宋" w:hAnsi="仿宋" w:eastAsia="仿宋" w:cs="仿宋"/>
              <w:szCs w:val="24"/>
              <w:highlight w:val="none"/>
              <w:lang w:val="en-US"/>
            </w:rPr>
            <w:t>（</w:t>
          </w:r>
          <w:r>
            <w:rPr>
              <w:rFonts w:hint="eastAsia" w:ascii="仿宋" w:hAnsi="仿宋" w:eastAsia="仿宋" w:cs="仿宋"/>
              <w:szCs w:val="24"/>
              <w:highlight w:val="none"/>
              <w:lang w:val="en-US" w:eastAsia="zh-CN"/>
            </w:rPr>
            <w:t>四</w:t>
          </w:r>
          <w:r>
            <w:rPr>
              <w:rFonts w:hint="eastAsia" w:ascii="仿宋" w:hAnsi="仿宋" w:eastAsia="仿宋" w:cs="仿宋"/>
              <w:szCs w:val="24"/>
              <w:highlight w:val="none"/>
              <w:lang w:val="en-US"/>
            </w:rPr>
            <w:t>）无重大违法记录声明</w:t>
          </w:r>
          <w:r>
            <w:tab/>
          </w:r>
          <w:r>
            <w:fldChar w:fldCharType="begin"/>
          </w:r>
          <w:r>
            <w:instrText xml:space="preserve"> PAGEREF _Toc9603 \h </w:instrText>
          </w:r>
          <w:r>
            <w:fldChar w:fldCharType="separate"/>
          </w:r>
          <w:r>
            <w:t>38</w:t>
          </w:r>
          <w:r>
            <w:fldChar w:fldCharType="end"/>
          </w:r>
          <w:r>
            <w:rPr>
              <w:rFonts w:hint="eastAsia" w:ascii="仿宋" w:hAnsi="仿宋" w:eastAsia="仿宋" w:cs="仿宋"/>
              <w:color w:val="auto"/>
              <w:highlight w:val="none"/>
            </w:rPr>
            <w:fldChar w:fldCharType="end"/>
          </w:r>
        </w:p>
        <w:p w14:paraId="0AA740DB">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_Toc8617 </w:instrText>
          </w:r>
          <w:r>
            <w:rPr>
              <w:rFonts w:hint="eastAsia" w:ascii="仿宋" w:hAnsi="仿宋" w:eastAsia="仿宋" w:cs="仿宋"/>
              <w:highlight w:val="none"/>
            </w:rPr>
            <w:fldChar w:fldCharType="separate"/>
          </w:r>
          <w:r>
            <w:rPr>
              <w:rFonts w:hint="eastAsia" w:ascii="仿宋" w:hAnsi="仿宋" w:eastAsia="仿宋" w:cs="仿宋"/>
              <w:bCs w:val="0"/>
              <w:szCs w:val="24"/>
              <w:highlight w:val="none"/>
              <w:lang w:val="en-US"/>
            </w:rPr>
            <w:t>（</w:t>
          </w:r>
          <w:r>
            <w:rPr>
              <w:rFonts w:hint="eastAsia" w:ascii="仿宋" w:hAnsi="仿宋" w:eastAsia="仿宋" w:cs="仿宋"/>
              <w:bCs w:val="0"/>
              <w:szCs w:val="24"/>
              <w:highlight w:val="none"/>
              <w:lang w:val="en-US" w:eastAsia="zh-CN"/>
            </w:rPr>
            <w:t>五</w:t>
          </w:r>
          <w:r>
            <w:rPr>
              <w:rFonts w:hint="eastAsia" w:ascii="仿宋" w:hAnsi="仿宋" w:eastAsia="仿宋" w:cs="仿宋"/>
              <w:bCs w:val="0"/>
              <w:szCs w:val="24"/>
              <w:highlight w:val="none"/>
              <w:lang w:val="en-US"/>
            </w:rPr>
            <w:t>）反商业贿赂承诺书</w:t>
          </w:r>
          <w:r>
            <w:tab/>
          </w:r>
          <w:r>
            <w:fldChar w:fldCharType="begin"/>
          </w:r>
          <w:r>
            <w:instrText xml:space="preserve"> PAGEREF _Toc8617 \h </w:instrText>
          </w:r>
          <w:r>
            <w:fldChar w:fldCharType="separate"/>
          </w:r>
          <w:r>
            <w:t>39</w:t>
          </w:r>
          <w:r>
            <w:fldChar w:fldCharType="end"/>
          </w:r>
          <w:r>
            <w:rPr>
              <w:rFonts w:hint="eastAsia" w:ascii="仿宋" w:hAnsi="仿宋" w:eastAsia="仿宋" w:cs="仿宋"/>
              <w:color w:val="auto"/>
              <w:highlight w:val="none"/>
            </w:rPr>
            <w:fldChar w:fldCharType="end"/>
          </w:r>
        </w:p>
        <w:p w14:paraId="53854DF3">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_Toc20579 </w:instrText>
          </w:r>
          <w:r>
            <w:rPr>
              <w:rFonts w:hint="eastAsia" w:ascii="仿宋" w:hAnsi="仿宋" w:eastAsia="仿宋" w:cs="仿宋"/>
              <w:highlight w:val="none"/>
            </w:rPr>
            <w:fldChar w:fldCharType="separate"/>
          </w:r>
          <w:r>
            <w:rPr>
              <w:rFonts w:hint="eastAsia" w:ascii="仿宋" w:hAnsi="仿宋" w:eastAsia="仿宋" w:cs="仿宋"/>
              <w:szCs w:val="24"/>
              <w:highlight w:val="none"/>
              <w:lang w:val="en-US"/>
            </w:rPr>
            <w:t>（</w:t>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lang w:val="en-US"/>
            </w:rPr>
            <w:t>）服务承诺</w:t>
          </w:r>
          <w:r>
            <w:tab/>
          </w:r>
          <w:r>
            <w:fldChar w:fldCharType="begin"/>
          </w:r>
          <w:r>
            <w:instrText xml:space="preserve"> PAGEREF _Toc20579 \h </w:instrText>
          </w:r>
          <w:r>
            <w:fldChar w:fldCharType="separate"/>
          </w:r>
          <w:r>
            <w:t>40</w:t>
          </w:r>
          <w:r>
            <w:fldChar w:fldCharType="end"/>
          </w:r>
          <w:r>
            <w:rPr>
              <w:rFonts w:hint="eastAsia" w:ascii="仿宋" w:hAnsi="仿宋" w:eastAsia="仿宋" w:cs="仿宋"/>
              <w:color w:val="auto"/>
              <w:highlight w:val="none"/>
            </w:rPr>
            <w:fldChar w:fldCharType="end"/>
          </w:r>
        </w:p>
        <w:p w14:paraId="5245F520">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_Toc20773 </w:instrText>
          </w:r>
          <w:r>
            <w:rPr>
              <w:rFonts w:hint="eastAsia" w:ascii="仿宋" w:hAnsi="仿宋" w:eastAsia="仿宋" w:cs="仿宋"/>
              <w:highlight w:val="none"/>
            </w:rPr>
            <w:fldChar w:fldCharType="separate"/>
          </w:r>
          <w:r>
            <w:rPr>
              <w:rFonts w:hint="eastAsia" w:ascii="仿宋" w:hAnsi="仿宋" w:eastAsia="仿宋" w:cs="仿宋"/>
              <w:highlight w:val="none"/>
              <w:lang w:val="en-US" w:eastAsia="zh-CN"/>
            </w:rPr>
            <w:t>六</w:t>
          </w:r>
          <w:r>
            <w:rPr>
              <w:rFonts w:hint="eastAsia" w:ascii="仿宋" w:hAnsi="仿宋" w:eastAsia="仿宋" w:cs="仿宋"/>
              <w:highlight w:val="none"/>
              <w:lang w:val="en-US"/>
            </w:rPr>
            <w:t>、</w:t>
          </w:r>
          <w:r>
            <w:rPr>
              <w:rFonts w:hint="eastAsia" w:ascii="仿宋" w:hAnsi="仿宋" w:eastAsia="仿宋" w:cs="仿宋"/>
              <w:highlight w:val="none"/>
            </w:rPr>
            <w:t>项目管理机构</w:t>
          </w:r>
          <w:r>
            <w:tab/>
          </w:r>
          <w:r>
            <w:fldChar w:fldCharType="begin"/>
          </w:r>
          <w:r>
            <w:instrText xml:space="preserve"> PAGEREF _Toc20773 \h </w:instrText>
          </w:r>
          <w:r>
            <w:fldChar w:fldCharType="separate"/>
          </w:r>
          <w:r>
            <w:t>41</w:t>
          </w:r>
          <w:r>
            <w:fldChar w:fldCharType="end"/>
          </w:r>
          <w:r>
            <w:rPr>
              <w:rFonts w:hint="eastAsia" w:ascii="仿宋" w:hAnsi="仿宋" w:eastAsia="仿宋" w:cs="仿宋"/>
              <w:color w:val="auto"/>
              <w:highlight w:val="none"/>
            </w:rPr>
            <w:fldChar w:fldCharType="end"/>
          </w:r>
        </w:p>
        <w:p w14:paraId="44FBB596">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_Toc1216 </w:instrText>
          </w:r>
          <w:r>
            <w:rPr>
              <w:rFonts w:hint="eastAsia" w:ascii="仿宋" w:hAnsi="仿宋" w:eastAsia="仿宋" w:cs="仿宋"/>
              <w:highlight w:val="none"/>
            </w:rPr>
            <w:fldChar w:fldCharType="separate"/>
          </w:r>
          <w:r>
            <w:rPr>
              <w:rFonts w:hint="eastAsia" w:ascii="仿宋" w:hAnsi="仿宋" w:eastAsia="仿宋" w:cs="仿宋"/>
              <w:highlight w:val="none"/>
              <w:lang w:val="en-US" w:eastAsia="zh-CN"/>
            </w:rPr>
            <w:t>七</w:t>
          </w:r>
          <w:r>
            <w:rPr>
              <w:rFonts w:hint="eastAsia" w:ascii="仿宋" w:hAnsi="仿宋" w:eastAsia="仿宋" w:cs="仿宋"/>
              <w:highlight w:val="none"/>
            </w:rPr>
            <w:t>、</w:t>
          </w:r>
          <w:r>
            <w:rPr>
              <w:rFonts w:hint="eastAsia" w:ascii="仿宋" w:hAnsi="仿宋" w:eastAsia="仿宋" w:cs="仿宋"/>
              <w:highlight w:val="none"/>
              <w:lang w:val="en-US"/>
            </w:rPr>
            <w:t>技术部分</w:t>
          </w:r>
          <w:r>
            <w:tab/>
          </w:r>
          <w:r>
            <w:fldChar w:fldCharType="begin"/>
          </w:r>
          <w:r>
            <w:instrText xml:space="preserve"> PAGEREF _Toc1216 \h </w:instrText>
          </w:r>
          <w:r>
            <w:fldChar w:fldCharType="separate"/>
          </w:r>
          <w:r>
            <w:t>42</w:t>
          </w:r>
          <w:r>
            <w:fldChar w:fldCharType="end"/>
          </w:r>
          <w:r>
            <w:rPr>
              <w:rFonts w:hint="eastAsia" w:ascii="仿宋" w:hAnsi="仿宋" w:eastAsia="仿宋" w:cs="仿宋"/>
              <w:color w:val="auto"/>
              <w:highlight w:val="none"/>
            </w:rPr>
            <w:fldChar w:fldCharType="end"/>
          </w:r>
        </w:p>
        <w:p w14:paraId="50E26A92">
          <w:pPr>
            <w:pStyle w:val="19"/>
            <w:tabs>
              <w:tab w:val="right" w:leader="dot" w:pos="9330"/>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_Toc29242 </w:instrText>
          </w:r>
          <w:r>
            <w:rPr>
              <w:rFonts w:hint="eastAsia" w:ascii="仿宋" w:hAnsi="仿宋" w:eastAsia="仿宋" w:cs="仿宋"/>
              <w:highlight w:val="none"/>
            </w:rPr>
            <w:fldChar w:fldCharType="separate"/>
          </w:r>
          <w:r>
            <w:rPr>
              <w:rFonts w:hint="eastAsia" w:ascii="仿宋" w:hAnsi="仿宋" w:eastAsia="仿宋" w:cs="仿宋"/>
              <w:highlight w:val="none"/>
              <w:lang w:val="en-US" w:eastAsia="zh-CN"/>
            </w:rPr>
            <w:t>八</w:t>
          </w:r>
          <w:r>
            <w:rPr>
              <w:rFonts w:hint="eastAsia" w:ascii="仿宋" w:hAnsi="仿宋" w:eastAsia="仿宋" w:cs="仿宋"/>
              <w:highlight w:val="none"/>
            </w:rPr>
            <w:t>、其他材料</w:t>
          </w:r>
          <w:r>
            <w:tab/>
          </w:r>
          <w:r>
            <w:fldChar w:fldCharType="begin"/>
          </w:r>
          <w:r>
            <w:instrText xml:space="preserve"> PAGEREF _Toc29242 \h </w:instrText>
          </w:r>
          <w:r>
            <w:fldChar w:fldCharType="separate"/>
          </w:r>
          <w:r>
            <w:t>43</w:t>
          </w:r>
          <w:r>
            <w:fldChar w:fldCharType="end"/>
          </w:r>
          <w:r>
            <w:rPr>
              <w:rFonts w:hint="eastAsia" w:ascii="仿宋" w:hAnsi="仿宋" w:eastAsia="仿宋" w:cs="仿宋"/>
              <w:color w:val="auto"/>
              <w:highlight w:val="none"/>
            </w:rPr>
            <w:fldChar w:fldCharType="end"/>
          </w:r>
        </w:p>
        <w:p w14:paraId="3DDFD305">
          <w:pPr>
            <w:keepNext w:val="0"/>
            <w:keepLines w:val="0"/>
            <w:pageBreakBefore w:val="0"/>
            <w:kinsoku/>
            <w:wordWrap/>
            <w:overflowPunct/>
            <w:topLinePunct w:val="0"/>
            <w:bidi w:val="0"/>
            <w:adjustRightInd/>
            <w:snapToGrid w:val="0"/>
            <w:spacing w:before="0" w:beforeLines="0" w:after="0" w:afterLines="0" w:line="360" w:lineRule="auto"/>
            <w:ind w:left="0" w:leftChars="0" w:right="0" w:rightChars="0" w:firstLine="0" w:firstLineChars="0"/>
            <w:jc w:val="center"/>
            <w:textAlignment w:val="auto"/>
            <w:rPr>
              <w:color w:val="auto"/>
              <w:highlight w:val="none"/>
            </w:rPr>
          </w:pPr>
          <w:r>
            <w:rPr>
              <w:rFonts w:hint="eastAsia" w:ascii="仿宋" w:hAnsi="仿宋" w:eastAsia="仿宋" w:cs="仿宋"/>
              <w:b/>
              <w:color w:val="auto"/>
              <w:highlight w:val="none"/>
            </w:rPr>
            <w:fldChar w:fldCharType="end"/>
          </w:r>
        </w:p>
      </w:sdtContent>
    </w:sdt>
    <w:p w14:paraId="09F16F62">
      <w:pPr>
        <w:keepNext w:val="0"/>
        <w:keepLines w:val="0"/>
        <w:pageBreakBefore w:val="0"/>
        <w:kinsoku/>
        <w:overflowPunct/>
        <w:bidi w:val="0"/>
        <w:snapToGrid w:val="0"/>
        <w:spacing w:line="360" w:lineRule="auto"/>
        <w:jc w:val="center"/>
        <w:outlineLvl w:val="0"/>
        <w:rPr>
          <w:rFonts w:hint="eastAsia" w:ascii="仿宋" w:hAnsi="仿宋" w:eastAsia="仿宋" w:cs="仿宋"/>
          <w:b/>
          <w:bCs/>
          <w:color w:val="auto"/>
          <w:sz w:val="28"/>
          <w:szCs w:val="28"/>
          <w:highlight w:val="none"/>
        </w:rPr>
        <w:sectPr>
          <w:headerReference r:id="rId9" w:type="default"/>
          <w:footerReference r:id="rId10" w:type="default"/>
          <w:pgSz w:w="11910" w:h="16840"/>
          <w:pgMar w:top="1580" w:right="1000" w:bottom="1660" w:left="1580" w:header="850" w:footer="1361" w:gutter="0"/>
          <w:pgNumType w:fmt="decimal" w:start="1"/>
          <w:cols w:space="720" w:num="1"/>
        </w:sectPr>
      </w:pPr>
    </w:p>
    <w:p w14:paraId="13AEE4B3">
      <w:pPr>
        <w:keepNext w:val="0"/>
        <w:keepLines w:val="0"/>
        <w:pageBreakBefore w:val="0"/>
        <w:kinsoku/>
        <w:overflowPunct/>
        <w:bidi w:val="0"/>
        <w:snapToGrid w:val="0"/>
        <w:spacing w:line="360" w:lineRule="auto"/>
        <w:jc w:val="center"/>
        <w:outlineLvl w:val="0"/>
        <w:rPr>
          <w:rFonts w:hint="eastAsia" w:ascii="仿宋" w:hAnsi="仿宋" w:eastAsia="仿宋" w:cs="仿宋"/>
          <w:color w:val="auto"/>
          <w:sz w:val="28"/>
          <w:szCs w:val="28"/>
          <w:highlight w:val="none"/>
        </w:rPr>
      </w:pPr>
      <w:bookmarkStart w:id="4" w:name="_Toc28217"/>
      <w:bookmarkStart w:id="5" w:name="_Toc4249"/>
      <w:r>
        <w:rPr>
          <w:rFonts w:hint="eastAsia" w:ascii="仿宋" w:hAnsi="仿宋" w:eastAsia="仿宋" w:cs="仿宋"/>
          <w:b/>
          <w:bCs/>
          <w:color w:val="auto"/>
          <w:sz w:val="28"/>
          <w:szCs w:val="28"/>
          <w:highlight w:val="none"/>
        </w:rPr>
        <w:t>第一章</w:t>
      </w:r>
      <w:r>
        <w:rPr>
          <w:rFonts w:hint="eastAsia" w:ascii="仿宋" w:hAnsi="仿宋" w:eastAsia="仿宋" w:cs="仿宋"/>
          <w:b/>
          <w:bCs/>
          <w:color w:val="auto"/>
          <w:sz w:val="28"/>
          <w:szCs w:val="28"/>
          <w:highlight w:val="none"/>
          <w:lang w:val="en-US"/>
        </w:rPr>
        <w:t xml:space="preserve"> </w:t>
      </w:r>
      <w:r>
        <w:rPr>
          <w:rFonts w:hint="eastAsia" w:ascii="仿宋" w:hAnsi="仿宋" w:eastAsia="仿宋" w:cs="仿宋"/>
          <w:b/>
          <w:bCs/>
          <w:color w:val="auto"/>
          <w:sz w:val="28"/>
          <w:szCs w:val="28"/>
          <w:highlight w:val="none"/>
        </w:rPr>
        <w:t>招标公告</w:t>
      </w:r>
      <w:bookmarkEnd w:id="4"/>
      <w:bookmarkEnd w:id="5"/>
    </w:p>
    <w:p w14:paraId="7CAA8AE1">
      <w:pPr>
        <w:keepNext w:val="0"/>
        <w:keepLines w:val="0"/>
        <w:pageBreakBefore w:val="0"/>
        <w:kinsoku/>
        <w:overflowPunct/>
        <w:autoSpaceDE/>
        <w:autoSpaceDN/>
        <w:bidi w:val="0"/>
        <w:snapToGrid w:val="0"/>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睢县住房和城乡建设局睢县城乡供排水一体化项目（一期）</w:t>
      </w:r>
      <w:r>
        <w:rPr>
          <w:rFonts w:hint="eastAsia" w:ascii="仿宋" w:hAnsi="仿宋" w:eastAsia="仿宋" w:cs="仿宋"/>
          <w:b/>
          <w:bCs/>
          <w:color w:val="auto"/>
          <w:sz w:val="24"/>
          <w:szCs w:val="24"/>
          <w:highlight w:val="none"/>
          <w:lang w:val="en-US" w:eastAsia="zh-CN"/>
        </w:rPr>
        <w:t>项目</w:t>
      </w:r>
    </w:p>
    <w:p w14:paraId="6339DB6A">
      <w:pPr>
        <w:keepNext w:val="0"/>
        <w:keepLines w:val="0"/>
        <w:pageBreakBefore w:val="0"/>
        <w:kinsoku/>
        <w:overflowPunct/>
        <w:autoSpaceDE/>
        <w:autoSpaceDN/>
        <w:bidi w:val="0"/>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公开招标公告</w:t>
      </w:r>
    </w:p>
    <w:p w14:paraId="0BF121A8">
      <w:pPr>
        <w:keepNext w:val="0"/>
        <w:keepLines w:val="0"/>
        <w:pageBreakBefore w:val="0"/>
        <w:kinsoku/>
        <w:overflowPunct/>
        <w:autoSpaceDE/>
        <w:autoSpaceDN/>
        <w:bidi w:val="0"/>
        <w:snapToGrid w:val="0"/>
        <w:spacing w:line="360" w:lineRule="auto"/>
        <w:rPr>
          <w:rFonts w:hint="eastAsia" w:ascii="仿宋" w:hAnsi="仿宋" w:eastAsia="仿宋" w:cs="仿宋"/>
          <w:color w:val="FF0000"/>
          <w:sz w:val="21"/>
          <w:szCs w:val="21"/>
          <w:highlight w:val="none"/>
        </w:rPr>
      </w:pPr>
      <w:r>
        <w:rPr>
          <w:rFonts w:hint="eastAsia" w:ascii="仿宋" w:hAnsi="仿宋" w:eastAsia="仿宋" w:cs="仿宋"/>
          <w:color w:val="auto"/>
          <w:sz w:val="21"/>
          <w:szCs w:val="21"/>
          <w:highlight w:val="none"/>
        </w:rPr>
        <w:t>项目概况</w:t>
      </w:r>
    </w:p>
    <w:p w14:paraId="298B5521">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eastAsia="zh-CN"/>
        </w:rPr>
        <w:t>睢县住房和城乡建设局睢县城乡供排水一体化项目（一期）</w:t>
      </w:r>
      <w:r>
        <w:rPr>
          <w:rFonts w:hint="eastAsia" w:ascii="仿宋" w:hAnsi="仿宋" w:eastAsia="仿宋" w:cs="仿宋"/>
          <w:color w:val="auto"/>
          <w:sz w:val="21"/>
          <w:szCs w:val="21"/>
          <w:highlight w:val="none"/>
          <w:u w:val="none"/>
          <w:lang w:val="en-US" w:eastAsia="zh-CN"/>
        </w:rPr>
        <w:t>项目</w:t>
      </w:r>
      <w:r>
        <w:rPr>
          <w:rFonts w:hint="eastAsia" w:ascii="仿宋" w:hAnsi="仿宋" w:eastAsia="仿宋" w:cs="仿宋"/>
          <w:color w:val="auto"/>
          <w:sz w:val="21"/>
          <w:szCs w:val="21"/>
          <w:highlight w:val="none"/>
          <w:u w:val="none"/>
        </w:rPr>
        <w:t>招标项目的潜在供应商应在</w:t>
      </w:r>
      <w:r>
        <w:rPr>
          <w:rFonts w:hint="eastAsia" w:ascii="仿宋" w:hAnsi="仿宋" w:eastAsia="仿宋" w:cs="仿宋"/>
          <w:b w:val="0"/>
          <w:bCs w:val="0"/>
          <w:i w:val="0"/>
          <w:iCs w:val="0"/>
          <w:caps w:val="0"/>
          <w:color w:val="303133"/>
          <w:spacing w:val="0"/>
          <w:sz w:val="22"/>
          <w:szCs w:val="22"/>
          <w:u w:val="none"/>
          <w:shd w:val="clear" w:fill="FFFFFF"/>
          <w:lang w:val="en-US" w:eastAsia="zh-CN"/>
        </w:rPr>
        <w:t>商丘市</w:t>
      </w:r>
      <w:r>
        <w:rPr>
          <w:rFonts w:ascii="仿宋" w:hAnsi="仿宋" w:eastAsia="仿宋" w:cs="仿宋"/>
          <w:b w:val="0"/>
          <w:bCs w:val="0"/>
          <w:i w:val="0"/>
          <w:iCs w:val="0"/>
          <w:caps w:val="0"/>
          <w:color w:val="303133"/>
          <w:spacing w:val="0"/>
          <w:sz w:val="22"/>
          <w:szCs w:val="22"/>
          <w:u w:val="none"/>
          <w:shd w:val="clear" w:fill="FFFFFF"/>
        </w:rPr>
        <w:t>公共资源交易中心官网电子交易系统获取招标文件，并于</w:t>
      </w:r>
      <w:r>
        <w:rPr>
          <w:rFonts w:hint="eastAsia" w:ascii="仿宋" w:hAnsi="仿宋" w:eastAsia="仿宋" w:cs="仿宋"/>
          <w:b w:val="0"/>
          <w:bCs w:val="0"/>
          <w:i w:val="0"/>
          <w:iCs w:val="0"/>
          <w:caps w:val="0"/>
          <w:color w:val="303133"/>
          <w:spacing w:val="0"/>
          <w:sz w:val="22"/>
          <w:szCs w:val="22"/>
          <w:u w:val="none"/>
          <w:shd w:val="clear" w:fill="FFFFFF"/>
        </w:rPr>
        <w:t>202</w:t>
      </w:r>
      <w:r>
        <w:rPr>
          <w:rFonts w:hint="eastAsia" w:ascii="仿宋" w:hAnsi="仿宋" w:eastAsia="仿宋" w:cs="仿宋"/>
          <w:b w:val="0"/>
          <w:bCs w:val="0"/>
          <w:i w:val="0"/>
          <w:iCs w:val="0"/>
          <w:caps w:val="0"/>
          <w:color w:val="303133"/>
          <w:spacing w:val="0"/>
          <w:sz w:val="22"/>
          <w:szCs w:val="22"/>
          <w:u w:val="none"/>
          <w:shd w:val="clear" w:fill="FFFFFF"/>
          <w:lang w:val="en-US" w:eastAsia="zh-CN"/>
        </w:rPr>
        <w:t>5</w:t>
      </w:r>
      <w:r>
        <w:rPr>
          <w:rFonts w:hint="eastAsia" w:ascii="仿宋" w:hAnsi="仿宋" w:eastAsia="仿宋" w:cs="仿宋"/>
          <w:b w:val="0"/>
          <w:bCs w:val="0"/>
          <w:i w:val="0"/>
          <w:iCs w:val="0"/>
          <w:caps w:val="0"/>
          <w:color w:val="303133"/>
          <w:spacing w:val="0"/>
          <w:sz w:val="22"/>
          <w:szCs w:val="22"/>
          <w:u w:val="none"/>
          <w:shd w:val="clear" w:fill="FFFFFF"/>
        </w:rPr>
        <w:t>年</w:t>
      </w:r>
      <w:r>
        <w:rPr>
          <w:rFonts w:hint="eastAsia" w:ascii="仿宋" w:hAnsi="仿宋" w:eastAsia="仿宋" w:cs="仿宋"/>
          <w:b w:val="0"/>
          <w:bCs w:val="0"/>
          <w:i w:val="0"/>
          <w:iCs w:val="0"/>
          <w:caps w:val="0"/>
          <w:color w:val="303133"/>
          <w:spacing w:val="0"/>
          <w:sz w:val="22"/>
          <w:szCs w:val="22"/>
          <w:u w:val="none"/>
          <w:shd w:val="clear" w:fill="FFFFFF"/>
          <w:lang w:val="en-US" w:eastAsia="zh-CN"/>
        </w:rPr>
        <w:t>3</w:t>
      </w:r>
      <w:r>
        <w:rPr>
          <w:rFonts w:hint="eastAsia" w:ascii="仿宋" w:hAnsi="仿宋" w:eastAsia="仿宋" w:cs="仿宋"/>
          <w:b w:val="0"/>
          <w:bCs w:val="0"/>
          <w:i w:val="0"/>
          <w:iCs w:val="0"/>
          <w:caps w:val="0"/>
          <w:color w:val="303133"/>
          <w:spacing w:val="0"/>
          <w:sz w:val="22"/>
          <w:szCs w:val="22"/>
          <w:u w:val="none"/>
          <w:shd w:val="clear" w:fill="FFFFFF"/>
        </w:rPr>
        <w:t>月</w:t>
      </w:r>
      <w:r>
        <w:rPr>
          <w:rFonts w:hint="eastAsia" w:ascii="仿宋" w:hAnsi="仿宋" w:eastAsia="仿宋" w:cs="仿宋"/>
          <w:b w:val="0"/>
          <w:bCs w:val="0"/>
          <w:i w:val="0"/>
          <w:iCs w:val="0"/>
          <w:caps w:val="0"/>
          <w:color w:val="303133"/>
          <w:spacing w:val="0"/>
          <w:sz w:val="22"/>
          <w:szCs w:val="22"/>
          <w:u w:val="none"/>
          <w:shd w:val="clear" w:fill="FFFFFF"/>
          <w:lang w:val="en-US" w:eastAsia="zh-CN"/>
        </w:rPr>
        <w:t>31</w:t>
      </w:r>
      <w:bookmarkStart w:id="502" w:name="_GoBack"/>
      <w:bookmarkEnd w:id="502"/>
      <w:r>
        <w:rPr>
          <w:rFonts w:hint="eastAsia" w:ascii="仿宋" w:hAnsi="仿宋" w:eastAsia="仿宋" w:cs="仿宋"/>
          <w:b w:val="0"/>
          <w:bCs w:val="0"/>
          <w:i w:val="0"/>
          <w:iCs w:val="0"/>
          <w:caps w:val="0"/>
          <w:color w:val="303133"/>
          <w:spacing w:val="0"/>
          <w:sz w:val="22"/>
          <w:szCs w:val="22"/>
          <w:u w:val="none"/>
          <w:shd w:val="clear" w:fill="FFFFFF"/>
        </w:rPr>
        <w:t>日</w:t>
      </w:r>
      <w:r>
        <w:rPr>
          <w:rFonts w:hint="eastAsia" w:ascii="仿宋" w:hAnsi="仿宋" w:eastAsia="仿宋" w:cs="仿宋"/>
          <w:b w:val="0"/>
          <w:bCs w:val="0"/>
          <w:i w:val="0"/>
          <w:iCs w:val="0"/>
          <w:caps w:val="0"/>
          <w:color w:val="303133"/>
          <w:spacing w:val="0"/>
          <w:sz w:val="22"/>
          <w:szCs w:val="22"/>
          <w:u w:val="none"/>
          <w:shd w:val="clear" w:fill="FFFFFF"/>
          <w:lang w:val="en-US" w:eastAsia="zh-CN"/>
        </w:rPr>
        <w:t>9</w:t>
      </w:r>
      <w:r>
        <w:rPr>
          <w:rFonts w:hint="eastAsia" w:ascii="仿宋" w:hAnsi="仿宋" w:eastAsia="仿宋" w:cs="仿宋"/>
          <w:b w:val="0"/>
          <w:bCs w:val="0"/>
          <w:i w:val="0"/>
          <w:iCs w:val="0"/>
          <w:caps w:val="0"/>
          <w:color w:val="303133"/>
          <w:spacing w:val="0"/>
          <w:sz w:val="22"/>
          <w:szCs w:val="22"/>
          <w:u w:val="none"/>
          <w:shd w:val="clear" w:fill="FFFFFF"/>
        </w:rPr>
        <w:t>时</w:t>
      </w:r>
      <w:r>
        <w:rPr>
          <w:rFonts w:hint="eastAsia" w:ascii="仿宋" w:hAnsi="仿宋" w:eastAsia="仿宋" w:cs="仿宋"/>
          <w:b w:val="0"/>
          <w:bCs w:val="0"/>
          <w:i w:val="0"/>
          <w:iCs w:val="0"/>
          <w:caps w:val="0"/>
          <w:color w:val="303133"/>
          <w:spacing w:val="0"/>
          <w:sz w:val="22"/>
          <w:szCs w:val="22"/>
          <w:u w:val="none"/>
          <w:shd w:val="clear" w:fill="FFFFFF"/>
          <w:lang w:val="en-US" w:eastAsia="zh-CN"/>
        </w:rPr>
        <w:t>00</w:t>
      </w:r>
      <w:r>
        <w:rPr>
          <w:rFonts w:hint="eastAsia" w:ascii="仿宋" w:hAnsi="仿宋" w:eastAsia="仿宋" w:cs="仿宋"/>
          <w:b w:val="0"/>
          <w:bCs w:val="0"/>
          <w:i w:val="0"/>
          <w:iCs w:val="0"/>
          <w:caps w:val="0"/>
          <w:color w:val="303133"/>
          <w:spacing w:val="0"/>
          <w:sz w:val="22"/>
          <w:szCs w:val="22"/>
          <w:u w:val="none"/>
          <w:shd w:val="clear" w:fill="FFFFFF"/>
        </w:rPr>
        <w:t>分（北京时间）前递交投标文件</w:t>
      </w:r>
      <w:r>
        <w:rPr>
          <w:rFonts w:hint="eastAsia" w:ascii="仿宋" w:hAnsi="仿宋" w:eastAsia="仿宋" w:cs="仿宋"/>
          <w:color w:val="auto"/>
          <w:sz w:val="21"/>
          <w:szCs w:val="21"/>
          <w:highlight w:val="none"/>
          <w:u w:val="none"/>
        </w:rPr>
        <w:t>。</w:t>
      </w:r>
    </w:p>
    <w:p w14:paraId="5C1891E2">
      <w:pPr>
        <w:keepNext w:val="0"/>
        <w:keepLines w:val="0"/>
        <w:pageBreakBefore w:val="0"/>
        <w:kinsoku/>
        <w:overflowPunct/>
        <w:autoSpaceDE/>
        <w:autoSpaceDN/>
        <w:bidi w:val="0"/>
        <w:snapToGrid w:val="0"/>
        <w:spacing w:line="360" w:lineRule="auto"/>
        <w:outlineLvl w:val="1"/>
        <w:rPr>
          <w:rFonts w:hint="eastAsia" w:ascii="仿宋" w:hAnsi="仿宋" w:eastAsia="仿宋" w:cs="仿宋"/>
          <w:color w:val="auto"/>
          <w:sz w:val="21"/>
          <w:szCs w:val="21"/>
          <w:highlight w:val="none"/>
          <w:u w:val="single"/>
        </w:rPr>
      </w:pPr>
      <w:bookmarkStart w:id="6" w:name="_Toc19970"/>
      <w:bookmarkStart w:id="7" w:name="_Toc31837"/>
      <w:r>
        <w:rPr>
          <w:rFonts w:hint="eastAsia" w:ascii="仿宋" w:hAnsi="仿宋" w:eastAsia="仿宋" w:cs="仿宋"/>
          <w:color w:val="auto"/>
          <w:sz w:val="21"/>
          <w:szCs w:val="21"/>
          <w:highlight w:val="none"/>
        </w:rPr>
        <w:t>一、项目基本情况</w:t>
      </w:r>
      <w:bookmarkEnd w:id="6"/>
      <w:bookmarkEnd w:id="7"/>
    </w:p>
    <w:p w14:paraId="46D05C67">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u w:val="none"/>
          <w:shd w:val="clear" w:color="auto" w:fill="auto"/>
          <w:lang w:val="en-US" w:eastAsia="zh-CN"/>
        </w:rPr>
      </w:pPr>
      <w:r>
        <w:rPr>
          <w:rFonts w:hint="eastAsia" w:ascii="仿宋" w:hAnsi="仿宋" w:eastAsia="仿宋" w:cs="仿宋"/>
          <w:color w:val="auto"/>
          <w:sz w:val="21"/>
          <w:szCs w:val="21"/>
          <w:highlight w:val="none"/>
          <w:u w:val="none"/>
        </w:rPr>
        <w:t>1、</w:t>
      </w:r>
      <w:r>
        <w:rPr>
          <w:rFonts w:hint="eastAsia" w:ascii="仿宋" w:hAnsi="仿宋" w:eastAsia="仿宋" w:cs="仿宋"/>
          <w:color w:val="auto"/>
          <w:sz w:val="21"/>
          <w:szCs w:val="21"/>
          <w:highlight w:val="none"/>
          <w:u w:val="none"/>
          <w:lang w:val="en-US"/>
        </w:rPr>
        <w:t>采购</w:t>
      </w:r>
      <w:r>
        <w:rPr>
          <w:rFonts w:hint="eastAsia" w:ascii="仿宋" w:hAnsi="仿宋" w:eastAsia="仿宋" w:cs="仿宋"/>
          <w:color w:val="auto"/>
          <w:sz w:val="21"/>
          <w:szCs w:val="21"/>
          <w:highlight w:val="none"/>
          <w:u w:val="none"/>
        </w:rPr>
        <w:t>编号：</w:t>
      </w:r>
      <w:r>
        <w:rPr>
          <w:rFonts w:hint="eastAsia" w:ascii="仿宋" w:hAnsi="仿宋" w:eastAsia="仿宋" w:cs="仿宋"/>
          <w:color w:val="auto"/>
          <w:sz w:val="21"/>
          <w:szCs w:val="21"/>
          <w:highlight w:val="none"/>
          <w:u w:val="none"/>
          <w:shd w:val="clear" w:color="auto" w:fill="auto"/>
          <w:lang w:val="en-US" w:eastAsia="zh-CN"/>
        </w:rPr>
        <w:t>睢县财采招-2025-2</w:t>
      </w:r>
    </w:p>
    <w:p w14:paraId="72801EED">
      <w:pPr>
        <w:pStyle w:val="2"/>
        <w:rPr>
          <w:rFonts w:hint="default"/>
          <w:lang w:val="en-US" w:eastAsia="zh-CN"/>
        </w:rPr>
      </w:pPr>
      <w:r>
        <w:rPr>
          <w:rFonts w:hint="eastAsia" w:ascii="仿宋" w:hAnsi="仿宋" w:eastAsia="仿宋" w:cs="仿宋"/>
          <w:color w:val="auto"/>
          <w:sz w:val="21"/>
          <w:szCs w:val="21"/>
          <w:highlight w:val="none"/>
          <w:u w:val="none"/>
          <w:shd w:val="clear" w:color="auto" w:fill="auto"/>
          <w:lang w:val="en-US" w:eastAsia="zh-CN"/>
        </w:rPr>
        <w:t xml:space="preserve">       招标编号：SXJY-CG-2024-142</w:t>
      </w:r>
    </w:p>
    <w:p w14:paraId="485F7F27">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rPr>
        <w:t>采购</w:t>
      </w: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睢县住房和城乡建设局睢县城乡供排水一体化项目（一期）</w:t>
      </w:r>
      <w:r>
        <w:rPr>
          <w:rFonts w:hint="eastAsia" w:ascii="仿宋" w:hAnsi="仿宋" w:eastAsia="仿宋" w:cs="仿宋"/>
          <w:color w:val="auto"/>
          <w:sz w:val="21"/>
          <w:szCs w:val="21"/>
          <w:highlight w:val="none"/>
          <w:lang w:val="en-US" w:eastAsia="zh-CN"/>
        </w:rPr>
        <w:t>项目</w:t>
      </w:r>
    </w:p>
    <w:p w14:paraId="515262C7">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3、采购方式：公开招标</w:t>
      </w:r>
    </w:p>
    <w:p w14:paraId="0B35B091">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4、预算金额：</w:t>
      </w:r>
      <w:r>
        <w:rPr>
          <w:rFonts w:hint="eastAsia" w:ascii="仿宋" w:hAnsi="仿宋" w:eastAsia="仿宋" w:cs="仿宋"/>
          <w:color w:val="auto"/>
          <w:sz w:val="21"/>
          <w:szCs w:val="21"/>
          <w:highlight w:val="none"/>
          <w:lang w:val="en-US" w:eastAsia="zh-CN"/>
        </w:rPr>
        <w:t>101638659.00</w:t>
      </w:r>
      <w:r>
        <w:rPr>
          <w:rFonts w:hint="eastAsia" w:ascii="仿宋" w:hAnsi="仿宋" w:eastAsia="仿宋" w:cs="仿宋"/>
          <w:color w:val="auto"/>
          <w:sz w:val="21"/>
          <w:szCs w:val="21"/>
          <w:highlight w:val="none"/>
          <w:lang w:val="en-US"/>
        </w:rPr>
        <w:t>元</w:t>
      </w:r>
    </w:p>
    <w:p w14:paraId="72136C20">
      <w:pPr>
        <w:keepNext w:val="0"/>
        <w:keepLines w:val="0"/>
        <w:pageBreakBefore w:val="0"/>
        <w:kinsoku/>
        <w:overflowPunct/>
        <w:autoSpaceDE/>
        <w:autoSpaceDN/>
        <w:bidi w:val="0"/>
        <w:snapToGrid w:val="0"/>
        <w:spacing w:line="360" w:lineRule="auto"/>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最高限价：</w:t>
      </w:r>
      <w:r>
        <w:rPr>
          <w:rFonts w:hint="eastAsia" w:ascii="仿宋" w:hAnsi="仿宋" w:eastAsia="仿宋" w:cs="仿宋"/>
          <w:color w:val="auto"/>
          <w:sz w:val="21"/>
          <w:szCs w:val="21"/>
          <w:highlight w:val="none"/>
          <w:lang w:val="en-US" w:eastAsia="zh-CN"/>
        </w:rPr>
        <w:t>101638659.00</w:t>
      </w:r>
      <w:r>
        <w:rPr>
          <w:rFonts w:hint="eastAsia" w:ascii="仿宋" w:hAnsi="仿宋" w:eastAsia="仿宋" w:cs="仿宋"/>
          <w:color w:val="auto"/>
          <w:sz w:val="21"/>
          <w:szCs w:val="21"/>
          <w:highlight w:val="none"/>
          <w:lang w:val="en-US"/>
        </w:rPr>
        <w:t>元</w:t>
      </w:r>
    </w:p>
    <w:tbl>
      <w:tblPr>
        <w:tblStyle w:val="2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937"/>
        <w:gridCol w:w="3024"/>
        <w:gridCol w:w="1843"/>
        <w:gridCol w:w="1823"/>
      </w:tblGrid>
      <w:tr w14:paraId="40D0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93AE39D">
            <w:pPr>
              <w:keepNext w:val="0"/>
              <w:keepLines w:val="0"/>
              <w:pageBreakBefore w:val="0"/>
              <w:kinsoku/>
              <w:overflowPunct/>
              <w:autoSpaceDE/>
              <w:autoSpaceDN/>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937" w:type="dxa"/>
            <w:vAlign w:val="center"/>
          </w:tcPr>
          <w:p w14:paraId="5BB5F7AA">
            <w:pPr>
              <w:keepNext w:val="0"/>
              <w:keepLines w:val="0"/>
              <w:pageBreakBefore w:val="0"/>
              <w:kinsoku/>
              <w:overflowPunct/>
              <w:autoSpaceDE/>
              <w:autoSpaceDN/>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包号</w:t>
            </w:r>
          </w:p>
        </w:tc>
        <w:tc>
          <w:tcPr>
            <w:tcW w:w="3024" w:type="dxa"/>
            <w:vAlign w:val="center"/>
          </w:tcPr>
          <w:p w14:paraId="721F7C79">
            <w:pPr>
              <w:keepNext w:val="0"/>
              <w:keepLines w:val="0"/>
              <w:pageBreakBefore w:val="0"/>
              <w:kinsoku/>
              <w:overflowPunct/>
              <w:autoSpaceDE/>
              <w:autoSpaceDN/>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包名称</w:t>
            </w:r>
          </w:p>
        </w:tc>
        <w:tc>
          <w:tcPr>
            <w:tcW w:w="1843" w:type="dxa"/>
            <w:vAlign w:val="center"/>
          </w:tcPr>
          <w:p w14:paraId="0D92C2B9">
            <w:pPr>
              <w:keepNext w:val="0"/>
              <w:keepLines w:val="0"/>
              <w:pageBreakBefore w:val="0"/>
              <w:kinsoku/>
              <w:overflowPunct/>
              <w:autoSpaceDE/>
              <w:autoSpaceDN/>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包预算</w:t>
            </w:r>
          </w:p>
          <w:p w14:paraId="359CC84D">
            <w:pPr>
              <w:keepNext w:val="0"/>
              <w:keepLines w:val="0"/>
              <w:pageBreakBefore w:val="0"/>
              <w:kinsoku/>
              <w:overflowPunct/>
              <w:autoSpaceDE/>
              <w:autoSpaceDN/>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（元）</w:t>
            </w:r>
          </w:p>
        </w:tc>
        <w:tc>
          <w:tcPr>
            <w:tcW w:w="1823" w:type="dxa"/>
            <w:vAlign w:val="center"/>
          </w:tcPr>
          <w:p w14:paraId="7EB021CF">
            <w:pPr>
              <w:keepNext w:val="0"/>
              <w:keepLines w:val="0"/>
              <w:pageBreakBefore w:val="0"/>
              <w:kinsoku/>
              <w:overflowPunct/>
              <w:autoSpaceDE/>
              <w:autoSpaceDN/>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包最高限价</w:t>
            </w:r>
          </w:p>
          <w:p w14:paraId="18834473">
            <w:pPr>
              <w:keepNext w:val="0"/>
              <w:keepLines w:val="0"/>
              <w:pageBreakBefore w:val="0"/>
              <w:kinsoku/>
              <w:overflowPunct/>
              <w:autoSpaceDE/>
              <w:autoSpaceDN/>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rPr>
              <w:t>元</w:t>
            </w:r>
            <w:r>
              <w:rPr>
                <w:rFonts w:hint="eastAsia" w:ascii="仿宋" w:hAnsi="仿宋" w:eastAsia="仿宋" w:cs="仿宋"/>
                <w:color w:val="auto"/>
                <w:sz w:val="21"/>
                <w:szCs w:val="21"/>
                <w:highlight w:val="none"/>
              </w:rPr>
              <w:t>）</w:t>
            </w:r>
          </w:p>
        </w:tc>
      </w:tr>
      <w:tr w14:paraId="3AAE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3E9BE1C">
            <w:pPr>
              <w:keepNext w:val="0"/>
              <w:keepLines w:val="0"/>
              <w:pageBreakBefore w:val="0"/>
              <w:kinsoku/>
              <w:overflowPunct/>
              <w:autoSpaceDE/>
              <w:autoSpaceDN/>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w:t>
            </w:r>
          </w:p>
        </w:tc>
        <w:tc>
          <w:tcPr>
            <w:tcW w:w="1937" w:type="dxa"/>
            <w:vAlign w:val="center"/>
          </w:tcPr>
          <w:p w14:paraId="1BCA1F08">
            <w:pPr>
              <w:keepNext w:val="0"/>
              <w:keepLines w:val="0"/>
              <w:pageBreakBefore w:val="0"/>
              <w:kinsoku/>
              <w:overflowPunct/>
              <w:autoSpaceDE/>
              <w:autoSpaceDN/>
              <w:bidi w:val="0"/>
              <w:snapToGrid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024" w:type="dxa"/>
            <w:vAlign w:val="center"/>
          </w:tcPr>
          <w:p w14:paraId="0E84BFF5">
            <w:pPr>
              <w:keepNext w:val="0"/>
              <w:keepLines w:val="0"/>
              <w:pageBreakBefore w:val="0"/>
              <w:kinsoku/>
              <w:overflowPunct/>
              <w:autoSpaceDE/>
              <w:autoSpaceDN/>
              <w:bidi w:val="0"/>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睢县住房和城乡建设局睢县城乡供排水一体化项目（一期）</w:t>
            </w:r>
            <w:r>
              <w:rPr>
                <w:rFonts w:hint="eastAsia" w:ascii="仿宋" w:hAnsi="仿宋" w:eastAsia="仿宋" w:cs="仿宋"/>
                <w:color w:val="auto"/>
                <w:sz w:val="21"/>
                <w:szCs w:val="21"/>
                <w:highlight w:val="none"/>
                <w:lang w:val="en-US" w:eastAsia="zh-CN"/>
              </w:rPr>
              <w:t>项目</w:t>
            </w:r>
          </w:p>
        </w:tc>
        <w:tc>
          <w:tcPr>
            <w:tcW w:w="1843" w:type="dxa"/>
            <w:vAlign w:val="center"/>
          </w:tcPr>
          <w:p w14:paraId="3DE4C7D0">
            <w:pPr>
              <w:keepNext w:val="0"/>
              <w:keepLines w:val="0"/>
              <w:pageBreakBefore w:val="0"/>
              <w:kinsoku/>
              <w:overflowPunct/>
              <w:autoSpaceDE/>
              <w:autoSpaceDN/>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101638659.00</w:t>
            </w:r>
          </w:p>
        </w:tc>
        <w:tc>
          <w:tcPr>
            <w:tcW w:w="1823" w:type="dxa"/>
            <w:vAlign w:val="center"/>
          </w:tcPr>
          <w:p w14:paraId="2DB9517B">
            <w:pPr>
              <w:keepNext w:val="0"/>
              <w:keepLines w:val="0"/>
              <w:pageBreakBefore w:val="0"/>
              <w:kinsoku/>
              <w:overflowPunct/>
              <w:autoSpaceDE/>
              <w:autoSpaceDN/>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101638659.00</w:t>
            </w:r>
          </w:p>
        </w:tc>
      </w:tr>
    </w:tbl>
    <w:p w14:paraId="4F26A216">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5、采购需求（包括但不限于标的的名称、数量、简要技术需求或服务要求等）</w:t>
      </w:r>
    </w:p>
    <w:p w14:paraId="1311EA4C">
      <w:pPr>
        <w:keepNext w:val="0"/>
        <w:keepLines w:val="0"/>
        <w:pageBreakBefore w:val="0"/>
        <w:numPr>
          <w:ilvl w:val="0"/>
          <w:numId w:val="0"/>
        </w:numPr>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rPr>
        <w:t>采购</w:t>
      </w:r>
      <w:r>
        <w:rPr>
          <w:rFonts w:hint="eastAsia" w:ascii="仿宋" w:hAnsi="仿宋" w:eastAsia="仿宋" w:cs="仿宋"/>
          <w:color w:val="auto"/>
          <w:sz w:val="21"/>
          <w:szCs w:val="21"/>
          <w:highlight w:val="none"/>
        </w:rPr>
        <w:t>范围：东至东环路，西至西环路，南至南环路，北至黄山路</w:t>
      </w:r>
      <w:r>
        <w:rPr>
          <w:rFonts w:hint="eastAsia" w:ascii="仿宋" w:hAnsi="仿宋" w:eastAsia="仿宋" w:cs="仿宋"/>
          <w:color w:val="auto"/>
          <w:sz w:val="21"/>
          <w:szCs w:val="21"/>
          <w:highlight w:val="none"/>
          <w:lang w:val="en-US" w:eastAsia="zh-CN"/>
        </w:rPr>
        <w:t>合围范围。</w:t>
      </w:r>
    </w:p>
    <w:p w14:paraId="4C306B8A">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rPr>
        <w:t>质量要求：达到国家及行业规范要求</w:t>
      </w:r>
      <w:r>
        <w:rPr>
          <w:rFonts w:hint="eastAsia" w:ascii="仿宋" w:hAnsi="仿宋" w:eastAsia="仿宋" w:cs="仿宋"/>
          <w:color w:val="auto"/>
          <w:sz w:val="21"/>
          <w:szCs w:val="21"/>
          <w:highlight w:val="none"/>
          <w:lang w:val="en-US" w:eastAsia="zh-CN"/>
        </w:rPr>
        <w:t>。</w:t>
      </w:r>
    </w:p>
    <w:p w14:paraId="5160720B">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US"/>
        </w:rPr>
        <w:t>）合作期限：</w:t>
      </w:r>
      <w:r>
        <w:rPr>
          <w:rFonts w:hint="eastAsia" w:ascii="仿宋" w:hAnsi="仿宋" w:eastAsia="仿宋" w:cs="仿宋"/>
          <w:color w:val="auto"/>
          <w:sz w:val="21"/>
          <w:szCs w:val="21"/>
          <w:highlight w:val="none"/>
          <w:lang w:val="en-US" w:eastAsia="zh-CN"/>
        </w:rPr>
        <w:t>本项目特许经营期40年，起始日为完成存量资产移交工作并签订存量资产移交清单之日，终止日为特许经营期满之日。</w:t>
      </w:r>
    </w:p>
    <w:p w14:paraId="2A3AF478">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US"/>
        </w:rPr>
        <w:t>）标段划分：1个标段</w:t>
      </w:r>
    </w:p>
    <w:p w14:paraId="0C1DA9A2">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运作模式</w:t>
      </w: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本项目拟采用“TOT”的实施方式，即睢县城乡供排水一体化项目（一期）存量供水资产的转让、运营维护和移交</w:t>
      </w:r>
      <w:r>
        <w:rPr>
          <w:rFonts w:hint="eastAsia" w:ascii="仿宋" w:hAnsi="仿宋" w:eastAsia="仿宋" w:cs="仿宋"/>
          <w:color w:val="auto"/>
          <w:sz w:val="21"/>
          <w:szCs w:val="21"/>
          <w:highlight w:val="none"/>
          <w:lang w:eastAsia="zh-CN"/>
        </w:rPr>
        <w:t>。</w:t>
      </w:r>
    </w:p>
    <w:p w14:paraId="18F3A844">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en-US"/>
        </w:rPr>
        <w:t>）回报机制：本项目回报机制为使用者付费。</w:t>
      </w:r>
    </w:p>
    <w:p w14:paraId="2175A6A3">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6、合同履行期限：</w:t>
      </w:r>
      <w:r>
        <w:rPr>
          <w:rFonts w:hint="eastAsia" w:ascii="仿宋" w:hAnsi="仿宋" w:eastAsia="仿宋" w:cs="仿宋"/>
          <w:color w:val="auto"/>
          <w:sz w:val="21"/>
          <w:szCs w:val="21"/>
          <w:highlight w:val="none"/>
          <w:lang w:val="en-US" w:eastAsia="zh-CN"/>
        </w:rPr>
        <w:t>本项目特许经营期 40 年，起始日为完成存量资产移交工作并签订存量资产移交清单之日，终止日为特许经营期满之日</w:t>
      </w:r>
      <w:r>
        <w:rPr>
          <w:rFonts w:hint="eastAsia" w:ascii="仿宋" w:hAnsi="仿宋" w:eastAsia="仿宋" w:cs="仿宋"/>
          <w:color w:val="auto"/>
          <w:sz w:val="21"/>
          <w:szCs w:val="21"/>
          <w:highlight w:val="none"/>
          <w:lang w:val="en-US"/>
        </w:rPr>
        <w:t>。</w:t>
      </w:r>
    </w:p>
    <w:p w14:paraId="32FCBB23">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7、本项目是否接受联合体投标：</w:t>
      </w:r>
      <w:r>
        <w:rPr>
          <w:rFonts w:hint="eastAsia" w:ascii="仿宋" w:hAnsi="仿宋" w:eastAsia="仿宋" w:cs="仿宋"/>
          <w:color w:val="auto"/>
          <w:sz w:val="21"/>
          <w:szCs w:val="21"/>
          <w:highlight w:val="none"/>
          <w:lang w:val="en-US" w:eastAsia="zh-CN"/>
        </w:rPr>
        <w:t>否</w:t>
      </w:r>
    </w:p>
    <w:p w14:paraId="3DDF8B18">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8、是否接受进口产品：否</w:t>
      </w:r>
    </w:p>
    <w:p w14:paraId="58ACB3A4">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9、是否为只面向中小企业采购：否</w:t>
      </w:r>
    </w:p>
    <w:p w14:paraId="61FC3BCD">
      <w:pPr>
        <w:keepNext w:val="0"/>
        <w:keepLines w:val="0"/>
        <w:pageBreakBefore w:val="0"/>
        <w:kinsoku/>
        <w:overflowPunct/>
        <w:autoSpaceDE/>
        <w:autoSpaceDN/>
        <w:bidi w:val="0"/>
        <w:snapToGrid w:val="0"/>
        <w:spacing w:line="360" w:lineRule="auto"/>
        <w:outlineLvl w:val="1"/>
        <w:rPr>
          <w:rFonts w:hint="eastAsia" w:ascii="仿宋" w:hAnsi="仿宋" w:eastAsia="仿宋" w:cs="仿宋"/>
          <w:color w:val="auto"/>
          <w:sz w:val="21"/>
          <w:szCs w:val="21"/>
          <w:highlight w:val="none"/>
        </w:rPr>
      </w:pPr>
      <w:bookmarkStart w:id="8" w:name="_Toc31578"/>
      <w:bookmarkStart w:id="9" w:name="_Toc24854"/>
      <w:r>
        <w:rPr>
          <w:rFonts w:hint="eastAsia" w:ascii="仿宋" w:hAnsi="仿宋" w:eastAsia="仿宋" w:cs="仿宋"/>
          <w:color w:val="auto"/>
          <w:sz w:val="21"/>
          <w:szCs w:val="21"/>
          <w:highlight w:val="none"/>
        </w:rPr>
        <w:t>二、申请人资格要求：</w:t>
      </w:r>
      <w:bookmarkEnd w:id="8"/>
      <w:bookmarkEnd w:id="9"/>
    </w:p>
    <w:p w14:paraId="6C44BE5A">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1、满足《中华人民共和国政府采购法》第二十二条规定；</w:t>
      </w:r>
    </w:p>
    <w:p w14:paraId="6EB31434">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2、落实政府采购政策满足的资格要求：</w:t>
      </w:r>
      <w:r>
        <w:rPr>
          <w:rFonts w:hint="eastAsia" w:ascii="仿宋" w:hAnsi="仿宋" w:eastAsia="仿宋" w:cs="仿宋"/>
          <w:color w:val="auto"/>
          <w:sz w:val="21"/>
          <w:szCs w:val="21"/>
          <w:highlight w:val="none"/>
          <w:lang w:val="en-US" w:eastAsia="zh-CN"/>
        </w:rPr>
        <w:t>/</w:t>
      </w:r>
    </w:p>
    <w:p w14:paraId="150FAB39">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3、本项目的特定资格要求</w:t>
      </w:r>
    </w:p>
    <w:p w14:paraId="41F3AC6B">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3.1、供应商须符合《中华人民共和国政府采购法》第二十二条的规定</w:t>
      </w:r>
    </w:p>
    <w:p w14:paraId="49B35A89">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（一）供应商必须是在中华人民共和国境内依法成立，具有独立法人资格且具有有效的营业执照；</w:t>
      </w:r>
    </w:p>
    <w:p w14:paraId="2C66192C">
      <w:pPr>
        <w:keepNext w:val="0"/>
        <w:keepLines w:val="0"/>
        <w:pageBreakBefore w:val="0"/>
        <w:kinsoku/>
        <w:overflowPunct/>
        <w:bidi w:val="0"/>
        <w:snapToGrid w:val="0"/>
        <w:spacing w:line="360" w:lineRule="auto"/>
        <w:ind w:right="440" w:rightChars="200"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（二）具有良好的商业信誉和健全的财务会计制度；供应商应提供202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rPr>
        <w:t>年度或202</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US"/>
        </w:rPr>
        <w:t>年度经独立审计机构出具的财务审计报告（包括资产负债表、现金流量表、利润表），若企业成立年限不足一年的，提供自企业成立之日起至今的财务报表；</w:t>
      </w:r>
    </w:p>
    <w:p w14:paraId="432FCDBC">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（三）具有履行合同所必需的设备和专业技术能力（提供承诺书，格式自拟）；</w:t>
      </w:r>
    </w:p>
    <w:p w14:paraId="20CD885E">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（四）有依法缴纳税收和社会保障资金的良好记录；提供202</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US"/>
        </w:rPr>
        <w:t>年1月1日以来连续三个月的纳税与社保相关证明材料，依法免税的应提供能够证明其依法免税的相应文件；</w:t>
      </w:r>
    </w:p>
    <w:p w14:paraId="2DE6E22C">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（五）参加政府采购活动前三年内，在经营活动中没有重大违法记录（提供承诺书，格式自拟）；</w:t>
      </w:r>
    </w:p>
    <w:p w14:paraId="39FD1DC0">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（六）法律、行政法规规定的其他条件（提供承诺书，格式自拟）。</w:t>
      </w:r>
    </w:p>
    <w:p w14:paraId="688288A2">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rPr>
        <w:t>3.</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rPr>
        <w:t>、根据《关于在政府采购活动中查询及使用信用记录有关问题的通知》(财库[2016]125号)</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lang w:val="en-US"/>
        </w:rPr>
        <w:t>规定，对列入失信被执行人、重大税收违法失信主体、政府采购严重违法失信行为记录名单的投标供应商，拒绝参与本项目政府采购活动【查询渠道：“失信被执行人”通过“中国执行信息公开网”网站查询，“重大税收违法失信主体”通过“信用中国”网站查询；“政府采购严重违法失信行为”通过“中国政府采购网”查询】；生成日期不得早于公告发布日期。采购人或采购代理机构在开标后查询供应商信用记录，查询时将对查询结果证据留存</w:t>
      </w:r>
      <w:r>
        <w:rPr>
          <w:rFonts w:hint="eastAsia" w:ascii="仿宋" w:hAnsi="仿宋" w:eastAsia="仿宋" w:cs="仿宋"/>
          <w:color w:val="auto"/>
          <w:sz w:val="21"/>
          <w:szCs w:val="21"/>
          <w:highlight w:val="none"/>
          <w:lang w:val="en-US" w:eastAsia="zh-CN"/>
        </w:rPr>
        <w:t>。</w:t>
      </w:r>
    </w:p>
    <w:p w14:paraId="5728FF2F">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rPr>
        <w:t>3.</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US"/>
        </w:rPr>
        <w:t>、单位负责人为同一人或者存在控股、管理关系的不同单位，均不得参加同一标段（或同一包）投标或者未划分标段（或包）的同一合同项下的政府采购活动（提供“全国企业信用信息公示系统”或天眼查中公司信息、股东及</w:t>
      </w:r>
      <w:r>
        <w:rPr>
          <w:rFonts w:hint="eastAsia" w:ascii="仿宋" w:hAnsi="仿宋" w:eastAsia="仿宋" w:cs="仿宋"/>
          <w:color w:val="auto"/>
          <w:sz w:val="21"/>
          <w:szCs w:val="21"/>
          <w:highlight w:val="none"/>
          <w:lang w:val="en-US" w:eastAsia="zh-CN"/>
        </w:rPr>
        <w:t>出资</w:t>
      </w:r>
      <w:r>
        <w:rPr>
          <w:rFonts w:hint="eastAsia" w:ascii="仿宋" w:hAnsi="仿宋" w:eastAsia="仿宋" w:cs="仿宋"/>
          <w:color w:val="auto"/>
          <w:sz w:val="21"/>
          <w:szCs w:val="21"/>
          <w:highlight w:val="none"/>
          <w:lang w:val="en-US"/>
        </w:rPr>
        <w:t>信息查询截图）</w:t>
      </w:r>
      <w:r>
        <w:rPr>
          <w:rFonts w:hint="eastAsia" w:ascii="仿宋" w:hAnsi="仿宋" w:eastAsia="仿宋" w:cs="仿宋"/>
          <w:color w:val="auto"/>
          <w:sz w:val="21"/>
          <w:szCs w:val="21"/>
          <w:highlight w:val="none"/>
          <w:lang w:val="en-US" w:eastAsia="zh-CN"/>
        </w:rPr>
        <w:t>。</w:t>
      </w:r>
    </w:p>
    <w:p w14:paraId="2D233CD2">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US"/>
        </w:rPr>
        <w:t>、本项目</w:t>
      </w: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lang w:val="en-US"/>
        </w:rPr>
        <w:t>接受联合体投标。</w:t>
      </w:r>
    </w:p>
    <w:p w14:paraId="5AA2A6F9">
      <w:pPr>
        <w:keepNext w:val="0"/>
        <w:keepLines w:val="0"/>
        <w:pageBreakBefore w:val="0"/>
        <w:kinsoku/>
        <w:overflowPunct/>
        <w:autoSpaceDE/>
        <w:autoSpaceDN/>
        <w:bidi w:val="0"/>
        <w:snapToGrid w:val="0"/>
        <w:spacing w:line="360" w:lineRule="auto"/>
        <w:outlineLvl w:val="1"/>
        <w:rPr>
          <w:rFonts w:hint="eastAsia" w:ascii="仿宋" w:hAnsi="仿宋" w:eastAsia="仿宋" w:cs="仿宋"/>
          <w:color w:val="auto"/>
          <w:sz w:val="21"/>
          <w:szCs w:val="21"/>
          <w:highlight w:val="none"/>
        </w:rPr>
      </w:pPr>
      <w:bookmarkStart w:id="10" w:name="_Toc13803"/>
      <w:bookmarkStart w:id="11" w:name="_Toc7819"/>
      <w:r>
        <w:rPr>
          <w:rFonts w:hint="eastAsia" w:ascii="仿宋" w:hAnsi="仿宋" w:eastAsia="仿宋" w:cs="仿宋"/>
          <w:color w:val="auto"/>
          <w:sz w:val="21"/>
          <w:szCs w:val="21"/>
          <w:highlight w:val="none"/>
        </w:rPr>
        <w:t>三、获取招标文件</w:t>
      </w:r>
      <w:bookmarkEnd w:id="10"/>
      <w:bookmarkEnd w:id="11"/>
    </w:p>
    <w:p w14:paraId="31280440">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1.凡有意参加投标者，企业可直接在该公告下方相关附件下载也可以免费注册登录商 丘市公共资源交易中心（https://ggzy jy.shangqiu.gov.cn）下载招标文件</w:t>
      </w:r>
      <w:r>
        <w:rPr>
          <w:rFonts w:hint="eastAsia" w:ascii="宋体" w:hAnsi="宋体" w:eastAsia="宋体" w:cs="宋体"/>
          <w:i w:val="0"/>
          <w:iCs w:val="0"/>
          <w:caps w:val="0"/>
          <w:color w:val="333333"/>
          <w:spacing w:val="0"/>
          <w:sz w:val="16"/>
          <w:szCs w:val="16"/>
          <w:shd w:val="clear" w:fill="FFFFFF"/>
        </w:rPr>
        <w:t>；</w:t>
      </w:r>
    </w:p>
    <w:p w14:paraId="4FE8FB3F">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2.招标文件下载开始时间：同招标公告发布时间；</w:t>
      </w:r>
    </w:p>
    <w:p w14:paraId="435657D9">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3.方式：招标文件下载截止时间：同开标时间。</w:t>
      </w:r>
    </w:p>
    <w:p w14:paraId="59514639">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4.售价：0元</w:t>
      </w:r>
    </w:p>
    <w:p w14:paraId="7BCB58C3">
      <w:pPr>
        <w:keepNext w:val="0"/>
        <w:keepLines w:val="0"/>
        <w:pageBreakBefore w:val="0"/>
        <w:kinsoku/>
        <w:overflowPunct/>
        <w:autoSpaceDE/>
        <w:autoSpaceDN/>
        <w:bidi w:val="0"/>
        <w:snapToGrid w:val="0"/>
        <w:spacing w:line="360" w:lineRule="auto"/>
        <w:outlineLvl w:val="1"/>
        <w:rPr>
          <w:rFonts w:hint="eastAsia" w:ascii="仿宋" w:hAnsi="仿宋" w:eastAsia="仿宋" w:cs="仿宋"/>
          <w:color w:val="auto"/>
          <w:sz w:val="21"/>
          <w:szCs w:val="21"/>
          <w:highlight w:val="none"/>
        </w:rPr>
      </w:pPr>
      <w:bookmarkStart w:id="12" w:name="_Toc1118"/>
      <w:bookmarkStart w:id="13" w:name="_Toc14394"/>
      <w:r>
        <w:rPr>
          <w:rFonts w:hint="eastAsia" w:ascii="仿宋" w:hAnsi="仿宋" w:eastAsia="仿宋" w:cs="仿宋"/>
          <w:color w:val="auto"/>
          <w:sz w:val="21"/>
          <w:szCs w:val="21"/>
          <w:highlight w:val="none"/>
        </w:rPr>
        <w:t>四、投标截止时间及地点</w:t>
      </w:r>
      <w:bookmarkEnd w:id="12"/>
      <w:bookmarkEnd w:id="13"/>
    </w:p>
    <w:p w14:paraId="6A481F9B">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1.时间：202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31</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时</w:t>
      </w:r>
      <w:r>
        <w:rPr>
          <w:rFonts w:hint="eastAsia" w:ascii="仿宋" w:hAnsi="仿宋" w:eastAsia="仿宋" w:cs="仿宋"/>
          <w:color w:val="auto"/>
          <w:sz w:val="21"/>
          <w:szCs w:val="21"/>
          <w:highlight w:val="none"/>
          <w:lang w:val="en-US" w:eastAsia="zh-CN"/>
        </w:rPr>
        <w:t>00</w:t>
      </w:r>
      <w:r>
        <w:rPr>
          <w:rFonts w:hint="eastAsia" w:ascii="仿宋" w:hAnsi="仿宋" w:eastAsia="仿宋" w:cs="仿宋"/>
          <w:color w:val="auto"/>
          <w:sz w:val="21"/>
          <w:szCs w:val="21"/>
          <w:highlight w:val="none"/>
        </w:rPr>
        <w:t>分（北京时间）</w:t>
      </w:r>
    </w:p>
    <w:p w14:paraId="54182E8F">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2.地点：商丘市公共资源交易中心电子化交易系统。</w:t>
      </w:r>
    </w:p>
    <w:p w14:paraId="539F0808">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3.投标文件解密开始时间：2025年03月31日9时00分；</w:t>
      </w:r>
    </w:p>
    <w:p w14:paraId="168FB9D2">
      <w:pPr>
        <w:keepNext w:val="0"/>
        <w:keepLines w:val="0"/>
        <w:pageBreakBefore w:val="0"/>
        <w:kinsoku/>
        <w:overflowPunct/>
        <w:autoSpaceDE/>
        <w:autoSpaceDN/>
        <w:bidi w:val="0"/>
        <w:snapToGrid w:val="0"/>
        <w:spacing w:line="360" w:lineRule="auto"/>
        <w:ind w:firstLine="630" w:firstLineChars="30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投标文件解密截止时间：2025年03月31日10时00分</w:t>
      </w:r>
    </w:p>
    <w:p w14:paraId="46240114">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注：本次采购项目采用全电子远程不见面开标方式（各供应商代表无需到开标现场），全电子评标，评标以电子投标文件为准。电子投标文件逾期上传或没有上传的，采购人将拒绝接收。</w:t>
      </w:r>
    </w:p>
    <w:p w14:paraId="56FC3C5F">
      <w:pPr>
        <w:keepNext w:val="0"/>
        <w:keepLines w:val="0"/>
        <w:pageBreakBefore w:val="0"/>
        <w:kinsoku/>
        <w:overflowPunct/>
        <w:autoSpaceDE/>
        <w:autoSpaceDN/>
        <w:bidi w:val="0"/>
        <w:snapToGrid w:val="0"/>
        <w:spacing w:line="360" w:lineRule="auto"/>
        <w:outlineLvl w:val="1"/>
        <w:rPr>
          <w:rFonts w:hint="eastAsia" w:ascii="仿宋" w:hAnsi="仿宋" w:eastAsia="仿宋" w:cs="仿宋"/>
          <w:color w:val="FF0000"/>
          <w:sz w:val="21"/>
          <w:szCs w:val="21"/>
          <w:highlight w:val="none"/>
        </w:rPr>
      </w:pPr>
      <w:bookmarkStart w:id="14" w:name="_Toc30258"/>
      <w:bookmarkStart w:id="15" w:name="_Toc3529"/>
      <w:r>
        <w:rPr>
          <w:rFonts w:hint="eastAsia" w:ascii="仿宋" w:hAnsi="仿宋" w:eastAsia="仿宋" w:cs="仿宋"/>
          <w:color w:val="auto"/>
          <w:sz w:val="21"/>
          <w:szCs w:val="21"/>
          <w:highlight w:val="none"/>
        </w:rPr>
        <w:t>五、开标时间及地点</w:t>
      </w:r>
      <w:bookmarkEnd w:id="14"/>
      <w:bookmarkEnd w:id="15"/>
    </w:p>
    <w:p w14:paraId="437D14D8">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1.时间：202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31</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时</w:t>
      </w:r>
      <w:r>
        <w:rPr>
          <w:rFonts w:hint="eastAsia" w:ascii="仿宋" w:hAnsi="仿宋" w:eastAsia="仿宋" w:cs="仿宋"/>
          <w:color w:val="auto"/>
          <w:sz w:val="21"/>
          <w:szCs w:val="21"/>
          <w:highlight w:val="none"/>
          <w:lang w:val="en-US" w:eastAsia="zh-CN"/>
        </w:rPr>
        <w:t>00</w:t>
      </w:r>
      <w:r>
        <w:rPr>
          <w:rFonts w:hint="eastAsia" w:ascii="仿宋" w:hAnsi="仿宋" w:eastAsia="仿宋" w:cs="仿宋"/>
          <w:color w:val="auto"/>
          <w:sz w:val="21"/>
          <w:szCs w:val="21"/>
          <w:highlight w:val="none"/>
        </w:rPr>
        <w:t>分（北京时间）</w:t>
      </w:r>
    </w:p>
    <w:p w14:paraId="52F54AF6">
      <w:pPr>
        <w:keepNext w:val="0"/>
        <w:keepLines w:val="0"/>
        <w:pageBreakBefore w:val="0"/>
        <w:kinsoku/>
        <w:overflowPunct/>
        <w:autoSpaceDE/>
        <w:autoSpaceDN/>
        <w:bidi w:val="0"/>
        <w:snapToGrid w:val="0"/>
        <w:spacing w:line="360" w:lineRule="auto"/>
        <w:outlineLvl w:val="1"/>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2.地点：</w:t>
      </w:r>
      <w:r>
        <w:rPr>
          <w:rFonts w:hint="eastAsia" w:ascii="仿宋" w:hAnsi="仿宋" w:eastAsia="仿宋" w:cs="仿宋"/>
          <w:color w:val="auto"/>
          <w:sz w:val="21"/>
          <w:szCs w:val="21"/>
          <w:highlight w:val="none"/>
          <w:lang w:val="en-US" w:eastAsia="zh-CN"/>
        </w:rPr>
        <w:t>睢县公共资源交易中心第一不见面开标室。</w:t>
      </w:r>
      <w:bookmarkStart w:id="16" w:name="_Toc7115"/>
      <w:bookmarkStart w:id="17" w:name="_Toc22446"/>
      <w:r>
        <w:rPr>
          <w:rFonts w:hint="eastAsia" w:ascii="仿宋" w:hAnsi="仿宋" w:eastAsia="仿宋" w:cs="仿宋"/>
          <w:color w:val="auto"/>
          <w:sz w:val="21"/>
          <w:szCs w:val="21"/>
          <w:highlight w:val="none"/>
          <w:lang w:val="en-US" w:eastAsia="zh-CN"/>
        </w:rPr>
        <w:t>如有系统操作疑问可在商丘市公共资源交易中心网站“办事指南-系统操作指南”下载《商丘市公共资源交易中心平台操作指南》查看或关注中心网站首页通知公告中对各功能启用的通知。</w:t>
      </w:r>
    </w:p>
    <w:p w14:paraId="431CD3C0">
      <w:pPr>
        <w:keepNext w:val="0"/>
        <w:keepLines w:val="0"/>
        <w:pageBreakBefore w:val="0"/>
        <w:kinsoku/>
        <w:overflowPunct/>
        <w:autoSpaceDE/>
        <w:autoSpaceDN/>
        <w:bidi w:val="0"/>
        <w:snapToGrid w:val="0"/>
        <w:spacing w:line="360" w:lineRule="auto"/>
        <w:outlineLvl w:val="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六、发布公告的媒介</w:t>
      </w:r>
      <w:bookmarkEnd w:id="16"/>
      <w:bookmarkEnd w:id="17"/>
    </w:p>
    <w:p w14:paraId="4E2CC8E3">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本次招标公告在《河南省电子招标投标公共服务平台》、《河南省政府采购网》、《商丘市公共资源交易中心网》上发布。</w:t>
      </w:r>
    </w:p>
    <w:p w14:paraId="5910B28C">
      <w:pPr>
        <w:keepNext w:val="0"/>
        <w:keepLines w:val="0"/>
        <w:pageBreakBefore w:val="0"/>
        <w:kinsoku/>
        <w:overflowPunct/>
        <w:autoSpaceDE/>
        <w:autoSpaceDN/>
        <w:bidi w:val="0"/>
        <w:snapToGrid w:val="0"/>
        <w:spacing w:line="360" w:lineRule="auto"/>
        <w:outlineLvl w:val="1"/>
        <w:rPr>
          <w:rFonts w:hint="eastAsia" w:ascii="仿宋" w:hAnsi="仿宋" w:eastAsia="仿宋" w:cs="仿宋"/>
          <w:color w:val="auto"/>
          <w:sz w:val="21"/>
          <w:szCs w:val="21"/>
          <w:highlight w:val="none"/>
        </w:rPr>
      </w:pPr>
      <w:bookmarkStart w:id="18" w:name="_Toc27586"/>
      <w:bookmarkStart w:id="19" w:name="_Toc24442"/>
      <w:r>
        <w:rPr>
          <w:rFonts w:hint="eastAsia" w:ascii="仿宋" w:hAnsi="仿宋" w:eastAsia="仿宋" w:cs="仿宋"/>
          <w:color w:val="auto"/>
          <w:sz w:val="21"/>
          <w:szCs w:val="21"/>
          <w:highlight w:val="none"/>
        </w:rPr>
        <w:t>七、其他补充事宜</w:t>
      </w:r>
      <w:bookmarkEnd w:id="18"/>
      <w:bookmarkEnd w:id="19"/>
    </w:p>
    <w:p w14:paraId="534D416B">
      <w:pPr>
        <w:keepNext w:val="0"/>
        <w:keepLines w:val="0"/>
        <w:pageBreakBefore w:val="0"/>
        <w:kinsoku/>
        <w:overflowPunct/>
        <w:autoSpaceDE/>
        <w:autoSpaceDN/>
        <w:bidi w:val="0"/>
        <w:snapToGrid w:val="0"/>
        <w:spacing w:line="360" w:lineRule="auto"/>
        <w:ind w:firstLine="420"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p w14:paraId="16D34DF8">
      <w:pPr>
        <w:keepNext w:val="0"/>
        <w:keepLines w:val="0"/>
        <w:pageBreakBefore w:val="0"/>
        <w:kinsoku/>
        <w:overflowPunct/>
        <w:autoSpaceDE/>
        <w:autoSpaceDN/>
        <w:bidi w:val="0"/>
        <w:snapToGrid w:val="0"/>
        <w:spacing w:line="360" w:lineRule="auto"/>
        <w:outlineLvl w:val="1"/>
        <w:rPr>
          <w:rFonts w:hint="eastAsia" w:ascii="仿宋" w:hAnsi="仿宋" w:eastAsia="仿宋" w:cs="仿宋"/>
          <w:color w:val="auto"/>
          <w:sz w:val="21"/>
          <w:szCs w:val="21"/>
          <w:highlight w:val="none"/>
        </w:rPr>
      </w:pPr>
      <w:bookmarkStart w:id="20" w:name="_Toc9695"/>
      <w:bookmarkStart w:id="21" w:name="_Toc10363"/>
      <w:r>
        <w:rPr>
          <w:rFonts w:hint="eastAsia" w:ascii="仿宋" w:hAnsi="仿宋" w:eastAsia="仿宋" w:cs="仿宋"/>
          <w:color w:val="auto"/>
          <w:sz w:val="21"/>
          <w:szCs w:val="21"/>
          <w:highlight w:val="none"/>
        </w:rPr>
        <w:t>八、凡对本次招标提出询问，请按照以下方式联系</w:t>
      </w:r>
      <w:bookmarkEnd w:id="20"/>
      <w:bookmarkEnd w:id="21"/>
    </w:p>
    <w:p w14:paraId="352A5A08">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 采购人信息</w:t>
      </w:r>
    </w:p>
    <w:p w14:paraId="06814D11">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名称：</w:t>
      </w:r>
      <w:r>
        <w:rPr>
          <w:rFonts w:hint="eastAsia" w:ascii="仿宋" w:hAnsi="仿宋" w:eastAsia="仿宋" w:cs="仿宋"/>
          <w:color w:val="auto"/>
          <w:sz w:val="21"/>
          <w:szCs w:val="21"/>
          <w:highlight w:val="none"/>
          <w:lang w:eastAsia="zh-CN"/>
        </w:rPr>
        <w:t>睢县住房和城乡建设局</w:t>
      </w:r>
    </w:p>
    <w:p w14:paraId="7F727D2D">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地址：睢县中心大街北段西侧</w:t>
      </w:r>
    </w:p>
    <w:p w14:paraId="6A9406FB">
      <w:pPr>
        <w:keepNext w:val="0"/>
        <w:keepLines w:val="0"/>
        <w:pageBreakBefore w:val="0"/>
        <w:kinsoku/>
        <w:overflowPunct/>
        <w:autoSpaceDE/>
        <w:autoSpaceDN/>
        <w:bidi w:val="0"/>
        <w:snapToGrid w:val="0"/>
        <w:spacing w:line="360" w:lineRule="auto"/>
        <w:ind w:firstLine="420"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联系人：蔡先生</w:t>
      </w:r>
    </w:p>
    <w:p w14:paraId="7C9AC739">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联系方式：15837058555</w:t>
      </w:r>
    </w:p>
    <w:p w14:paraId="0561734F">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2.采购代理机构信息（如有）</w:t>
      </w:r>
    </w:p>
    <w:p w14:paraId="582F9C99">
      <w:pPr>
        <w:pStyle w:val="2"/>
        <w:keepNext w:val="0"/>
        <w:keepLines w:val="0"/>
        <w:pageBreakBefore w:val="0"/>
        <w:kinsoku/>
        <w:overflowPunct/>
        <w:bidi w:val="0"/>
        <w:snapToGrid w:val="0"/>
        <w:spacing w:line="360" w:lineRule="auto"/>
        <w:ind w:right="440" w:rightChars="200"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采购代理机构：</w:t>
      </w:r>
      <w:r>
        <w:rPr>
          <w:rFonts w:hint="eastAsia" w:ascii="仿宋" w:hAnsi="仿宋" w:eastAsia="仿宋" w:cs="仿宋"/>
          <w:color w:val="auto"/>
          <w:sz w:val="21"/>
          <w:szCs w:val="21"/>
          <w:highlight w:val="none"/>
          <w:lang w:val="en-US"/>
        </w:rPr>
        <w:t>中海域安项目管理咨询有限公司</w:t>
      </w:r>
    </w:p>
    <w:p w14:paraId="463B83DC">
      <w:pPr>
        <w:pStyle w:val="2"/>
        <w:keepNext w:val="0"/>
        <w:keepLines w:val="0"/>
        <w:pageBreakBefore w:val="0"/>
        <w:kinsoku/>
        <w:overflowPunct/>
        <w:bidi w:val="0"/>
        <w:snapToGrid w:val="0"/>
        <w:spacing w:line="360" w:lineRule="auto"/>
        <w:ind w:right="440" w:rightChars="200" w:firstLine="420" w:firstLineChars="200"/>
        <w:rPr>
          <w:rFonts w:hint="eastAsia" w:ascii="仿宋" w:hAnsi="仿宋" w:eastAsia="仿宋" w:cs="仿宋"/>
          <w:color w:val="auto"/>
          <w:sz w:val="21"/>
          <w:szCs w:val="21"/>
          <w:highlight w:val="none"/>
          <w:lang w:val="en-US" w:bidi="ar-SA"/>
        </w:rPr>
      </w:pPr>
      <w:r>
        <w:rPr>
          <w:rFonts w:hint="eastAsia" w:ascii="仿宋" w:hAnsi="仿宋" w:eastAsia="仿宋" w:cs="仿宋"/>
          <w:color w:val="auto"/>
          <w:sz w:val="21"/>
          <w:szCs w:val="21"/>
          <w:highlight w:val="none"/>
          <w:lang w:val="en-US"/>
        </w:rPr>
        <w:t>地址：</w:t>
      </w:r>
      <w:r>
        <w:rPr>
          <w:rFonts w:hint="eastAsia" w:ascii="仿宋" w:hAnsi="仿宋" w:eastAsia="仿宋" w:cs="仿宋"/>
          <w:color w:val="auto"/>
          <w:sz w:val="21"/>
          <w:szCs w:val="21"/>
          <w:highlight w:val="none"/>
          <w:lang w:val="en-US" w:bidi="ar-SA"/>
        </w:rPr>
        <w:t>郑州市中州大道与凤鸣路交叉口西南角建业置地广场C座12层</w:t>
      </w:r>
    </w:p>
    <w:p w14:paraId="5CF03771">
      <w:pPr>
        <w:pStyle w:val="2"/>
        <w:keepNext w:val="0"/>
        <w:keepLines w:val="0"/>
        <w:pageBreakBefore w:val="0"/>
        <w:kinsoku/>
        <w:overflowPunct/>
        <w:bidi w:val="0"/>
        <w:snapToGrid w:val="0"/>
        <w:spacing w:line="360" w:lineRule="auto"/>
        <w:ind w:right="440" w:rightChars="200"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lang w:val="en-US"/>
        </w:rPr>
        <w:t>李先生</w:t>
      </w:r>
    </w:p>
    <w:p w14:paraId="0C7808C2">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lang w:val="en-US"/>
        </w:rPr>
        <w:t>15036083957</w:t>
      </w:r>
    </w:p>
    <w:p w14:paraId="2131F51B">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3.项目联系方式</w:t>
      </w:r>
    </w:p>
    <w:p w14:paraId="241F164F">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监督单位：睢县政府采购监督管理办公室</w:t>
      </w:r>
    </w:p>
    <w:p w14:paraId="6B824DAD">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联系方式：0370-6022957</w:t>
      </w:r>
    </w:p>
    <w:p w14:paraId="70783C8A">
      <w:pPr>
        <w:keepNext w:val="0"/>
        <w:keepLines w:val="0"/>
        <w:pageBreakBefore w:val="0"/>
        <w:kinsoku/>
        <w:overflowPunct/>
        <w:autoSpaceDE/>
        <w:autoSpaceDN/>
        <w:bidi w:val="0"/>
        <w:snapToGrid w:val="0"/>
        <w:spacing w:line="360" w:lineRule="auto"/>
        <w:rPr>
          <w:rFonts w:hint="eastAsia" w:ascii="仿宋" w:hAnsi="仿宋" w:eastAsia="仿宋" w:cs="仿宋"/>
          <w:color w:val="auto"/>
          <w:highlight w:val="none"/>
        </w:rPr>
      </w:pPr>
    </w:p>
    <w:p w14:paraId="638C3EEE">
      <w:pPr>
        <w:keepNext w:val="0"/>
        <w:keepLines w:val="0"/>
        <w:pageBreakBefore w:val="0"/>
        <w:kinsoku/>
        <w:overflowPunct/>
        <w:bidi w:val="0"/>
        <w:snapToGrid w:val="0"/>
        <w:spacing w:line="360" w:lineRule="auto"/>
        <w:jc w:val="center"/>
        <w:outlineLvl w:val="9"/>
        <w:rPr>
          <w:rFonts w:hint="eastAsia" w:ascii="仿宋" w:hAnsi="仿宋" w:eastAsia="仿宋" w:cs="仿宋"/>
          <w:b/>
          <w:bCs/>
          <w:color w:val="auto"/>
          <w:sz w:val="28"/>
          <w:szCs w:val="28"/>
          <w:highlight w:val="none"/>
        </w:rPr>
        <w:sectPr>
          <w:pgSz w:w="11910" w:h="16840"/>
          <w:pgMar w:top="1580" w:right="1000" w:bottom="1660" w:left="1580" w:header="850" w:footer="1469" w:gutter="0"/>
          <w:pgNumType w:fmt="decimal"/>
          <w:cols w:space="720" w:num="1"/>
        </w:sectPr>
      </w:pPr>
    </w:p>
    <w:p w14:paraId="5B2B7B77">
      <w:pPr>
        <w:keepNext w:val="0"/>
        <w:keepLines w:val="0"/>
        <w:pageBreakBefore w:val="0"/>
        <w:kinsoku/>
        <w:overflowPunct/>
        <w:bidi w:val="0"/>
        <w:snapToGrid w:val="0"/>
        <w:spacing w:line="360" w:lineRule="auto"/>
        <w:jc w:val="center"/>
        <w:outlineLvl w:val="0"/>
        <w:rPr>
          <w:rFonts w:hint="eastAsia" w:ascii="仿宋" w:hAnsi="仿宋" w:eastAsia="仿宋" w:cs="仿宋"/>
          <w:b/>
          <w:bCs/>
          <w:color w:val="auto"/>
          <w:sz w:val="28"/>
          <w:szCs w:val="28"/>
          <w:highlight w:val="none"/>
        </w:rPr>
      </w:pPr>
      <w:bookmarkStart w:id="22" w:name="_Toc29865"/>
      <w:bookmarkStart w:id="23" w:name="_Toc14779"/>
      <w:r>
        <w:rPr>
          <w:rFonts w:hint="eastAsia" w:ascii="仿宋" w:hAnsi="仿宋" w:eastAsia="仿宋" w:cs="仿宋"/>
          <w:b/>
          <w:bCs/>
          <w:color w:val="auto"/>
          <w:sz w:val="28"/>
          <w:szCs w:val="28"/>
          <w:highlight w:val="none"/>
        </w:rPr>
        <w:t>第二章</w:t>
      </w:r>
      <w:r>
        <w:rPr>
          <w:rFonts w:hint="eastAsia" w:ascii="仿宋" w:hAnsi="仿宋" w:eastAsia="仿宋" w:cs="仿宋"/>
          <w:b/>
          <w:bCs/>
          <w:color w:val="auto"/>
          <w:sz w:val="28"/>
          <w:szCs w:val="28"/>
          <w:highlight w:val="none"/>
          <w:lang w:val="en-US"/>
        </w:rPr>
        <w:t xml:space="preserve"> </w:t>
      </w:r>
      <w:r>
        <w:rPr>
          <w:rFonts w:hint="eastAsia" w:ascii="仿宋" w:hAnsi="仿宋" w:eastAsia="仿宋" w:cs="仿宋"/>
          <w:b/>
          <w:bCs/>
          <w:color w:val="auto"/>
          <w:sz w:val="28"/>
          <w:szCs w:val="28"/>
          <w:highlight w:val="none"/>
        </w:rPr>
        <w:t>供应商须知</w:t>
      </w:r>
      <w:bookmarkEnd w:id="22"/>
      <w:bookmarkEnd w:id="23"/>
    </w:p>
    <w:p w14:paraId="46C2E323">
      <w:pPr>
        <w:keepNext w:val="0"/>
        <w:keepLines w:val="0"/>
        <w:pageBreakBefore w:val="0"/>
        <w:kinsoku/>
        <w:overflowPunct/>
        <w:bidi w:val="0"/>
        <w:snapToGrid w:val="0"/>
        <w:spacing w:before="62" w:line="360" w:lineRule="auto"/>
        <w:ind w:right="439"/>
        <w:jc w:val="center"/>
        <w:outlineLvl w:val="1"/>
        <w:rPr>
          <w:rFonts w:hint="eastAsia" w:ascii="仿宋" w:hAnsi="仿宋" w:eastAsia="仿宋" w:cs="仿宋"/>
          <w:b/>
          <w:color w:val="auto"/>
          <w:sz w:val="24"/>
          <w:szCs w:val="24"/>
          <w:highlight w:val="none"/>
        </w:rPr>
      </w:pPr>
      <w:bookmarkStart w:id="24" w:name="_投标人须知前附表"/>
      <w:bookmarkEnd w:id="24"/>
      <w:bookmarkStart w:id="25" w:name="_Toc12377"/>
      <w:bookmarkStart w:id="26" w:name="_Toc957"/>
      <w:bookmarkStart w:id="27" w:name="_Toc2020"/>
      <w:bookmarkStart w:id="28" w:name="_Toc22283"/>
      <w:bookmarkStart w:id="29" w:name="_Toc7305"/>
      <w:r>
        <w:rPr>
          <w:rFonts w:hint="eastAsia" w:ascii="仿宋" w:hAnsi="仿宋" w:eastAsia="仿宋" w:cs="仿宋"/>
          <w:b/>
          <w:color w:val="auto"/>
          <w:sz w:val="24"/>
          <w:szCs w:val="24"/>
          <w:highlight w:val="none"/>
        </w:rPr>
        <w:t>供应商须知前附表</w:t>
      </w:r>
      <w:bookmarkEnd w:id="25"/>
      <w:bookmarkEnd w:id="26"/>
      <w:bookmarkEnd w:id="27"/>
      <w:bookmarkEnd w:id="28"/>
      <w:bookmarkEnd w:id="29"/>
    </w:p>
    <w:tbl>
      <w:tblPr>
        <w:tblStyle w:val="24"/>
        <w:tblW w:w="9817" w:type="dxa"/>
        <w:jc w:val="center"/>
        <w:tblLayout w:type="fixed"/>
        <w:tblCellMar>
          <w:top w:w="0" w:type="dxa"/>
          <w:left w:w="108" w:type="dxa"/>
          <w:bottom w:w="0" w:type="dxa"/>
          <w:right w:w="108" w:type="dxa"/>
        </w:tblCellMar>
      </w:tblPr>
      <w:tblGrid>
        <w:gridCol w:w="963"/>
        <w:gridCol w:w="1987"/>
        <w:gridCol w:w="6867"/>
      </w:tblGrid>
      <w:tr w14:paraId="3249DB05">
        <w:tblPrEx>
          <w:tblCellMar>
            <w:top w:w="0" w:type="dxa"/>
            <w:left w:w="108" w:type="dxa"/>
            <w:bottom w:w="0" w:type="dxa"/>
            <w:right w:w="108" w:type="dxa"/>
          </w:tblCellMar>
        </w:tblPrEx>
        <w:trPr>
          <w:trHeight w:val="391"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3B55AF86">
            <w:pPr>
              <w:keepNext w:val="0"/>
              <w:keepLines w:val="0"/>
              <w:pageBreakBefore w:val="0"/>
              <w:kinsoku/>
              <w:overflowPunct/>
              <w:bidi w:val="0"/>
              <w:snapToGrid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987" w:type="dxa"/>
            <w:tcBorders>
              <w:top w:val="single" w:color="auto" w:sz="4" w:space="0"/>
              <w:left w:val="single" w:color="auto" w:sz="4" w:space="0"/>
              <w:bottom w:val="single" w:color="auto" w:sz="4" w:space="0"/>
              <w:right w:val="single" w:color="auto" w:sz="4" w:space="0"/>
            </w:tcBorders>
            <w:vAlign w:val="center"/>
          </w:tcPr>
          <w:p w14:paraId="5CAE378B">
            <w:pPr>
              <w:keepNext w:val="0"/>
              <w:keepLines w:val="0"/>
              <w:pageBreakBefore w:val="0"/>
              <w:kinsoku/>
              <w:overflowPunct/>
              <w:bidi w:val="0"/>
              <w:snapToGrid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名  称</w:t>
            </w:r>
          </w:p>
        </w:tc>
        <w:tc>
          <w:tcPr>
            <w:tcW w:w="6867" w:type="dxa"/>
            <w:tcBorders>
              <w:top w:val="single" w:color="auto" w:sz="4" w:space="0"/>
              <w:left w:val="single" w:color="auto" w:sz="4" w:space="0"/>
              <w:bottom w:val="single" w:color="auto" w:sz="4" w:space="0"/>
              <w:right w:val="single" w:color="auto" w:sz="4" w:space="0"/>
            </w:tcBorders>
            <w:vAlign w:val="center"/>
          </w:tcPr>
          <w:p w14:paraId="5599752C">
            <w:pPr>
              <w:keepNext w:val="0"/>
              <w:keepLines w:val="0"/>
              <w:pageBreakBefore w:val="0"/>
              <w:kinsoku/>
              <w:overflowPunct/>
              <w:bidi w:val="0"/>
              <w:snapToGrid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内  容</w:t>
            </w:r>
          </w:p>
        </w:tc>
      </w:tr>
      <w:tr w14:paraId="33B2E148">
        <w:tblPrEx>
          <w:tblCellMar>
            <w:top w:w="0" w:type="dxa"/>
            <w:left w:w="108" w:type="dxa"/>
            <w:bottom w:w="0" w:type="dxa"/>
            <w:right w:w="108" w:type="dxa"/>
          </w:tblCellMar>
        </w:tblPrEx>
        <w:trPr>
          <w:trHeight w:val="13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3B51F8C2">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w:t>
            </w:r>
          </w:p>
        </w:tc>
        <w:tc>
          <w:tcPr>
            <w:tcW w:w="1987" w:type="dxa"/>
            <w:tcBorders>
              <w:top w:val="single" w:color="auto" w:sz="4" w:space="0"/>
              <w:left w:val="single" w:color="auto" w:sz="4" w:space="0"/>
              <w:bottom w:val="single" w:color="auto" w:sz="4" w:space="0"/>
              <w:right w:val="single" w:color="auto" w:sz="4" w:space="0"/>
            </w:tcBorders>
            <w:vAlign w:val="center"/>
          </w:tcPr>
          <w:p w14:paraId="558D11E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采购</w:t>
            </w:r>
            <w:r>
              <w:rPr>
                <w:rFonts w:hint="eastAsia" w:ascii="仿宋" w:hAnsi="仿宋" w:eastAsia="仿宋" w:cs="仿宋"/>
                <w:color w:val="auto"/>
                <w:sz w:val="21"/>
                <w:szCs w:val="21"/>
                <w:highlight w:val="none"/>
              </w:rPr>
              <w:t>人</w:t>
            </w:r>
          </w:p>
        </w:tc>
        <w:tc>
          <w:tcPr>
            <w:tcW w:w="6867" w:type="dxa"/>
            <w:tcBorders>
              <w:top w:val="single" w:color="auto" w:sz="4" w:space="0"/>
              <w:left w:val="single" w:color="auto" w:sz="4" w:space="0"/>
              <w:bottom w:val="single" w:color="auto" w:sz="4" w:space="0"/>
              <w:right w:val="single" w:color="auto" w:sz="4" w:space="0"/>
            </w:tcBorders>
            <w:vAlign w:val="center"/>
          </w:tcPr>
          <w:p w14:paraId="61CE62C4">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名称：</w:t>
            </w:r>
            <w:r>
              <w:rPr>
                <w:rFonts w:hint="eastAsia" w:ascii="仿宋" w:hAnsi="仿宋" w:eastAsia="仿宋" w:cs="仿宋"/>
                <w:color w:val="auto"/>
                <w:sz w:val="21"/>
                <w:szCs w:val="21"/>
                <w:highlight w:val="none"/>
                <w:lang w:eastAsia="zh-CN"/>
              </w:rPr>
              <w:t>睢县住房和城乡建设局</w:t>
            </w:r>
          </w:p>
          <w:p w14:paraId="1CD522C8">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地址：睢县中心大街北段西侧</w:t>
            </w:r>
          </w:p>
          <w:p w14:paraId="5C5E6C8E">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联系人：蔡先生</w:t>
            </w:r>
          </w:p>
          <w:p w14:paraId="22A37D27">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联系方式：15837058555</w:t>
            </w:r>
          </w:p>
        </w:tc>
      </w:tr>
      <w:tr w14:paraId="6C0EC474">
        <w:tblPrEx>
          <w:tblCellMar>
            <w:top w:w="0" w:type="dxa"/>
            <w:left w:w="108" w:type="dxa"/>
            <w:bottom w:w="0" w:type="dxa"/>
            <w:right w:w="108" w:type="dxa"/>
          </w:tblCellMar>
        </w:tblPrEx>
        <w:trPr>
          <w:trHeight w:val="1076"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72129A50">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w:t>
            </w:r>
          </w:p>
        </w:tc>
        <w:tc>
          <w:tcPr>
            <w:tcW w:w="1987" w:type="dxa"/>
            <w:tcBorders>
              <w:top w:val="single" w:color="auto" w:sz="4" w:space="0"/>
              <w:left w:val="single" w:color="auto" w:sz="4" w:space="0"/>
              <w:bottom w:val="single" w:color="auto" w:sz="4" w:space="0"/>
              <w:right w:val="single" w:color="auto" w:sz="4" w:space="0"/>
            </w:tcBorders>
            <w:vAlign w:val="center"/>
          </w:tcPr>
          <w:p w14:paraId="4A42C32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采购代理机构</w:t>
            </w:r>
          </w:p>
        </w:tc>
        <w:tc>
          <w:tcPr>
            <w:tcW w:w="6867" w:type="dxa"/>
            <w:tcBorders>
              <w:top w:val="single" w:color="auto" w:sz="4" w:space="0"/>
              <w:left w:val="single" w:color="auto" w:sz="4" w:space="0"/>
              <w:bottom w:val="single" w:color="auto" w:sz="4" w:space="0"/>
              <w:right w:val="single" w:color="auto" w:sz="4" w:space="0"/>
            </w:tcBorders>
            <w:vAlign w:val="center"/>
          </w:tcPr>
          <w:p w14:paraId="5E4C1B93">
            <w:pPr>
              <w:pStyle w:val="2"/>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采购代理机构：中海域安项目管理咨询有限公司</w:t>
            </w:r>
          </w:p>
          <w:p w14:paraId="59C16511">
            <w:pPr>
              <w:pStyle w:val="2"/>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地址：</w:t>
            </w:r>
            <w:r>
              <w:rPr>
                <w:rFonts w:hint="eastAsia" w:ascii="仿宋" w:hAnsi="仿宋" w:eastAsia="仿宋" w:cs="仿宋"/>
                <w:color w:val="auto"/>
                <w:sz w:val="21"/>
                <w:szCs w:val="21"/>
                <w:highlight w:val="none"/>
                <w:lang w:val="en-US" w:bidi="ar-SA"/>
              </w:rPr>
              <w:t>郑州市中州大道与凤鸣路交叉口西南角建业置地广场C座12层</w:t>
            </w:r>
          </w:p>
          <w:p w14:paraId="514B5C88">
            <w:pPr>
              <w:pStyle w:val="2"/>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联系人：李先生</w:t>
            </w:r>
          </w:p>
          <w:p w14:paraId="5D6058A6">
            <w:pPr>
              <w:pStyle w:val="2"/>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 xml:space="preserve">联系电话：15036083957   </w:t>
            </w:r>
          </w:p>
        </w:tc>
      </w:tr>
      <w:tr w14:paraId="43E0D4A3">
        <w:tblPrEx>
          <w:tblCellMar>
            <w:top w:w="0" w:type="dxa"/>
            <w:left w:w="108" w:type="dxa"/>
            <w:bottom w:w="0" w:type="dxa"/>
            <w:right w:w="108" w:type="dxa"/>
          </w:tblCellMar>
        </w:tblPrEx>
        <w:trPr>
          <w:trHeight w:val="533"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4485BCE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1.1.4</w:t>
            </w:r>
          </w:p>
        </w:tc>
        <w:tc>
          <w:tcPr>
            <w:tcW w:w="1987" w:type="dxa"/>
            <w:tcBorders>
              <w:top w:val="single" w:color="auto" w:sz="4" w:space="0"/>
              <w:left w:val="single" w:color="auto" w:sz="4" w:space="0"/>
              <w:bottom w:val="single" w:color="auto" w:sz="4" w:space="0"/>
              <w:right w:val="single" w:color="auto" w:sz="4" w:space="0"/>
            </w:tcBorders>
            <w:vAlign w:val="center"/>
          </w:tcPr>
          <w:p w14:paraId="2FF58A6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6867" w:type="dxa"/>
            <w:tcBorders>
              <w:top w:val="single" w:color="auto" w:sz="4" w:space="0"/>
              <w:left w:val="single" w:color="auto" w:sz="4" w:space="0"/>
              <w:bottom w:val="single" w:color="auto" w:sz="4" w:space="0"/>
              <w:right w:val="single" w:color="auto" w:sz="4" w:space="0"/>
            </w:tcBorders>
            <w:vAlign w:val="center"/>
          </w:tcPr>
          <w:p w14:paraId="0D1D2E95">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睢县住房和城乡建设局睢县城乡供排水一体化项目（一期）</w:t>
            </w:r>
            <w:r>
              <w:rPr>
                <w:rFonts w:hint="eastAsia" w:ascii="仿宋" w:hAnsi="仿宋" w:eastAsia="仿宋" w:cs="仿宋"/>
                <w:color w:val="auto"/>
                <w:sz w:val="21"/>
                <w:szCs w:val="21"/>
                <w:highlight w:val="none"/>
                <w:lang w:val="en-US" w:eastAsia="zh-CN"/>
              </w:rPr>
              <w:t>项目</w:t>
            </w:r>
          </w:p>
        </w:tc>
      </w:tr>
      <w:tr w14:paraId="3C399D72">
        <w:tblPrEx>
          <w:tblCellMar>
            <w:top w:w="0" w:type="dxa"/>
            <w:left w:w="108" w:type="dxa"/>
            <w:bottom w:w="0" w:type="dxa"/>
            <w:right w:w="108" w:type="dxa"/>
          </w:tblCellMar>
        </w:tblPrEx>
        <w:trPr>
          <w:trHeight w:val="500"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54B443E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1.1.5</w:t>
            </w:r>
          </w:p>
        </w:tc>
        <w:tc>
          <w:tcPr>
            <w:tcW w:w="1987" w:type="dxa"/>
            <w:tcBorders>
              <w:top w:val="single" w:color="auto" w:sz="4" w:space="0"/>
              <w:left w:val="single" w:color="auto" w:sz="4" w:space="0"/>
              <w:bottom w:val="single" w:color="auto" w:sz="4" w:space="0"/>
              <w:right w:val="single" w:color="auto" w:sz="4" w:space="0"/>
            </w:tcBorders>
            <w:vAlign w:val="center"/>
          </w:tcPr>
          <w:p w14:paraId="5216C7C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项目地址</w:t>
            </w:r>
          </w:p>
        </w:tc>
        <w:tc>
          <w:tcPr>
            <w:tcW w:w="6867" w:type="dxa"/>
            <w:tcBorders>
              <w:top w:val="single" w:color="auto" w:sz="4" w:space="0"/>
              <w:left w:val="single" w:color="auto" w:sz="4" w:space="0"/>
              <w:bottom w:val="single" w:color="auto" w:sz="4" w:space="0"/>
              <w:right w:val="single" w:color="auto" w:sz="4" w:space="0"/>
            </w:tcBorders>
            <w:vAlign w:val="center"/>
          </w:tcPr>
          <w:p w14:paraId="6CD25A6F">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eastAsia="zh-CN"/>
              </w:rPr>
              <w:t>睢县</w:t>
            </w:r>
            <w:r>
              <w:rPr>
                <w:rFonts w:hint="eastAsia" w:ascii="仿宋" w:hAnsi="仿宋" w:eastAsia="仿宋" w:cs="仿宋"/>
                <w:color w:val="auto"/>
                <w:sz w:val="21"/>
                <w:szCs w:val="21"/>
                <w:highlight w:val="none"/>
                <w:lang w:val="en-US"/>
              </w:rPr>
              <w:t>境内</w:t>
            </w:r>
          </w:p>
        </w:tc>
      </w:tr>
      <w:tr w14:paraId="5AD5D5B5">
        <w:tblPrEx>
          <w:tblCellMar>
            <w:top w:w="0" w:type="dxa"/>
            <w:left w:w="108" w:type="dxa"/>
            <w:bottom w:w="0" w:type="dxa"/>
            <w:right w:w="108" w:type="dxa"/>
          </w:tblCellMar>
        </w:tblPrEx>
        <w:trPr>
          <w:trHeight w:val="533"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3F6B425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1.1.6</w:t>
            </w:r>
          </w:p>
        </w:tc>
        <w:tc>
          <w:tcPr>
            <w:tcW w:w="1987" w:type="dxa"/>
            <w:tcBorders>
              <w:top w:val="single" w:color="auto" w:sz="4" w:space="0"/>
              <w:left w:val="single" w:color="auto" w:sz="4" w:space="0"/>
              <w:bottom w:val="single" w:color="auto" w:sz="4" w:space="0"/>
              <w:right w:val="single" w:color="auto" w:sz="4" w:space="0"/>
            </w:tcBorders>
            <w:vAlign w:val="center"/>
          </w:tcPr>
          <w:p w14:paraId="43F55712">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项目内容</w:t>
            </w:r>
          </w:p>
        </w:tc>
        <w:tc>
          <w:tcPr>
            <w:tcW w:w="6867" w:type="dxa"/>
            <w:tcBorders>
              <w:top w:val="single" w:color="auto" w:sz="4" w:space="0"/>
              <w:left w:val="single" w:color="auto" w:sz="4" w:space="0"/>
              <w:bottom w:val="single" w:color="auto" w:sz="4" w:space="0"/>
              <w:right w:val="single" w:color="auto" w:sz="4" w:space="0"/>
            </w:tcBorders>
            <w:vAlign w:val="center"/>
          </w:tcPr>
          <w:p w14:paraId="051097F5">
            <w:pPr>
              <w:keepNext w:val="0"/>
              <w:keepLines w:val="0"/>
              <w:pageBreakBefore w:val="0"/>
              <w:kinsoku/>
              <w:overflowPunct/>
              <w:autoSpaceDE/>
              <w:autoSpaceDN/>
              <w:bidi w:val="0"/>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eastAsia="zh-CN"/>
              </w:rPr>
              <w:t>睢县</w:t>
            </w:r>
            <w:r>
              <w:rPr>
                <w:rFonts w:hint="eastAsia" w:ascii="仿宋" w:hAnsi="仿宋" w:eastAsia="仿宋" w:cs="仿宋"/>
                <w:color w:val="auto"/>
                <w:sz w:val="21"/>
                <w:szCs w:val="21"/>
                <w:highlight w:val="none"/>
                <w:lang w:val="en-US" w:eastAsia="zh-CN"/>
              </w:rPr>
              <w:t>城区</w:t>
            </w:r>
            <w:r>
              <w:rPr>
                <w:rFonts w:hint="eastAsia" w:ascii="仿宋" w:hAnsi="仿宋" w:eastAsia="仿宋" w:cs="仿宋"/>
                <w:color w:val="auto"/>
                <w:sz w:val="21"/>
                <w:szCs w:val="21"/>
                <w:highlight w:val="none"/>
                <w:lang w:eastAsia="zh-CN"/>
              </w:rPr>
              <w:t>供水特许经营</w:t>
            </w:r>
          </w:p>
        </w:tc>
      </w:tr>
      <w:tr w14:paraId="20E3A34B">
        <w:tblPrEx>
          <w:tblCellMar>
            <w:top w:w="0" w:type="dxa"/>
            <w:left w:w="108" w:type="dxa"/>
            <w:bottom w:w="0" w:type="dxa"/>
            <w:right w:w="108" w:type="dxa"/>
          </w:tblCellMar>
        </w:tblPrEx>
        <w:trPr>
          <w:trHeight w:val="425"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397485C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1.2.1</w:t>
            </w:r>
          </w:p>
        </w:tc>
        <w:tc>
          <w:tcPr>
            <w:tcW w:w="1987" w:type="dxa"/>
            <w:tcBorders>
              <w:top w:val="single" w:color="auto" w:sz="4" w:space="0"/>
              <w:left w:val="single" w:color="auto" w:sz="4" w:space="0"/>
              <w:bottom w:val="single" w:color="auto" w:sz="4" w:space="0"/>
              <w:right w:val="single" w:color="auto" w:sz="4" w:space="0"/>
            </w:tcBorders>
            <w:vAlign w:val="center"/>
          </w:tcPr>
          <w:p w14:paraId="48530752">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资金来源</w:t>
            </w:r>
          </w:p>
        </w:tc>
        <w:tc>
          <w:tcPr>
            <w:tcW w:w="6867" w:type="dxa"/>
            <w:tcBorders>
              <w:top w:val="single" w:color="auto" w:sz="4" w:space="0"/>
              <w:left w:val="single" w:color="auto" w:sz="4" w:space="0"/>
              <w:bottom w:val="single" w:color="auto" w:sz="4" w:space="0"/>
              <w:right w:val="single" w:color="auto" w:sz="4" w:space="0"/>
            </w:tcBorders>
            <w:vAlign w:val="center"/>
          </w:tcPr>
          <w:p w14:paraId="673C9653">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自筹资金</w:t>
            </w:r>
          </w:p>
        </w:tc>
      </w:tr>
      <w:tr w14:paraId="55FAC6F7">
        <w:tblPrEx>
          <w:tblCellMar>
            <w:top w:w="0" w:type="dxa"/>
            <w:left w:w="108" w:type="dxa"/>
            <w:bottom w:w="0" w:type="dxa"/>
            <w:right w:w="108" w:type="dxa"/>
          </w:tblCellMar>
        </w:tblPrEx>
        <w:trPr>
          <w:trHeight w:val="15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376A37BF">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w:t>
            </w:r>
          </w:p>
        </w:tc>
        <w:tc>
          <w:tcPr>
            <w:tcW w:w="1987" w:type="dxa"/>
            <w:tcBorders>
              <w:top w:val="single" w:color="auto" w:sz="4" w:space="0"/>
              <w:left w:val="single" w:color="auto" w:sz="4" w:space="0"/>
              <w:bottom w:val="single" w:color="auto" w:sz="4" w:space="0"/>
              <w:right w:val="single" w:color="auto" w:sz="4" w:space="0"/>
            </w:tcBorders>
            <w:vAlign w:val="center"/>
          </w:tcPr>
          <w:p w14:paraId="2A324A9F">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招标</w:t>
            </w:r>
            <w:r>
              <w:rPr>
                <w:rFonts w:hint="eastAsia" w:ascii="仿宋" w:hAnsi="仿宋" w:eastAsia="仿宋" w:cs="仿宋"/>
                <w:color w:val="auto"/>
                <w:sz w:val="21"/>
                <w:szCs w:val="21"/>
                <w:highlight w:val="none"/>
              </w:rPr>
              <w:t>范围</w:t>
            </w:r>
          </w:p>
        </w:tc>
        <w:tc>
          <w:tcPr>
            <w:tcW w:w="6867" w:type="dxa"/>
            <w:tcBorders>
              <w:top w:val="single" w:color="auto" w:sz="4" w:space="0"/>
              <w:left w:val="single" w:color="auto" w:sz="4" w:space="0"/>
              <w:bottom w:val="single" w:color="auto" w:sz="4" w:space="0"/>
              <w:right w:val="single" w:color="auto" w:sz="4" w:space="0"/>
            </w:tcBorders>
            <w:vAlign w:val="center"/>
          </w:tcPr>
          <w:p w14:paraId="437A038C">
            <w:pPr>
              <w:pStyle w:val="2"/>
              <w:keepNext w:val="0"/>
              <w:keepLines w:val="0"/>
              <w:pageBreakBefore w:val="0"/>
              <w:kinsoku/>
              <w:overflowPunct/>
              <w:bidi w:val="0"/>
              <w:snapToGrid w:val="0"/>
              <w:spacing w:line="360" w:lineRule="auto"/>
              <w:rPr>
                <w:rFonts w:hint="eastAsia" w:ascii="仿宋" w:hAnsi="仿宋" w:eastAsia="仿宋" w:cs="仿宋"/>
                <w:color w:val="auto"/>
                <w:kern w:val="2"/>
                <w:sz w:val="21"/>
                <w:szCs w:val="21"/>
                <w:highlight w:val="none"/>
              </w:rPr>
            </w:pPr>
            <w:r>
              <w:rPr>
                <w:rFonts w:hint="eastAsia" w:ascii="仿宋" w:hAnsi="仿宋" w:eastAsia="仿宋" w:cs="仿宋"/>
                <w:color w:val="auto"/>
                <w:sz w:val="21"/>
                <w:szCs w:val="21"/>
                <w:highlight w:val="none"/>
                <w:lang w:val="en-US" w:eastAsia="zh-CN"/>
              </w:rPr>
              <w:t>特许经营权授权供水范围：东至东环路，西至西环路，南至南环路，北至黄山路合围范围。</w:t>
            </w:r>
          </w:p>
        </w:tc>
      </w:tr>
      <w:tr w14:paraId="7AB13153">
        <w:tblPrEx>
          <w:tblCellMar>
            <w:top w:w="0" w:type="dxa"/>
            <w:left w:w="108" w:type="dxa"/>
            <w:bottom w:w="0" w:type="dxa"/>
            <w:right w:w="108" w:type="dxa"/>
          </w:tblCellMar>
        </w:tblPrEx>
        <w:trPr>
          <w:trHeight w:val="398"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4B812F9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rPr>
              <w:t>3</w:t>
            </w:r>
            <w:r>
              <w:rPr>
                <w:rFonts w:hint="eastAsia" w:ascii="仿宋" w:hAnsi="仿宋" w:eastAsia="仿宋" w:cs="仿宋"/>
                <w:color w:val="auto"/>
                <w:sz w:val="21"/>
                <w:szCs w:val="21"/>
                <w:highlight w:val="none"/>
              </w:rPr>
              <w:t>.2</w:t>
            </w:r>
          </w:p>
        </w:tc>
        <w:tc>
          <w:tcPr>
            <w:tcW w:w="1987" w:type="dxa"/>
            <w:tcBorders>
              <w:top w:val="single" w:color="auto" w:sz="4" w:space="0"/>
              <w:left w:val="single" w:color="auto" w:sz="4" w:space="0"/>
              <w:bottom w:val="single" w:color="auto" w:sz="4" w:space="0"/>
              <w:right w:val="single" w:color="auto" w:sz="4" w:space="0"/>
            </w:tcBorders>
            <w:vAlign w:val="center"/>
          </w:tcPr>
          <w:p w14:paraId="5CB9D64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合作期</w:t>
            </w:r>
            <w:r>
              <w:rPr>
                <w:rFonts w:hint="eastAsia" w:ascii="仿宋" w:hAnsi="仿宋" w:eastAsia="仿宋" w:cs="仿宋"/>
                <w:color w:val="auto"/>
                <w:sz w:val="21"/>
                <w:szCs w:val="21"/>
                <w:highlight w:val="none"/>
                <w:lang w:val="en-US"/>
              </w:rPr>
              <w:t>限</w:t>
            </w:r>
          </w:p>
        </w:tc>
        <w:tc>
          <w:tcPr>
            <w:tcW w:w="6867" w:type="dxa"/>
            <w:tcBorders>
              <w:top w:val="single" w:color="auto" w:sz="4" w:space="0"/>
              <w:left w:val="single" w:color="auto" w:sz="4" w:space="0"/>
              <w:bottom w:val="single" w:color="auto" w:sz="4" w:space="0"/>
              <w:right w:val="single" w:color="auto" w:sz="4" w:space="0"/>
            </w:tcBorders>
            <w:vAlign w:val="center"/>
          </w:tcPr>
          <w:p w14:paraId="048CA987">
            <w:pPr>
              <w:keepNext w:val="0"/>
              <w:keepLines w:val="0"/>
              <w:pageBreakBefore w:val="0"/>
              <w:kinsoku/>
              <w:overflowPunct/>
              <w:autoSpaceDE/>
              <w:autoSpaceDN/>
              <w:bidi w:val="0"/>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本项目特许经营期40年，起始日为完成存量资产移交工作并签订存量资产移交清单之日，终止日为特许经营期满之日</w:t>
            </w:r>
            <w:r>
              <w:rPr>
                <w:rFonts w:hint="eastAsia" w:ascii="仿宋" w:hAnsi="仿宋" w:eastAsia="仿宋" w:cs="仿宋"/>
                <w:color w:val="auto"/>
                <w:sz w:val="21"/>
                <w:szCs w:val="21"/>
                <w:highlight w:val="none"/>
                <w:lang w:val="en-US"/>
              </w:rPr>
              <w:t>。</w:t>
            </w:r>
          </w:p>
        </w:tc>
      </w:tr>
      <w:tr w14:paraId="1F98D615">
        <w:tblPrEx>
          <w:tblCellMar>
            <w:top w:w="0" w:type="dxa"/>
            <w:left w:w="108" w:type="dxa"/>
            <w:bottom w:w="0" w:type="dxa"/>
            <w:right w:w="108" w:type="dxa"/>
          </w:tblCellMar>
        </w:tblPrEx>
        <w:trPr>
          <w:trHeight w:val="398"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16FE85A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rPr>
              <w:t>3</w:t>
            </w:r>
            <w:r>
              <w:rPr>
                <w:rFonts w:hint="eastAsia" w:ascii="仿宋" w:hAnsi="仿宋" w:eastAsia="仿宋" w:cs="仿宋"/>
                <w:color w:val="auto"/>
                <w:sz w:val="21"/>
                <w:szCs w:val="21"/>
                <w:highlight w:val="none"/>
              </w:rPr>
              <w:t>.3</w:t>
            </w:r>
          </w:p>
        </w:tc>
        <w:tc>
          <w:tcPr>
            <w:tcW w:w="1987" w:type="dxa"/>
            <w:tcBorders>
              <w:top w:val="single" w:color="auto" w:sz="4" w:space="0"/>
              <w:left w:val="single" w:color="auto" w:sz="4" w:space="0"/>
              <w:bottom w:val="single" w:color="auto" w:sz="4" w:space="0"/>
              <w:right w:val="single" w:color="auto" w:sz="4" w:space="0"/>
            </w:tcBorders>
            <w:vAlign w:val="center"/>
          </w:tcPr>
          <w:p w14:paraId="44385B7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质量要求</w:t>
            </w:r>
          </w:p>
        </w:tc>
        <w:tc>
          <w:tcPr>
            <w:tcW w:w="6867" w:type="dxa"/>
            <w:tcBorders>
              <w:top w:val="single" w:color="auto" w:sz="4" w:space="0"/>
              <w:left w:val="single" w:color="auto" w:sz="4" w:space="0"/>
              <w:bottom w:val="single" w:color="auto" w:sz="4" w:space="0"/>
              <w:right w:val="single" w:color="auto" w:sz="4" w:space="0"/>
            </w:tcBorders>
            <w:vAlign w:val="center"/>
          </w:tcPr>
          <w:p w14:paraId="4C974C61">
            <w:pPr>
              <w:keepNext w:val="0"/>
              <w:keepLines w:val="0"/>
              <w:pageBreakBefore w:val="0"/>
              <w:kinsoku/>
              <w:overflowPunct/>
              <w:autoSpaceDE/>
              <w:autoSpaceDN/>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达到国家及行业规范要求</w:t>
            </w:r>
          </w:p>
        </w:tc>
      </w:tr>
      <w:tr w14:paraId="2F9AD472">
        <w:tblPrEx>
          <w:tblCellMar>
            <w:top w:w="0" w:type="dxa"/>
            <w:left w:w="108" w:type="dxa"/>
            <w:bottom w:w="0" w:type="dxa"/>
            <w:right w:w="108" w:type="dxa"/>
          </w:tblCellMar>
        </w:tblPrEx>
        <w:trPr>
          <w:trHeight w:val="398"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40B3CC1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1.3.4</w:t>
            </w:r>
          </w:p>
        </w:tc>
        <w:tc>
          <w:tcPr>
            <w:tcW w:w="1987" w:type="dxa"/>
            <w:tcBorders>
              <w:top w:val="single" w:color="auto" w:sz="4" w:space="0"/>
              <w:left w:val="single" w:color="auto" w:sz="4" w:space="0"/>
              <w:bottom w:val="single" w:color="auto" w:sz="4" w:space="0"/>
              <w:right w:val="single" w:color="auto" w:sz="4" w:space="0"/>
            </w:tcBorders>
            <w:vAlign w:val="center"/>
          </w:tcPr>
          <w:p w14:paraId="20B803E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运作模式</w:t>
            </w:r>
          </w:p>
        </w:tc>
        <w:tc>
          <w:tcPr>
            <w:tcW w:w="6867" w:type="dxa"/>
            <w:tcBorders>
              <w:top w:val="single" w:color="auto" w:sz="4" w:space="0"/>
              <w:left w:val="single" w:color="auto" w:sz="4" w:space="0"/>
              <w:bottom w:val="single" w:color="auto" w:sz="4" w:space="0"/>
              <w:right w:val="single" w:color="auto" w:sz="4" w:space="0"/>
            </w:tcBorders>
            <w:vAlign w:val="center"/>
          </w:tcPr>
          <w:p w14:paraId="2408D703">
            <w:pPr>
              <w:keepNext w:val="0"/>
              <w:keepLines w:val="0"/>
              <w:pageBreakBefore w:val="0"/>
              <w:kinsoku/>
              <w:overflowPunct/>
              <w:autoSpaceDE/>
              <w:autoSpaceDN/>
              <w:bidi w:val="0"/>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本项目拟采用“TOT”的实施方式，即睢县城乡供排水一体化项目（一期）存量供水资产的转让、运营维护和移交。</w:t>
            </w:r>
          </w:p>
        </w:tc>
      </w:tr>
      <w:tr w14:paraId="1C57B854">
        <w:tblPrEx>
          <w:tblCellMar>
            <w:top w:w="0" w:type="dxa"/>
            <w:left w:w="108" w:type="dxa"/>
            <w:bottom w:w="0" w:type="dxa"/>
            <w:right w:w="108" w:type="dxa"/>
          </w:tblCellMar>
        </w:tblPrEx>
        <w:trPr>
          <w:trHeight w:val="398"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6F81F03D">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1.3.5</w:t>
            </w:r>
          </w:p>
        </w:tc>
        <w:tc>
          <w:tcPr>
            <w:tcW w:w="1987" w:type="dxa"/>
            <w:tcBorders>
              <w:top w:val="single" w:color="auto" w:sz="4" w:space="0"/>
              <w:left w:val="single" w:color="auto" w:sz="4" w:space="0"/>
              <w:bottom w:val="single" w:color="auto" w:sz="4" w:space="0"/>
              <w:right w:val="single" w:color="auto" w:sz="4" w:space="0"/>
            </w:tcBorders>
            <w:vAlign w:val="center"/>
          </w:tcPr>
          <w:p w14:paraId="5DE26FFE">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回报机制</w:t>
            </w:r>
          </w:p>
        </w:tc>
        <w:tc>
          <w:tcPr>
            <w:tcW w:w="6867" w:type="dxa"/>
            <w:tcBorders>
              <w:top w:val="single" w:color="auto" w:sz="4" w:space="0"/>
              <w:left w:val="single" w:color="auto" w:sz="4" w:space="0"/>
              <w:bottom w:val="single" w:color="auto" w:sz="4" w:space="0"/>
              <w:right w:val="single" w:color="auto" w:sz="4" w:space="0"/>
            </w:tcBorders>
            <w:vAlign w:val="center"/>
          </w:tcPr>
          <w:p w14:paraId="3D65CA1C">
            <w:pPr>
              <w:keepNext w:val="0"/>
              <w:keepLines w:val="0"/>
              <w:pageBreakBefore w:val="0"/>
              <w:kinsoku/>
              <w:overflowPunct/>
              <w:autoSpaceDE/>
              <w:autoSpaceDN/>
              <w:bidi w:val="0"/>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本项目回报机制为使用者付费。</w:t>
            </w:r>
          </w:p>
        </w:tc>
      </w:tr>
      <w:tr w14:paraId="2D506904">
        <w:tblPrEx>
          <w:tblCellMar>
            <w:top w:w="0" w:type="dxa"/>
            <w:left w:w="108" w:type="dxa"/>
            <w:bottom w:w="0" w:type="dxa"/>
            <w:right w:w="108" w:type="dxa"/>
          </w:tblCellMar>
        </w:tblPrEx>
        <w:trPr>
          <w:trHeight w:val="45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46A1DD7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w:t>
            </w:r>
          </w:p>
        </w:tc>
        <w:tc>
          <w:tcPr>
            <w:tcW w:w="1987" w:type="dxa"/>
            <w:tcBorders>
              <w:top w:val="single" w:color="auto" w:sz="4" w:space="0"/>
              <w:left w:val="single" w:color="auto" w:sz="4" w:space="0"/>
              <w:bottom w:val="single" w:color="auto" w:sz="4" w:space="0"/>
              <w:right w:val="single" w:color="auto" w:sz="4" w:space="0"/>
            </w:tcBorders>
            <w:vAlign w:val="center"/>
          </w:tcPr>
          <w:p w14:paraId="1DA2D0B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供应商资格条件</w:t>
            </w:r>
          </w:p>
        </w:tc>
        <w:tc>
          <w:tcPr>
            <w:tcW w:w="6867" w:type="dxa"/>
            <w:tcBorders>
              <w:top w:val="single" w:color="auto" w:sz="4" w:space="0"/>
              <w:left w:val="single" w:color="auto" w:sz="4" w:space="0"/>
              <w:bottom w:val="single" w:color="auto" w:sz="4" w:space="0"/>
              <w:right w:val="single" w:color="auto" w:sz="4" w:space="0"/>
            </w:tcBorders>
            <w:vAlign w:val="center"/>
          </w:tcPr>
          <w:p w14:paraId="1D3C9E0C">
            <w:pPr>
              <w:keepNext w:val="0"/>
              <w:keepLines w:val="0"/>
              <w:pageBreakBefore w:val="0"/>
              <w:kinsoku/>
              <w:overflowPunct/>
              <w:autoSpaceDE/>
              <w:autoSpaceDN/>
              <w:bidi w:val="0"/>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详见招标公告。</w:t>
            </w:r>
          </w:p>
        </w:tc>
      </w:tr>
      <w:tr w14:paraId="7C532EAD">
        <w:tblPrEx>
          <w:tblCellMar>
            <w:top w:w="0" w:type="dxa"/>
            <w:left w:w="108" w:type="dxa"/>
            <w:bottom w:w="0" w:type="dxa"/>
            <w:right w:w="108" w:type="dxa"/>
          </w:tblCellMar>
        </w:tblPrEx>
        <w:trPr>
          <w:trHeight w:val="20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19D1563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w:t>
            </w:r>
          </w:p>
        </w:tc>
        <w:tc>
          <w:tcPr>
            <w:tcW w:w="1987" w:type="dxa"/>
            <w:tcBorders>
              <w:top w:val="single" w:color="auto" w:sz="4" w:space="0"/>
              <w:left w:val="single" w:color="auto" w:sz="4" w:space="0"/>
              <w:bottom w:val="single" w:color="auto" w:sz="4" w:space="0"/>
              <w:right w:val="single" w:color="auto" w:sz="4" w:space="0"/>
            </w:tcBorders>
            <w:vAlign w:val="center"/>
          </w:tcPr>
          <w:p w14:paraId="6B61CD2B">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是否接受联合体投标</w:t>
            </w:r>
          </w:p>
        </w:tc>
        <w:tc>
          <w:tcPr>
            <w:tcW w:w="6867" w:type="dxa"/>
            <w:tcBorders>
              <w:top w:val="single" w:color="auto" w:sz="4" w:space="0"/>
              <w:left w:val="single" w:color="auto" w:sz="4" w:space="0"/>
              <w:bottom w:val="single" w:color="auto" w:sz="4" w:space="0"/>
              <w:right w:val="single" w:color="auto" w:sz="4" w:space="0"/>
            </w:tcBorders>
            <w:vAlign w:val="center"/>
          </w:tcPr>
          <w:p w14:paraId="11BDA66B">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lang w:val="en-US"/>
              </w:rPr>
              <w:t>接受</w:t>
            </w:r>
          </w:p>
        </w:tc>
      </w:tr>
      <w:tr w14:paraId="4C5618FA">
        <w:tblPrEx>
          <w:tblCellMar>
            <w:top w:w="0" w:type="dxa"/>
            <w:left w:w="108" w:type="dxa"/>
            <w:bottom w:w="0" w:type="dxa"/>
            <w:right w:w="108" w:type="dxa"/>
          </w:tblCellMar>
        </w:tblPrEx>
        <w:trPr>
          <w:trHeight w:val="515"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1580FC9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w:t>
            </w:r>
          </w:p>
        </w:tc>
        <w:tc>
          <w:tcPr>
            <w:tcW w:w="1987" w:type="dxa"/>
            <w:tcBorders>
              <w:top w:val="single" w:color="auto" w:sz="4" w:space="0"/>
              <w:left w:val="single" w:color="auto" w:sz="4" w:space="0"/>
              <w:bottom w:val="single" w:color="auto" w:sz="4" w:space="0"/>
              <w:right w:val="single" w:color="auto" w:sz="4" w:space="0"/>
            </w:tcBorders>
            <w:vAlign w:val="center"/>
          </w:tcPr>
          <w:p w14:paraId="71DCE06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踏勘现场</w:t>
            </w:r>
          </w:p>
        </w:tc>
        <w:tc>
          <w:tcPr>
            <w:tcW w:w="6867" w:type="dxa"/>
            <w:tcBorders>
              <w:top w:val="single" w:color="auto" w:sz="4" w:space="0"/>
              <w:left w:val="single" w:color="auto" w:sz="4" w:space="0"/>
              <w:bottom w:val="single" w:color="auto" w:sz="4" w:space="0"/>
              <w:right w:val="single" w:color="auto" w:sz="4" w:space="0"/>
            </w:tcBorders>
            <w:vAlign w:val="center"/>
          </w:tcPr>
          <w:p w14:paraId="388F544F">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自行踏勘现场</w:t>
            </w:r>
          </w:p>
        </w:tc>
      </w:tr>
      <w:tr w14:paraId="6CC07E71">
        <w:tblPrEx>
          <w:tblCellMar>
            <w:top w:w="0" w:type="dxa"/>
            <w:left w:w="108" w:type="dxa"/>
            <w:bottom w:w="0" w:type="dxa"/>
            <w:right w:w="108" w:type="dxa"/>
          </w:tblCellMar>
        </w:tblPrEx>
        <w:trPr>
          <w:trHeight w:val="381"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085728D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1.10</w:t>
            </w:r>
            <w:r>
              <w:rPr>
                <w:rFonts w:hint="eastAsia" w:ascii="仿宋" w:hAnsi="仿宋" w:eastAsia="仿宋" w:cs="仿宋"/>
                <w:color w:val="auto"/>
                <w:sz w:val="21"/>
                <w:szCs w:val="21"/>
                <w:highlight w:val="none"/>
                <w:lang w:val="en-US"/>
              </w:rPr>
              <w:t>.1</w:t>
            </w:r>
          </w:p>
        </w:tc>
        <w:tc>
          <w:tcPr>
            <w:tcW w:w="1987" w:type="dxa"/>
            <w:tcBorders>
              <w:top w:val="single" w:color="auto" w:sz="4" w:space="0"/>
              <w:left w:val="single" w:color="auto" w:sz="4" w:space="0"/>
              <w:bottom w:val="single" w:color="auto" w:sz="4" w:space="0"/>
              <w:right w:val="single" w:color="auto" w:sz="4" w:space="0"/>
            </w:tcBorders>
            <w:vAlign w:val="center"/>
          </w:tcPr>
          <w:p w14:paraId="1D7C0CA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投标预备会</w:t>
            </w:r>
          </w:p>
        </w:tc>
        <w:tc>
          <w:tcPr>
            <w:tcW w:w="6867" w:type="dxa"/>
            <w:tcBorders>
              <w:top w:val="single" w:color="auto" w:sz="4" w:space="0"/>
              <w:left w:val="single" w:color="auto" w:sz="4" w:space="0"/>
              <w:bottom w:val="single" w:color="auto" w:sz="4" w:space="0"/>
              <w:right w:val="single" w:color="auto" w:sz="4" w:space="0"/>
            </w:tcBorders>
            <w:vAlign w:val="center"/>
          </w:tcPr>
          <w:p w14:paraId="58F6DEA7">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不召开</w:t>
            </w:r>
          </w:p>
        </w:tc>
      </w:tr>
      <w:tr w14:paraId="164D97EF">
        <w:tblPrEx>
          <w:tblCellMar>
            <w:top w:w="0" w:type="dxa"/>
            <w:left w:w="108" w:type="dxa"/>
            <w:bottom w:w="0" w:type="dxa"/>
            <w:right w:w="108" w:type="dxa"/>
          </w:tblCellMar>
        </w:tblPrEx>
        <w:trPr>
          <w:trHeight w:val="381"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31A6AD2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1.10.2</w:t>
            </w:r>
          </w:p>
        </w:tc>
        <w:tc>
          <w:tcPr>
            <w:tcW w:w="1987" w:type="dxa"/>
            <w:tcBorders>
              <w:top w:val="single" w:color="auto" w:sz="4" w:space="0"/>
              <w:left w:val="single" w:color="auto" w:sz="4" w:space="0"/>
              <w:bottom w:val="single" w:color="auto" w:sz="4" w:space="0"/>
              <w:right w:val="single" w:color="auto" w:sz="4" w:space="0"/>
            </w:tcBorders>
            <w:vAlign w:val="center"/>
          </w:tcPr>
          <w:p w14:paraId="1701451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供应商提出问题的时间和方式</w:t>
            </w:r>
          </w:p>
        </w:tc>
        <w:tc>
          <w:tcPr>
            <w:tcW w:w="6867" w:type="dxa"/>
            <w:tcBorders>
              <w:top w:val="single" w:color="auto" w:sz="4" w:space="0"/>
              <w:left w:val="single" w:color="auto" w:sz="4" w:space="0"/>
              <w:bottom w:val="single" w:color="auto" w:sz="4" w:space="0"/>
              <w:right w:val="single" w:color="auto" w:sz="4" w:space="0"/>
            </w:tcBorders>
            <w:vAlign w:val="center"/>
          </w:tcPr>
          <w:p w14:paraId="39A2F288">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投标截止时间1</w:t>
            </w:r>
            <w:r>
              <w:rPr>
                <w:rFonts w:hint="eastAsia" w:ascii="仿宋" w:hAnsi="仿宋" w:eastAsia="仿宋" w:cs="仿宋"/>
                <w:color w:val="auto"/>
                <w:sz w:val="21"/>
                <w:szCs w:val="21"/>
                <w:highlight w:val="none"/>
                <w:lang w:val="en-US"/>
              </w:rPr>
              <w:t>0</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val="en-US" w:eastAsia="zh-CN"/>
              </w:rPr>
              <w:t>前</w:t>
            </w:r>
          </w:p>
        </w:tc>
      </w:tr>
      <w:tr w14:paraId="02DA00CE">
        <w:tblPrEx>
          <w:tblCellMar>
            <w:top w:w="0" w:type="dxa"/>
            <w:left w:w="108" w:type="dxa"/>
            <w:bottom w:w="0" w:type="dxa"/>
            <w:right w:w="108" w:type="dxa"/>
          </w:tblCellMar>
        </w:tblPrEx>
        <w:trPr>
          <w:trHeight w:val="381"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46FB80A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1.10.3</w:t>
            </w:r>
          </w:p>
        </w:tc>
        <w:tc>
          <w:tcPr>
            <w:tcW w:w="1987" w:type="dxa"/>
            <w:tcBorders>
              <w:top w:val="single" w:color="auto" w:sz="4" w:space="0"/>
              <w:left w:val="single" w:color="auto" w:sz="4" w:space="0"/>
              <w:bottom w:val="single" w:color="auto" w:sz="4" w:space="0"/>
              <w:right w:val="single" w:color="auto" w:sz="4" w:space="0"/>
            </w:tcBorders>
            <w:vAlign w:val="center"/>
          </w:tcPr>
          <w:p w14:paraId="58BF2C7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采购</w:t>
            </w:r>
            <w:r>
              <w:rPr>
                <w:rFonts w:hint="eastAsia" w:ascii="仿宋" w:hAnsi="仿宋" w:eastAsia="仿宋" w:cs="仿宋"/>
                <w:color w:val="auto"/>
                <w:sz w:val="21"/>
                <w:szCs w:val="21"/>
                <w:highlight w:val="none"/>
              </w:rPr>
              <w:t>人对供应商提出异议的答复时间</w:t>
            </w:r>
          </w:p>
        </w:tc>
        <w:tc>
          <w:tcPr>
            <w:tcW w:w="6867" w:type="dxa"/>
            <w:tcBorders>
              <w:top w:val="single" w:color="auto" w:sz="4" w:space="0"/>
              <w:left w:val="single" w:color="auto" w:sz="4" w:space="0"/>
              <w:bottom w:val="single" w:color="auto" w:sz="4" w:space="0"/>
              <w:right w:val="single" w:color="auto" w:sz="4" w:space="0"/>
            </w:tcBorders>
            <w:vAlign w:val="center"/>
          </w:tcPr>
          <w:p w14:paraId="09E888AA">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采购人收到答疑后在有效时间内及时澄清</w:t>
            </w:r>
          </w:p>
        </w:tc>
      </w:tr>
      <w:tr w14:paraId="045E9898">
        <w:tblPrEx>
          <w:tblCellMar>
            <w:top w:w="0" w:type="dxa"/>
            <w:left w:w="108" w:type="dxa"/>
            <w:bottom w:w="0" w:type="dxa"/>
            <w:right w:w="108" w:type="dxa"/>
          </w:tblCellMar>
        </w:tblPrEx>
        <w:trPr>
          <w:trHeight w:val="381"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156921F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w:t>
            </w:r>
          </w:p>
        </w:tc>
        <w:tc>
          <w:tcPr>
            <w:tcW w:w="1987" w:type="dxa"/>
            <w:tcBorders>
              <w:top w:val="single" w:color="auto" w:sz="4" w:space="0"/>
              <w:left w:val="single" w:color="auto" w:sz="4" w:space="0"/>
              <w:bottom w:val="single" w:color="auto" w:sz="4" w:space="0"/>
              <w:right w:val="single" w:color="auto" w:sz="4" w:space="0"/>
            </w:tcBorders>
            <w:vAlign w:val="center"/>
          </w:tcPr>
          <w:p w14:paraId="2CC0CE0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w:t>
            </w:r>
          </w:p>
        </w:tc>
        <w:tc>
          <w:tcPr>
            <w:tcW w:w="6867" w:type="dxa"/>
            <w:tcBorders>
              <w:top w:val="single" w:color="auto" w:sz="4" w:space="0"/>
              <w:left w:val="single" w:color="auto" w:sz="4" w:space="0"/>
              <w:bottom w:val="single" w:color="auto" w:sz="4" w:space="0"/>
              <w:right w:val="single" w:color="auto" w:sz="4" w:space="0"/>
            </w:tcBorders>
            <w:vAlign w:val="center"/>
          </w:tcPr>
          <w:p w14:paraId="42E975DF">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不允许</w:t>
            </w:r>
          </w:p>
        </w:tc>
      </w:tr>
      <w:tr w14:paraId="5228DFBF">
        <w:tblPrEx>
          <w:tblCellMar>
            <w:top w:w="0" w:type="dxa"/>
            <w:left w:w="108" w:type="dxa"/>
            <w:bottom w:w="0" w:type="dxa"/>
            <w:right w:w="108" w:type="dxa"/>
          </w:tblCellMar>
        </w:tblPrEx>
        <w:trPr>
          <w:trHeight w:val="381"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4CC6C2C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p>
        </w:tc>
        <w:tc>
          <w:tcPr>
            <w:tcW w:w="1987" w:type="dxa"/>
            <w:tcBorders>
              <w:top w:val="single" w:color="auto" w:sz="4" w:space="0"/>
              <w:left w:val="single" w:color="auto" w:sz="4" w:space="0"/>
              <w:bottom w:val="single" w:color="auto" w:sz="4" w:space="0"/>
              <w:right w:val="single" w:color="auto" w:sz="4" w:space="0"/>
            </w:tcBorders>
            <w:vAlign w:val="center"/>
          </w:tcPr>
          <w:p w14:paraId="3C59501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构成招标文件的其他材料</w:t>
            </w:r>
          </w:p>
        </w:tc>
        <w:tc>
          <w:tcPr>
            <w:tcW w:w="6867" w:type="dxa"/>
            <w:tcBorders>
              <w:top w:val="single" w:color="auto" w:sz="4" w:space="0"/>
              <w:left w:val="single" w:color="auto" w:sz="4" w:space="0"/>
              <w:bottom w:val="single" w:color="auto" w:sz="4" w:space="0"/>
              <w:right w:val="single" w:color="auto" w:sz="4" w:space="0"/>
            </w:tcBorders>
            <w:vAlign w:val="center"/>
          </w:tcPr>
          <w:p w14:paraId="31CE5CC2">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招标文件的补充、澄清、修改、答疑（如有）</w:t>
            </w:r>
          </w:p>
        </w:tc>
      </w:tr>
      <w:tr w14:paraId="3841EE04">
        <w:tblPrEx>
          <w:tblCellMar>
            <w:top w:w="0" w:type="dxa"/>
            <w:left w:w="108" w:type="dxa"/>
            <w:bottom w:w="0" w:type="dxa"/>
            <w:right w:w="108" w:type="dxa"/>
          </w:tblCellMar>
        </w:tblPrEx>
        <w:trPr>
          <w:trHeight w:val="381"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7C84E5E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2.2.1</w:t>
            </w:r>
          </w:p>
        </w:tc>
        <w:tc>
          <w:tcPr>
            <w:tcW w:w="1987" w:type="dxa"/>
            <w:tcBorders>
              <w:top w:val="single" w:color="auto" w:sz="4" w:space="0"/>
              <w:left w:val="single" w:color="auto" w:sz="4" w:space="0"/>
              <w:bottom w:val="single" w:color="auto" w:sz="4" w:space="0"/>
              <w:right w:val="single" w:color="auto" w:sz="4" w:space="0"/>
            </w:tcBorders>
            <w:vAlign w:val="center"/>
          </w:tcPr>
          <w:p w14:paraId="65332A50">
            <w:pPr>
              <w:keepNext w:val="0"/>
              <w:keepLines w:val="0"/>
              <w:pageBreakBefore w:val="0"/>
              <w:kinsoku/>
              <w:overflowPunct/>
              <w:bidi w:val="0"/>
              <w:snapToGrid w:val="0"/>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rPr>
              <w:t>采购</w:t>
            </w:r>
            <w:r>
              <w:rPr>
                <w:rFonts w:hint="eastAsia" w:ascii="仿宋" w:hAnsi="仿宋" w:eastAsia="仿宋" w:cs="仿宋"/>
                <w:color w:val="auto"/>
                <w:sz w:val="21"/>
                <w:szCs w:val="21"/>
                <w:highlight w:val="none"/>
              </w:rPr>
              <w:t>人澄清招标文件的截止时间</w:t>
            </w:r>
            <w:r>
              <w:rPr>
                <w:rFonts w:hint="eastAsia" w:ascii="仿宋" w:hAnsi="仿宋" w:eastAsia="仿宋" w:cs="仿宋"/>
                <w:color w:val="auto"/>
                <w:sz w:val="21"/>
                <w:szCs w:val="21"/>
                <w:highlight w:val="none"/>
                <w:lang w:val="en-US" w:eastAsia="zh-CN"/>
              </w:rPr>
              <w:t>及形式</w:t>
            </w:r>
          </w:p>
        </w:tc>
        <w:tc>
          <w:tcPr>
            <w:tcW w:w="6867" w:type="dxa"/>
            <w:tcBorders>
              <w:top w:val="single" w:color="auto" w:sz="4" w:space="0"/>
              <w:left w:val="single" w:color="auto" w:sz="4" w:space="0"/>
              <w:bottom w:val="single" w:color="auto" w:sz="4" w:space="0"/>
              <w:right w:val="single" w:color="auto" w:sz="4" w:space="0"/>
            </w:tcBorders>
            <w:vAlign w:val="center"/>
          </w:tcPr>
          <w:p w14:paraId="77A1122D">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时间：</w:t>
            </w:r>
            <w:r>
              <w:rPr>
                <w:rFonts w:hint="eastAsia" w:ascii="仿宋" w:hAnsi="仿宋" w:eastAsia="仿宋" w:cs="仿宋"/>
                <w:color w:val="auto"/>
                <w:sz w:val="21"/>
                <w:szCs w:val="21"/>
                <w:highlight w:val="none"/>
              </w:rPr>
              <w:t>投标截止时间15</w:t>
            </w:r>
            <w:r>
              <w:rPr>
                <w:rFonts w:hint="eastAsia" w:ascii="仿宋" w:hAnsi="仿宋" w:eastAsia="仿宋" w:cs="仿宋"/>
                <w:color w:val="auto"/>
                <w:sz w:val="21"/>
                <w:szCs w:val="21"/>
                <w:highlight w:val="none"/>
                <w:lang w:val="en-US" w:eastAsia="zh-CN"/>
              </w:rPr>
              <w:t>日前</w:t>
            </w:r>
          </w:p>
          <w:p w14:paraId="324FCD8B">
            <w:pPr>
              <w:pStyle w:val="23"/>
              <w:ind w:left="0" w:leftChars="0" w:firstLine="0" w:firstLineChars="0"/>
              <w:rPr>
                <w:rFonts w:hint="default"/>
                <w:lang w:val="en-US" w:eastAsia="zh-CN"/>
              </w:rPr>
            </w:pPr>
            <w:r>
              <w:rPr>
                <w:rFonts w:hint="eastAsia" w:ascii="仿宋" w:hAnsi="仿宋" w:eastAsia="仿宋" w:cs="仿宋"/>
                <w:color w:val="auto"/>
                <w:sz w:val="21"/>
                <w:szCs w:val="21"/>
                <w:highlight w:val="none"/>
                <w:lang w:val="en-US" w:eastAsia="zh-CN"/>
              </w:rPr>
              <w:t>形式：招标文件的澄清、修改将在《河南省电子招标投标公共服务平台》、《商丘市公共资源交易中心官网》上发布“变更公告”，如需修改招标文件，则同时在《商丘市公共资源交易中心官网》发布“答疑文件”（答疑文件指修改后最新的招标文件）。各供应商须重新下载最新的“答疑文件”，并以此编制投标文件。如不以最新发布的“答疑文件”编制投标文件，造成投标无效的后果由供应商自己承担。</w:t>
            </w:r>
          </w:p>
        </w:tc>
      </w:tr>
      <w:tr w14:paraId="241133EC">
        <w:tblPrEx>
          <w:tblCellMar>
            <w:top w:w="0" w:type="dxa"/>
            <w:left w:w="108" w:type="dxa"/>
            <w:bottom w:w="0" w:type="dxa"/>
            <w:right w:w="108" w:type="dxa"/>
          </w:tblCellMar>
        </w:tblPrEx>
        <w:trPr>
          <w:trHeight w:val="381"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32E6928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p>
        </w:tc>
        <w:tc>
          <w:tcPr>
            <w:tcW w:w="1987" w:type="dxa"/>
            <w:tcBorders>
              <w:top w:val="single" w:color="auto" w:sz="4" w:space="0"/>
              <w:left w:val="single" w:color="auto" w:sz="4" w:space="0"/>
              <w:bottom w:val="single" w:color="auto" w:sz="4" w:space="0"/>
              <w:right w:val="single" w:color="auto" w:sz="4" w:space="0"/>
            </w:tcBorders>
            <w:vAlign w:val="center"/>
          </w:tcPr>
          <w:p w14:paraId="1B57073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 xml:space="preserve">供应商确认收到招 </w:t>
            </w:r>
          </w:p>
          <w:p w14:paraId="5474E50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标文件澄清的时间</w:t>
            </w:r>
          </w:p>
        </w:tc>
        <w:tc>
          <w:tcPr>
            <w:tcW w:w="6867" w:type="dxa"/>
            <w:tcBorders>
              <w:top w:val="single" w:color="auto" w:sz="4" w:space="0"/>
              <w:left w:val="single" w:color="auto" w:sz="4" w:space="0"/>
              <w:bottom w:val="single" w:color="auto" w:sz="4" w:space="0"/>
              <w:right w:val="single" w:color="auto" w:sz="4" w:space="0"/>
            </w:tcBorders>
            <w:vAlign w:val="center"/>
          </w:tcPr>
          <w:p w14:paraId="62F114EB">
            <w:pPr>
              <w:pStyle w:val="23"/>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在商丘市公共资源交易中心官网等其他发布媒体网站上发布、发出即视为收到，请供应商关注电子交易平台。</w:t>
            </w:r>
          </w:p>
        </w:tc>
      </w:tr>
      <w:tr w14:paraId="7C03221F">
        <w:tblPrEx>
          <w:tblCellMar>
            <w:top w:w="0" w:type="dxa"/>
            <w:left w:w="108" w:type="dxa"/>
            <w:bottom w:w="0" w:type="dxa"/>
            <w:right w:w="108" w:type="dxa"/>
          </w:tblCellMar>
        </w:tblPrEx>
        <w:trPr>
          <w:trHeight w:val="381"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1B9DDD0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p>
        </w:tc>
        <w:tc>
          <w:tcPr>
            <w:tcW w:w="1987" w:type="dxa"/>
            <w:tcBorders>
              <w:top w:val="single" w:color="auto" w:sz="4" w:space="0"/>
              <w:left w:val="single" w:color="auto" w:sz="4" w:space="0"/>
              <w:bottom w:val="single" w:color="auto" w:sz="4" w:space="0"/>
              <w:right w:val="single" w:color="auto" w:sz="4" w:space="0"/>
            </w:tcBorders>
            <w:vAlign w:val="center"/>
          </w:tcPr>
          <w:p w14:paraId="4B1CE7D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 xml:space="preserve">供应商确认收到招 </w:t>
            </w:r>
          </w:p>
          <w:p w14:paraId="0F04FB4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标文件修改的时间</w:t>
            </w:r>
          </w:p>
        </w:tc>
        <w:tc>
          <w:tcPr>
            <w:tcW w:w="6867" w:type="dxa"/>
            <w:tcBorders>
              <w:top w:val="single" w:color="auto" w:sz="4" w:space="0"/>
              <w:left w:val="single" w:color="auto" w:sz="4" w:space="0"/>
              <w:bottom w:val="single" w:color="auto" w:sz="4" w:space="0"/>
              <w:right w:val="single" w:color="auto" w:sz="4" w:space="0"/>
            </w:tcBorders>
            <w:vAlign w:val="center"/>
          </w:tcPr>
          <w:p w14:paraId="25849830">
            <w:pPr>
              <w:pStyle w:val="23"/>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在商丘市公共资源交易中心官网等其他发布媒体网站上发布、发出即视为收到，请供应商关注电子交易平台。</w:t>
            </w:r>
          </w:p>
        </w:tc>
      </w:tr>
      <w:tr w14:paraId="0CD57A66">
        <w:tblPrEx>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2806DE7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w:t>
            </w:r>
          </w:p>
        </w:tc>
        <w:tc>
          <w:tcPr>
            <w:tcW w:w="1987" w:type="dxa"/>
            <w:tcBorders>
              <w:top w:val="single" w:color="auto" w:sz="4" w:space="0"/>
              <w:left w:val="single" w:color="auto" w:sz="4" w:space="0"/>
              <w:bottom w:val="single" w:color="auto" w:sz="4" w:space="0"/>
              <w:right w:val="single" w:color="auto" w:sz="4" w:space="0"/>
            </w:tcBorders>
            <w:vAlign w:val="center"/>
          </w:tcPr>
          <w:p w14:paraId="0E1C77C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投标截止时间</w:t>
            </w:r>
          </w:p>
        </w:tc>
        <w:tc>
          <w:tcPr>
            <w:tcW w:w="6867" w:type="dxa"/>
            <w:tcBorders>
              <w:top w:val="single" w:color="auto" w:sz="4" w:space="0"/>
              <w:left w:val="single" w:color="auto" w:sz="4" w:space="0"/>
              <w:bottom w:val="single" w:color="auto" w:sz="4" w:space="0"/>
              <w:right w:val="single" w:color="auto" w:sz="4" w:space="0"/>
            </w:tcBorders>
            <w:vAlign w:val="center"/>
          </w:tcPr>
          <w:p w14:paraId="140F83B3">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31</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val="en-US"/>
              </w:rPr>
              <w:t>上午</w:t>
            </w:r>
            <w:r>
              <w:rPr>
                <w:rFonts w:hint="eastAsia" w:ascii="仿宋" w:hAnsi="仿宋" w:eastAsia="仿宋" w:cs="仿宋"/>
                <w:color w:val="auto"/>
                <w:sz w:val="21"/>
                <w:szCs w:val="21"/>
                <w:highlight w:val="none"/>
                <w:lang w:val="en-US" w:eastAsia="zh-CN"/>
              </w:rPr>
              <w:t>09</w:t>
            </w:r>
            <w:r>
              <w:rPr>
                <w:rFonts w:hint="eastAsia" w:ascii="仿宋" w:hAnsi="仿宋" w:eastAsia="仿宋" w:cs="仿宋"/>
                <w:color w:val="auto"/>
                <w:sz w:val="21"/>
                <w:szCs w:val="21"/>
                <w:highlight w:val="none"/>
              </w:rPr>
              <w:t>时</w:t>
            </w:r>
            <w:r>
              <w:rPr>
                <w:rFonts w:hint="eastAsia" w:ascii="仿宋" w:hAnsi="仿宋" w:eastAsia="仿宋" w:cs="仿宋"/>
                <w:color w:val="auto"/>
                <w:sz w:val="21"/>
                <w:szCs w:val="21"/>
                <w:highlight w:val="none"/>
                <w:lang w:val="en-US" w:eastAsia="zh-CN"/>
              </w:rPr>
              <w:t>00</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rPr>
              <w:t>北京时间</w:t>
            </w:r>
            <w:r>
              <w:rPr>
                <w:rFonts w:hint="eastAsia" w:ascii="仿宋" w:hAnsi="仿宋" w:eastAsia="仿宋" w:cs="仿宋"/>
                <w:color w:val="auto"/>
                <w:sz w:val="21"/>
                <w:szCs w:val="21"/>
                <w:highlight w:val="none"/>
              </w:rPr>
              <w:t>）</w:t>
            </w:r>
          </w:p>
        </w:tc>
      </w:tr>
      <w:tr w14:paraId="6AEE064A">
        <w:tblPrEx>
          <w:tblCellMar>
            <w:top w:w="0" w:type="dxa"/>
            <w:left w:w="108" w:type="dxa"/>
            <w:bottom w:w="0" w:type="dxa"/>
            <w:right w:w="108" w:type="dxa"/>
          </w:tblCellMar>
        </w:tblPrEx>
        <w:trPr>
          <w:trHeight w:val="1270" w:hRule="atLeast"/>
          <w:jc w:val="center"/>
        </w:trPr>
        <w:tc>
          <w:tcPr>
            <w:tcW w:w="963" w:type="dxa"/>
            <w:tcBorders>
              <w:left w:val="single" w:color="auto" w:sz="4" w:space="0"/>
              <w:right w:val="single" w:color="auto" w:sz="4" w:space="0"/>
            </w:tcBorders>
            <w:vAlign w:val="center"/>
          </w:tcPr>
          <w:p w14:paraId="7542BFD7">
            <w:pPr>
              <w:keepNext w:val="0"/>
              <w:keepLines w:val="0"/>
              <w:pageBreakBefore w:val="0"/>
              <w:kinsoku/>
              <w:overflowPunct/>
              <w:bidi w:val="0"/>
              <w:snapToGrid w:val="0"/>
              <w:spacing w:line="360" w:lineRule="auto"/>
              <w:jc w:val="center"/>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rPr>
              <w:t>2.2.3</w:t>
            </w:r>
          </w:p>
        </w:tc>
        <w:tc>
          <w:tcPr>
            <w:tcW w:w="1987" w:type="dxa"/>
            <w:tcBorders>
              <w:top w:val="single" w:color="auto" w:sz="4" w:space="0"/>
              <w:left w:val="single" w:color="auto" w:sz="4" w:space="0"/>
              <w:right w:val="single" w:color="auto" w:sz="4" w:space="0"/>
            </w:tcBorders>
            <w:vAlign w:val="center"/>
          </w:tcPr>
          <w:p w14:paraId="7B8D1100">
            <w:pPr>
              <w:keepNext w:val="0"/>
              <w:keepLines w:val="0"/>
              <w:pageBreakBefore w:val="0"/>
              <w:kinsoku/>
              <w:overflowPunct/>
              <w:bidi w:val="0"/>
              <w:snapToGrid w:val="0"/>
              <w:spacing w:line="360" w:lineRule="auto"/>
              <w:jc w:val="center"/>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rPr>
              <w:t>招标控制价</w:t>
            </w:r>
          </w:p>
        </w:tc>
        <w:tc>
          <w:tcPr>
            <w:tcW w:w="6867" w:type="dxa"/>
            <w:tcBorders>
              <w:top w:val="single" w:color="auto" w:sz="4" w:space="0"/>
              <w:left w:val="single" w:color="auto" w:sz="4" w:space="0"/>
              <w:bottom w:val="single" w:color="auto" w:sz="4" w:space="0"/>
              <w:right w:val="single" w:color="auto" w:sz="4" w:space="0"/>
            </w:tcBorders>
            <w:vAlign w:val="center"/>
          </w:tcPr>
          <w:p w14:paraId="19C8C587">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特许经营权转让价款≥101638659.00元</w:t>
            </w:r>
          </w:p>
          <w:p w14:paraId="57B55CBD">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b/>
                <w:bCs/>
                <w:color w:val="auto"/>
                <w:sz w:val="21"/>
                <w:szCs w:val="21"/>
                <w:highlight w:val="none"/>
                <w:lang w:val="en-US"/>
              </w:rPr>
              <w:t>注：</w:t>
            </w:r>
            <w:r>
              <w:rPr>
                <w:rFonts w:hint="eastAsia" w:ascii="仿宋" w:hAnsi="仿宋" w:eastAsia="仿宋" w:cs="仿宋"/>
                <w:b/>
                <w:bCs/>
                <w:color w:val="auto"/>
                <w:sz w:val="21"/>
                <w:szCs w:val="21"/>
                <w:highlight w:val="none"/>
                <w:lang w:val="en-US" w:eastAsia="zh-CN"/>
              </w:rPr>
              <w:t>高</w:t>
            </w:r>
            <w:r>
              <w:rPr>
                <w:rFonts w:hint="eastAsia" w:ascii="仿宋" w:hAnsi="仿宋" w:eastAsia="仿宋" w:cs="仿宋"/>
                <w:b/>
                <w:bCs/>
                <w:color w:val="auto"/>
                <w:sz w:val="21"/>
                <w:szCs w:val="21"/>
                <w:highlight w:val="none"/>
              </w:rPr>
              <w:t>于（含等于）本项目</w:t>
            </w:r>
            <w:r>
              <w:rPr>
                <w:rFonts w:hint="eastAsia" w:ascii="仿宋" w:hAnsi="仿宋" w:eastAsia="仿宋" w:cs="仿宋"/>
                <w:b/>
                <w:bCs/>
                <w:color w:val="auto"/>
                <w:sz w:val="21"/>
                <w:szCs w:val="21"/>
                <w:highlight w:val="none"/>
                <w:lang w:val="en-US" w:eastAsia="zh-CN"/>
              </w:rPr>
              <w:t>招标控制价</w:t>
            </w:r>
            <w:r>
              <w:rPr>
                <w:rFonts w:hint="eastAsia" w:ascii="仿宋" w:hAnsi="仿宋" w:eastAsia="仿宋" w:cs="仿宋"/>
                <w:b/>
                <w:bCs/>
                <w:color w:val="auto"/>
                <w:sz w:val="21"/>
                <w:szCs w:val="21"/>
                <w:highlight w:val="none"/>
                <w:lang w:val="en-US"/>
              </w:rPr>
              <w:t>为有效投标报价，否则为无效标。</w:t>
            </w:r>
          </w:p>
        </w:tc>
      </w:tr>
      <w:tr w14:paraId="7908BFC1">
        <w:tblPrEx>
          <w:tblCellMar>
            <w:top w:w="0" w:type="dxa"/>
            <w:left w:w="108" w:type="dxa"/>
            <w:bottom w:w="0" w:type="dxa"/>
            <w:right w:w="108" w:type="dxa"/>
          </w:tblCellMar>
        </w:tblPrEx>
        <w:trPr>
          <w:trHeight w:val="3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47F3581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w:t>
            </w:r>
          </w:p>
        </w:tc>
        <w:tc>
          <w:tcPr>
            <w:tcW w:w="1987" w:type="dxa"/>
            <w:tcBorders>
              <w:top w:val="single" w:color="auto" w:sz="4" w:space="0"/>
              <w:left w:val="single" w:color="auto" w:sz="4" w:space="0"/>
              <w:bottom w:val="single" w:color="auto" w:sz="4" w:space="0"/>
              <w:right w:val="single" w:color="auto" w:sz="4" w:space="0"/>
            </w:tcBorders>
            <w:vAlign w:val="center"/>
          </w:tcPr>
          <w:p w14:paraId="4E633FF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投标有效期</w:t>
            </w:r>
          </w:p>
        </w:tc>
        <w:tc>
          <w:tcPr>
            <w:tcW w:w="6867" w:type="dxa"/>
            <w:tcBorders>
              <w:top w:val="single" w:color="auto" w:sz="4" w:space="0"/>
              <w:left w:val="single" w:color="auto" w:sz="4" w:space="0"/>
              <w:bottom w:val="single" w:color="auto" w:sz="4" w:space="0"/>
              <w:right w:val="single" w:color="auto" w:sz="4" w:space="0"/>
            </w:tcBorders>
          </w:tcPr>
          <w:p w14:paraId="61D5E30C">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自投标文件递交截止之日起</w:t>
            </w:r>
            <w:r>
              <w:rPr>
                <w:rFonts w:hint="eastAsia" w:ascii="仿宋" w:hAnsi="仿宋" w:eastAsia="仿宋" w:cs="仿宋"/>
                <w:color w:val="auto"/>
                <w:sz w:val="21"/>
                <w:szCs w:val="21"/>
                <w:highlight w:val="none"/>
                <w:lang w:val="en-US"/>
              </w:rPr>
              <w:t>90日历</w:t>
            </w:r>
            <w:r>
              <w:rPr>
                <w:rFonts w:hint="eastAsia" w:ascii="仿宋" w:hAnsi="仿宋" w:eastAsia="仿宋" w:cs="仿宋"/>
                <w:color w:val="auto"/>
                <w:sz w:val="21"/>
                <w:szCs w:val="21"/>
                <w:highlight w:val="none"/>
              </w:rPr>
              <w:t>天</w:t>
            </w:r>
          </w:p>
        </w:tc>
      </w:tr>
      <w:tr w14:paraId="7C03B390">
        <w:tblPrEx>
          <w:tblCellMar>
            <w:top w:w="0" w:type="dxa"/>
            <w:left w:w="108" w:type="dxa"/>
            <w:bottom w:w="0" w:type="dxa"/>
            <w:right w:w="108" w:type="dxa"/>
          </w:tblCellMar>
        </w:tblPrEx>
        <w:trPr>
          <w:trHeight w:val="925"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64D95D89">
            <w:pPr>
              <w:keepNext w:val="0"/>
              <w:keepLines w:val="0"/>
              <w:pageBreakBefore w:val="0"/>
              <w:kinsoku/>
              <w:overflowPunct/>
              <w:bidi w:val="0"/>
              <w:snapToGrid w:val="0"/>
              <w:spacing w:line="360" w:lineRule="auto"/>
              <w:ind w:firstLine="205" w:firstLineChars="9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w:t>
            </w:r>
          </w:p>
        </w:tc>
        <w:tc>
          <w:tcPr>
            <w:tcW w:w="1987" w:type="dxa"/>
            <w:tcBorders>
              <w:top w:val="single" w:color="auto" w:sz="4" w:space="0"/>
              <w:left w:val="single" w:color="auto" w:sz="4" w:space="0"/>
              <w:bottom w:val="single" w:color="auto" w:sz="4" w:space="0"/>
              <w:right w:val="single" w:color="auto" w:sz="4" w:space="0"/>
            </w:tcBorders>
            <w:vAlign w:val="center"/>
          </w:tcPr>
          <w:p w14:paraId="30055C8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6867" w:type="dxa"/>
            <w:tcBorders>
              <w:top w:val="single" w:color="auto" w:sz="4" w:space="0"/>
              <w:left w:val="single" w:color="auto" w:sz="4" w:space="0"/>
              <w:bottom w:val="single" w:color="auto" w:sz="4" w:space="0"/>
              <w:right w:val="single" w:color="auto" w:sz="4" w:space="0"/>
            </w:tcBorders>
            <w:vAlign w:val="center"/>
          </w:tcPr>
          <w:p w14:paraId="0DE29A0B">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本项目不缴纳</w:t>
            </w:r>
            <w:r>
              <w:rPr>
                <w:rFonts w:hint="eastAsia" w:ascii="仿宋" w:hAnsi="仿宋" w:eastAsia="仿宋" w:cs="仿宋"/>
                <w:color w:val="auto"/>
                <w:sz w:val="21"/>
                <w:szCs w:val="21"/>
                <w:highlight w:val="none"/>
                <w:lang w:val="en-US" w:eastAsia="zh-CN"/>
              </w:rPr>
              <w:t>投标</w:t>
            </w:r>
            <w:r>
              <w:rPr>
                <w:rFonts w:hint="eastAsia" w:ascii="仿宋" w:hAnsi="仿宋" w:eastAsia="仿宋" w:cs="仿宋"/>
                <w:color w:val="auto"/>
                <w:sz w:val="21"/>
                <w:szCs w:val="21"/>
                <w:highlight w:val="none"/>
              </w:rPr>
              <w:t>保证金</w:t>
            </w:r>
          </w:p>
        </w:tc>
      </w:tr>
      <w:tr w14:paraId="6E36A17C">
        <w:tblPrEx>
          <w:tblCellMar>
            <w:top w:w="0" w:type="dxa"/>
            <w:left w:w="108" w:type="dxa"/>
            <w:bottom w:w="0" w:type="dxa"/>
            <w:right w:w="108" w:type="dxa"/>
          </w:tblCellMar>
        </w:tblPrEx>
        <w:trPr>
          <w:trHeight w:val="925"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20B37CE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3.5.1</w:t>
            </w:r>
          </w:p>
        </w:tc>
        <w:tc>
          <w:tcPr>
            <w:tcW w:w="1987" w:type="dxa"/>
            <w:tcBorders>
              <w:top w:val="single" w:color="auto" w:sz="4" w:space="0"/>
              <w:left w:val="single" w:color="auto" w:sz="4" w:space="0"/>
              <w:bottom w:val="single" w:color="auto" w:sz="4" w:space="0"/>
              <w:right w:val="single" w:color="auto" w:sz="4" w:space="0"/>
            </w:tcBorders>
            <w:vAlign w:val="center"/>
          </w:tcPr>
          <w:p w14:paraId="19E61BE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近年财务状况的年份要求</w:t>
            </w:r>
          </w:p>
        </w:tc>
        <w:tc>
          <w:tcPr>
            <w:tcW w:w="6867" w:type="dxa"/>
            <w:tcBorders>
              <w:top w:val="single" w:color="auto" w:sz="4" w:space="0"/>
              <w:left w:val="single" w:color="auto" w:sz="4" w:space="0"/>
              <w:bottom w:val="single" w:color="auto" w:sz="4" w:space="0"/>
              <w:right w:val="single" w:color="auto" w:sz="4" w:space="0"/>
            </w:tcBorders>
            <w:vAlign w:val="center"/>
          </w:tcPr>
          <w:p w14:paraId="412FB496">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供应商应提供202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rPr>
              <w:t>年</w:t>
            </w:r>
            <w:r>
              <w:rPr>
                <w:rFonts w:hint="eastAsia" w:ascii="仿宋" w:hAnsi="仿宋" w:eastAsia="仿宋" w:cs="仿宋"/>
                <w:color w:val="auto"/>
                <w:sz w:val="21"/>
                <w:szCs w:val="21"/>
                <w:highlight w:val="none"/>
                <w:lang w:val="en-US" w:eastAsia="zh-CN"/>
              </w:rPr>
              <w:t>度</w:t>
            </w:r>
            <w:r>
              <w:rPr>
                <w:rFonts w:hint="eastAsia" w:ascii="仿宋" w:hAnsi="仿宋" w:eastAsia="仿宋" w:cs="仿宋"/>
                <w:color w:val="auto"/>
                <w:sz w:val="21"/>
                <w:szCs w:val="21"/>
                <w:highlight w:val="none"/>
                <w:lang w:val="en-US"/>
              </w:rPr>
              <w:t>或202</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US"/>
              </w:rPr>
              <w:t>年</w:t>
            </w:r>
            <w:r>
              <w:rPr>
                <w:rFonts w:hint="eastAsia" w:ascii="仿宋" w:hAnsi="仿宋" w:eastAsia="仿宋" w:cs="仿宋"/>
                <w:color w:val="auto"/>
                <w:sz w:val="21"/>
                <w:szCs w:val="21"/>
                <w:highlight w:val="none"/>
                <w:lang w:val="en-US" w:eastAsia="zh-CN"/>
              </w:rPr>
              <w:t>度</w:t>
            </w:r>
            <w:r>
              <w:rPr>
                <w:rFonts w:hint="eastAsia" w:ascii="仿宋" w:hAnsi="仿宋" w:eastAsia="仿宋" w:cs="仿宋"/>
                <w:color w:val="auto"/>
                <w:sz w:val="21"/>
                <w:szCs w:val="21"/>
                <w:highlight w:val="none"/>
                <w:lang w:val="en-US"/>
              </w:rPr>
              <w:t>经独立审计机构出具的财务审计报告（包括资产负债表、现金流量表、利润表），若企业成立年限不足一年的，提供自企业成立之日起至今的财务报表</w:t>
            </w:r>
            <w:r>
              <w:rPr>
                <w:rFonts w:hint="eastAsia" w:ascii="仿宋" w:hAnsi="仿宋" w:eastAsia="仿宋" w:cs="仿宋"/>
                <w:color w:val="auto"/>
                <w:sz w:val="21"/>
                <w:szCs w:val="21"/>
                <w:highlight w:val="none"/>
              </w:rPr>
              <w:t>。</w:t>
            </w:r>
          </w:p>
        </w:tc>
      </w:tr>
      <w:tr w14:paraId="3CDAF1CA">
        <w:tblPrEx>
          <w:tblCellMar>
            <w:top w:w="0" w:type="dxa"/>
            <w:left w:w="108" w:type="dxa"/>
            <w:bottom w:w="0" w:type="dxa"/>
            <w:right w:w="108" w:type="dxa"/>
          </w:tblCellMar>
        </w:tblPrEx>
        <w:trPr>
          <w:trHeight w:val="925"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01FCCA4F">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w:t>
            </w:r>
          </w:p>
        </w:tc>
        <w:tc>
          <w:tcPr>
            <w:tcW w:w="1987" w:type="dxa"/>
            <w:tcBorders>
              <w:top w:val="single" w:color="auto" w:sz="4" w:space="0"/>
              <w:left w:val="single" w:color="auto" w:sz="4" w:space="0"/>
              <w:bottom w:val="single" w:color="auto" w:sz="4" w:space="0"/>
              <w:right w:val="single" w:color="auto" w:sz="4" w:space="0"/>
            </w:tcBorders>
            <w:vAlign w:val="center"/>
          </w:tcPr>
          <w:p w14:paraId="56C0F36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是否允许递交备选投标方案</w:t>
            </w:r>
          </w:p>
        </w:tc>
        <w:tc>
          <w:tcPr>
            <w:tcW w:w="6867" w:type="dxa"/>
            <w:tcBorders>
              <w:top w:val="single" w:color="auto" w:sz="4" w:space="0"/>
              <w:left w:val="single" w:color="auto" w:sz="4" w:space="0"/>
              <w:bottom w:val="single" w:color="auto" w:sz="4" w:space="0"/>
              <w:right w:val="single" w:color="auto" w:sz="4" w:space="0"/>
            </w:tcBorders>
            <w:vAlign w:val="center"/>
          </w:tcPr>
          <w:p w14:paraId="62E2E1A2">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 xml:space="preserve">不允许 </w:t>
            </w:r>
          </w:p>
        </w:tc>
      </w:tr>
      <w:tr w14:paraId="20BD455F">
        <w:tblPrEx>
          <w:tblCellMar>
            <w:top w:w="0" w:type="dxa"/>
            <w:left w:w="108" w:type="dxa"/>
            <w:bottom w:w="0" w:type="dxa"/>
            <w:right w:w="108" w:type="dxa"/>
          </w:tblCellMar>
        </w:tblPrEx>
        <w:trPr>
          <w:trHeight w:val="361" w:hRule="atLeast"/>
          <w:jc w:val="center"/>
        </w:trPr>
        <w:tc>
          <w:tcPr>
            <w:tcW w:w="963" w:type="dxa"/>
            <w:tcBorders>
              <w:top w:val="single" w:color="auto" w:sz="4" w:space="0"/>
              <w:left w:val="single" w:color="auto" w:sz="4" w:space="0"/>
              <w:bottom w:val="single" w:color="auto" w:sz="4" w:space="0"/>
              <w:right w:val="single" w:color="auto" w:sz="4" w:space="0"/>
            </w:tcBorders>
          </w:tcPr>
          <w:p w14:paraId="04A4ED2F">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p w14:paraId="0ADD7696">
            <w:pPr>
              <w:keepNext w:val="0"/>
              <w:keepLines w:val="0"/>
              <w:pageBreakBefore w:val="0"/>
              <w:widowControl/>
              <w:kinsoku/>
              <w:overflowPunct/>
              <w:bidi w:val="0"/>
              <w:snapToGrid w:val="0"/>
              <w:spacing w:before="68" w:line="360" w:lineRule="auto"/>
              <w:ind w:firstLine="204" w:firstLineChars="100"/>
              <w:rPr>
                <w:rFonts w:hint="eastAsia" w:ascii="仿宋" w:hAnsi="仿宋" w:eastAsia="仿宋" w:cs="仿宋"/>
                <w:color w:val="auto"/>
                <w:sz w:val="21"/>
                <w:szCs w:val="21"/>
                <w:highlight w:val="none"/>
                <w:lang w:val="en-US"/>
              </w:rPr>
            </w:pPr>
            <w:r>
              <w:rPr>
                <w:rFonts w:hint="eastAsia" w:ascii="仿宋" w:hAnsi="仿宋" w:eastAsia="仿宋" w:cs="仿宋"/>
                <w:color w:val="auto"/>
                <w:spacing w:val="-3"/>
                <w:sz w:val="21"/>
                <w:szCs w:val="21"/>
                <w:highlight w:val="none"/>
              </w:rPr>
              <w:t>3.6</w:t>
            </w:r>
            <w:r>
              <w:rPr>
                <w:rFonts w:hint="eastAsia" w:ascii="仿宋" w:hAnsi="仿宋" w:eastAsia="仿宋" w:cs="仿宋"/>
                <w:color w:val="auto"/>
                <w:spacing w:val="-3"/>
                <w:sz w:val="21"/>
                <w:szCs w:val="21"/>
                <w:highlight w:val="none"/>
                <w:lang w:val="en-US"/>
              </w:rPr>
              <w:t>.1</w:t>
            </w:r>
          </w:p>
        </w:tc>
        <w:tc>
          <w:tcPr>
            <w:tcW w:w="1987" w:type="dxa"/>
            <w:tcBorders>
              <w:top w:val="single" w:color="auto" w:sz="4" w:space="0"/>
              <w:left w:val="single" w:color="auto" w:sz="4" w:space="0"/>
              <w:bottom w:val="single" w:color="auto" w:sz="4" w:space="0"/>
              <w:right w:val="single" w:color="auto" w:sz="4" w:space="0"/>
            </w:tcBorders>
            <w:vAlign w:val="center"/>
          </w:tcPr>
          <w:p w14:paraId="66C1F57F">
            <w:pPr>
              <w:keepNext w:val="0"/>
              <w:keepLines w:val="0"/>
              <w:pageBreakBefore w:val="0"/>
              <w:widowControl/>
              <w:kinsoku/>
              <w:overflowPunct/>
              <w:bidi w:val="0"/>
              <w:snapToGrid w:val="0"/>
              <w:spacing w:before="68"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电子投标文件签名或签章要求</w:t>
            </w:r>
          </w:p>
        </w:tc>
        <w:tc>
          <w:tcPr>
            <w:tcW w:w="6867" w:type="dxa"/>
            <w:tcBorders>
              <w:top w:val="single" w:color="auto" w:sz="4" w:space="0"/>
              <w:left w:val="single" w:color="auto" w:sz="4" w:space="0"/>
              <w:bottom w:val="single" w:color="auto" w:sz="4" w:space="0"/>
              <w:right w:val="single" w:color="auto" w:sz="4" w:space="0"/>
            </w:tcBorders>
            <w:vAlign w:val="center"/>
          </w:tcPr>
          <w:p w14:paraId="0651E6BF">
            <w:pPr>
              <w:keepNext w:val="0"/>
              <w:keepLines w:val="0"/>
              <w:pageBreakBefore w:val="0"/>
              <w:kinsoku/>
              <w:overflowPunct/>
              <w:bidi w:val="0"/>
              <w:adjustRightInd w:val="0"/>
              <w:snapToGrid w:val="0"/>
              <w:spacing w:line="360" w:lineRule="auto"/>
              <w:rPr>
                <w:rFonts w:hint="eastAsia" w:ascii="仿宋" w:hAnsi="仿宋" w:eastAsia="仿宋" w:cs="仿宋"/>
                <w:color w:val="auto"/>
                <w:sz w:val="21"/>
                <w:szCs w:val="21"/>
                <w:highlight w:val="none"/>
                <w:lang w:val="en-US" w:bidi="ar-SA"/>
              </w:rPr>
            </w:pPr>
            <w:r>
              <w:rPr>
                <w:rFonts w:hint="eastAsia" w:ascii="仿宋" w:hAnsi="仿宋" w:eastAsia="仿宋" w:cs="仿宋"/>
                <w:color w:val="auto"/>
                <w:sz w:val="21"/>
                <w:szCs w:val="21"/>
                <w:highlight w:val="none"/>
                <w:lang w:val="en-US" w:eastAsia="zh-CN" w:bidi="ar-SA"/>
              </w:rPr>
              <w:t xml:space="preserve">投标文件全部采用电子文档，除供应商须知前附表另有规定外，投标文件所附证书证件均为扫描件，并采用单位和个人数字证书，按投标文件格式要求在相应位置加盖电子印章。 </w:t>
            </w:r>
          </w:p>
          <w:p w14:paraId="678A28D9">
            <w:pPr>
              <w:keepNext w:val="0"/>
              <w:keepLines w:val="0"/>
              <w:pageBreakBefore w:val="0"/>
              <w:kinsoku/>
              <w:overflowPunct/>
              <w:bidi w:val="0"/>
              <w:adjustRightInd w:val="0"/>
              <w:snapToGrid w:val="0"/>
              <w:spacing w:line="360" w:lineRule="auto"/>
              <w:rPr>
                <w:rFonts w:hint="eastAsia" w:ascii="仿宋" w:hAnsi="仿宋" w:eastAsia="仿宋" w:cs="仿宋"/>
                <w:color w:val="auto"/>
                <w:sz w:val="21"/>
                <w:szCs w:val="21"/>
                <w:highlight w:val="none"/>
                <w:lang w:val="en-US" w:bidi="ar-SA"/>
              </w:rPr>
            </w:pPr>
            <w:r>
              <w:rPr>
                <w:rFonts w:hint="eastAsia" w:ascii="仿宋" w:hAnsi="仿宋" w:eastAsia="仿宋" w:cs="仿宋"/>
                <w:color w:val="auto"/>
                <w:sz w:val="21"/>
                <w:szCs w:val="21"/>
                <w:highlight w:val="none"/>
                <w:lang w:val="en-US" w:eastAsia="zh-CN" w:bidi="ar-SA"/>
              </w:rPr>
              <w:t>供应商提供的投标文件格式要求签字或电子章，由其法定代表人或其委托代理人签字，由委托代理人签字或电子章的，在投标文件中必须提交由法定代表人签署的授权委托书。</w:t>
            </w:r>
          </w:p>
        </w:tc>
      </w:tr>
      <w:tr w14:paraId="7190E6A6">
        <w:tblPrEx>
          <w:tblCellMar>
            <w:top w:w="0" w:type="dxa"/>
            <w:left w:w="108" w:type="dxa"/>
            <w:bottom w:w="0" w:type="dxa"/>
            <w:right w:w="108" w:type="dxa"/>
          </w:tblCellMar>
        </w:tblPrEx>
        <w:trPr>
          <w:trHeight w:val="925"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551C41CC">
            <w:pPr>
              <w:keepNext w:val="0"/>
              <w:keepLines w:val="0"/>
              <w:pageBreakBefore w:val="0"/>
              <w:widowControl/>
              <w:kinsoku/>
              <w:overflowPunct/>
              <w:bidi w:val="0"/>
              <w:snapToGrid w:val="0"/>
              <w:spacing w:before="69" w:line="360" w:lineRule="auto"/>
              <w:ind w:firstLine="119"/>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3.7.4</w:t>
            </w:r>
          </w:p>
        </w:tc>
        <w:tc>
          <w:tcPr>
            <w:tcW w:w="1987" w:type="dxa"/>
            <w:tcBorders>
              <w:top w:val="single" w:color="auto" w:sz="4" w:space="0"/>
              <w:left w:val="single" w:color="auto" w:sz="4" w:space="0"/>
              <w:bottom w:val="single" w:color="auto" w:sz="4" w:space="0"/>
              <w:right w:val="single" w:color="auto" w:sz="4" w:space="0"/>
            </w:tcBorders>
            <w:vAlign w:val="center"/>
          </w:tcPr>
          <w:p w14:paraId="4A54E5A1">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bidi="ar-SA"/>
              </w:rPr>
              <w:t>投标文件份数</w:t>
            </w:r>
          </w:p>
        </w:tc>
        <w:tc>
          <w:tcPr>
            <w:tcW w:w="6867" w:type="dxa"/>
            <w:tcBorders>
              <w:top w:val="single" w:color="auto" w:sz="4" w:space="0"/>
              <w:left w:val="single" w:color="auto" w:sz="4" w:space="0"/>
              <w:bottom w:val="single" w:color="auto" w:sz="4" w:space="0"/>
              <w:right w:val="single" w:color="auto" w:sz="4" w:space="0"/>
            </w:tcBorders>
            <w:vAlign w:val="center"/>
          </w:tcPr>
          <w:p w14:paraId="5A371F1C">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bidi="ar-SA"/>
              </w:rPr>
            </w:pPr>
            <w:r>
              <w:rPr>
                <w:rFonts w:hint="eastAsia" w:ascii="仿宋" w:hAnsi="仿宋" w:eastAsia="仿宋" w:cs="仿宋"/>
                <w:color w:val="auto"/>
                <w:sz w:val="21"/>
                <w:szCs w:val="21"/>
                <w:highlight w:val="none"/>
                <w:lang w:val="en-US" w:eastAsia="zh-CN" w:bidi="ar-SA"/>
              </w:rPr>
              <w:t xml:space="preserve">1.电子加密版 1 份（网上上传）；加密上传电子投标文件一份，注：供应商自行承担因上传错误、无法正常打开投标文件或投标文件上传不完整的后果。 </w:t>
            </w:r>
          </w:p>
          <w:p w14:paraId="2B595D19">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bidi="ar-SA"/>
              </w:rPr>
            </w:pPr>
            <w:r>
              <w:rPr>
                <w:rFonts w:hint="eastAsia" w:ascii="仿宋" w:hAnsi="仿宋" w:eastAsia="仿宋" w:cs="仿宋"/>
                <w:color w:val="auto"/>
                <w:sz w:val="21"/>
                <w:szCs w:val="21"/>
                <w:highlight w:val="none"/>
                <w:lang w:val="en-US" w:eastAsia="zh-CN" w:bidi="ar-SA"/>
              </w:rPr>
              <w:t>2.中标人另提供纸质投标文件一份（最终 PDF 投标文件一份和上传资料需一致），领取中标通知书后交给业主负责人（采购人存档）。</w:t>
            </w:r>
          </w:p>
        </w:tc>
      </w:tr>
      <w:tr w14:paraId="54B0284B">
        <w:tblPrEx>
          <w:tblCellMar>
            <w:top w:w="0" w:type="dxa"/>
            <w:left w:w="108" w:type="dxa"/>
            <w:bottom w:w="0" w:type="dxa"/>
            <w:right w:w="108" w:type="dxa"/>
          </w:tblCellMar>
        </w:tblPrEx>
        <w:trPr>
          <w:trHeight w:val="3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09B010B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4.2.3</w:t>
            </w:r>
          </w:p>
        </w:tc>
        <w:tc>
          <w:tcPr>
            <w:tcW w:w="1987" w:type="dxa"/>
            <w:tcBorders>
              <w:top w:val="single" w:color="auto" w:sz="4" w:space="0"/>
              <w:left w:val="single" w:color="auto" w:sz="4" w:space="0"/>
              <w:bottom w:val="single" w:color="auto" w:sz="4" w:space="0"/>
              <w:right w:val="single" w:color="auto" w:sz="4" w:space="0"/>
            </w:tcBorders>
            <w:vAlign w:val="center"/>
          </w:tcPr>
          <w:p w14:paraId="6D86BF7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是否退还投标文件</w:t>
            </w:r>
          </w:p>
        </w:tc>
        <w:tc>
          <w:tcPr>
            <w:tcW w:w="6867" w:type="dxa"/>
            <w:tcBorders>
              <w:top w:val="single" w:color="auto" w:sz="4" w:space="0"/>
              <w:left w:val="single" w:color="auto" w:sz="4" w:space="0"/>
              <w:bottom w:val="single" w:color="auto" w:sz="4" w:space="0"/>
              <w:right w:val="single" w:color="auto" w:sz="4" w:space="0"/>
            </w:tcBorders>
            <w:vAlign w:val="center"/>
          </w:tcPr>
          <w:p w14:paraId="37C41E9C">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否</w:t>
            </w:r>
          </w:p>
        </w:tc>
      </w:tr>
      <w:tr w14:paraId="7C048858">
        <w:tblPrEx>
          <w:tblCellMar>
            <w:top w:w="0" w:type="dxa"/>
            <w:left w:w="108" w:type="dxa"/>
            <w:bottom w:w="0" w:type="dxa"/>
            <w:right w:w="108" w:type="dxa"/>
          </w:tblCellMar>
        </w:tblPrEx>
        <w:trPr>
          <w:trHeight w:val="3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561E24D4">
            <w:pPr>
              <w:keepNext w:val="0"/>
              <w:keepLines w:val="0"/>
              <w:pageBreakBefore w:val="0"/>
              <w:kinsoku/>
              <w:overflowPunct/>
              <w:bidi w:val="0"/>
              <w:snapToGrid w:val="0"/>
              <w:spacing w:line="360" w:lineRule="auto"/>
              <w:ind w:firstLine="310" w:firstLineChars="148"/>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5.1</w:t>
            </w:r>
          </w:p>
        </w:tc>
        <w:tc>
          <w:tcPr>
            <w:tcW w:w="1987" w:type="dxa"/>
            <w:tcBorders>
              <w:top w:val="single" w:color="auto" w:sz="4" w:space="0"/>
              <w:left w:val="single" w:color="auto" w:sz="4" w:space="0"/>
              <w:bottom w:val="single" w:color="auto" w:sz="4" w:space="0"/>
              <w:right w:val="single" w:color="auto" w:sz="4" w:space="0"/>
            </w:tcBorders>
            <w:vAlign w:val="center"/>
          </w:tcPr>
          <w:p w14:paraId="6EE5D545">
            <w:pPr>
              <w:keepNext w:val="0"/>
              <w:keepLines w:val="0"/>
              <w:pageBreakBefore w:val="0"/>
              <w:kinsoku/>
              <w:overflowPunct/>
              <w:bidi w:val="0"/>
              <w:adjustRightInd w:val="0"/>
              <w:snapToGrid w:val="0"/>
              <w:spacing w:line="360" w:lineRule="auto"/>
              <w:ind w:firstLine="210" w:firstLineChars="100"/>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bidi="ar-SA"/>
              </w:rPr>
              <w:t>开标时间和地点</w:t>
            </w:r>
          </w:p>
        </w:tc>
        <w:tc>
          <w:tcPr>
            <w:tcW w:w="6867" w:type="dxa"/>
            <w:tcBorders>
              <w:top w:val="single" w:color="auto" w:sz="4" w:space="0"/>
              <w:left w:val="single" w:color="auto" w:sz="4" w:space="0"/>
              <w:bottom w:val="single" w:color="auto" w:sz="4" w:space="0"/>
              <w:right w:val="single" w:color="auto" w:sz="4" w:space="0"/>
            </w:tcBorders>
            <w:vAlign w:val="center"/>
          </w:tcPr>
          <w:p w14:paraId="5CC37B20">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bidi="ar-SA"/>
              </w:rPr>
            </w:pPr>
            <w:r>
              <w:rPr>
                <w:rFonts w:hint="eastAsia" w:ascii="仿宋" w:hAnsi="仿宋" w:eastAsia="仿宋" w:cs="仿宋"/>
                <w:color w:val="auto"/>
                <w:sz w:val="21"/>
                <w:szCs w:val="21"/>
                <w:highlight w:val="none"/>
                <w:lang w:val="en-US" w:bidi="ar-SA"/>
              </w:rPr>
              <w:t>开标时间：202</w:t>
            </w:r>
            <w:r>
              <w:rPr>
                <w:rFonts w:hint="eastAsia" w:ascii="仿宋" w:hAnsi="仿宋" w:eastAsia="仿宋" w:cs="仿宋"/>
                <w:color w:val="auto"/>
                <w:sz w:val="21"/>
                <w:szCs w:val="21"/>
                <w:highlight w:val="none"/>
                <w:lang w:val="en-US" w:eastAsia="zh-CN" w:bidi="ar-SA"/>
              </w:rPr>
              <w:t>5</w:t>
            </w:r>
            <w:r>
              <w:rPr>
                <w:rFonts w:hint="eastAsia" w:ascii="仿宋" w:hAnsi="仿宋" w:eastAsia="仿宋" w:cs="仿宋"/>
                <w:color w:val="auto"/>
                <w:sz w:val="21"/>
                <w:szCs w:val="21"/>
                <w:highlight w:val="none"/>
                <w:lang w:val="en-US" w:bidi="ar-SA"/>
              </w:rPr>
              <w:t>年</w:t>
            </w:r>
            <w:r>
              <w:rPr>
                <w:rFonts w:hint="eastAsia" w:ascii="仿宋" w:hAnsi="仿宋" w:eastAsia="仿宋" w:cs="仿宋"/>
                <w:color w:val="auto"/>
                <w:sz w:val="21"/>
                <w:szCs w:val="21"/>
                <w:highlight w:val="none"/>
                <w:lang w:val="en-US" w:eastAsia="zh-CN" w:bidi="ar-SA"/>
              </w:rPr>
              <w:t>3</w:t>
            </w:r>
            <w:r>
              <w:rPr>
                <w:rFonts w:hint="eastAsia" w:ascii="仿宋" w:hAnsi="仿宋" w:eastAsia="仿宋" w:cs="仿宋"/>
                <w:color w:val="auto"/>
                <w:sz w:val="21"/>
                <w:szCs w:val="21"/>
                <w:highlight w:val="none"/>
                <w:lang w:val="en-US" w:bidi="ar-SA"/>
              </w:rPr>
              <w:t>月</w:t>
            </w:r>
            <w:r>
              <w:rPr>
                <w:rFonts w:hint="eastAsia" w:ascii="仿宋" w:hAnsi="仿宋" w:eastAsia="仿宋" w:cs="仿宋"/>
                <w:color w:val="auto"/>
                <w:sz w:val="21"/>
                <w:szCs w:val="21"/>
                <w:highlight w:val="none"/>
                <w:lang w:val="en-US" w:eastAsia="zh-CN" w:bidi="ar-SA"/>
              </w:rPr>
              <w:t>31</w:t>
            </w:r>
            <w:r>
              <w:rPr>
                <w:rFonts w:hint="eastAsia" w:ascii="仿宋" w:hAnsi="仿宋" w:eastAsia="仿宋" w:cs="仿宋"/>
                <w:color w:val="auto"/>
                <w:sz w:val="21"/>
                <w:szCs w:val="21"/>
                <w:highlight w:val="none"/>
                <w:lang w:val="en-US" w:bidi="ar-SA"/>
              </w:rPr>
              <w:t>日09</w:t>
            </w:r>
            <w:r>
              <w:rPr>
                <w:rFonts w:hint="eastAsia" w:ascii="仿宋" w:hAnsi="仿宋" w:eastAsia="仿宋" w:cs="仿宋"/>
                <w:color w:val="auto"/>
                <w:sz w:val="21"/>
                <w:szCs w:val="21"/>
                <w:highlight w:val="none"/>
                <w:lang w:val="en-US" w:eastAsia="zh-CN" w:bidi="ar-SA"/>
              </w:rPr>
              <w:t>:</w:t>
            </w:r>
            <w:r>
              <w:rPr>
                <w:rFonts w:hint="eastAsia" w:ascii="仿宋" w:hAnsi="仿宋" w:eastAsia="仿宋" w:cs="仿宋"/>
                <w:color w:val="auto"/>
                <w:sz w:val="21"/>
                <w:szCs w:val="21"/>
                <w:highlight w:val="none"/>
                <w:lang w:val="en-US" w:bidi="ar-SA"/>
              </w:rPr>
              <w:t>00（北京时间）</w:t>
            </w:r>
          </w:p>
          <w:p w14:paraId="52850BDA">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bidi="ar-SA"/>
              </w:rPr>
            </w:pPr>
            <w:r>
              <w:rPr>
                <w:rFonts w:hint="eastAsia" w:ascii="仿宋" w:hAnsi="仿宋" w:eastAsia="仿宋" w:cs="仿宋"/>
                <w:color w:val="auto"/>
                <w:sz w:val="21"/>
                <w:szCs w:val="21"/>
                <w:highlight w:val="none"/>
                <w:lang w:val="en-US" w:bidi="ar-SA"/>
              </w:rPr>
              <w:t>开标地点：</w:t>
            </w:r>
            <w:r>
              <w:rPr>
                <w:rFonts w:hint="eastAsia" w:ascii="仿宋" w:hAnsi="仿宋" w:eastAsia="仿宋" w:cs="仿宋"/>
                <w:color w:val="auto"/>
                <w:sz w:val="21"/>
                <w:szCs w:val="21"/>
                <w:highlight w:val="none"/>
                <w:lang w:val="en-US" w:eastAsia="zh-CN" w:bidi="ar-SA"/>
              </w:rPr>
              <w:t>睢县公共资源交易中心</w:t>
            </w:r>
            <w:r>
              <w:rPr>
                <w:rFonts w:hint="eastAsia" w:ascii="仿宋" w:hAnsi="仿宋" w:eastAsia="仿宋" w:cs="仿宋"/>
                <w:color w:val="auto"/>
                <w:sz w:val="21"/>
                <w:szCs w:val="21"/>
                <w:highlight w:val="none"/>
                <w:lang w:val="en-US" w:bidi="ar-SA"/>
              </w:rPr>
              <w:t>。</w:t>
            </w:r>
          </w:p>
        </w:tc>
      </w:tr>
      <w:tr w14:paraId="73A8AA8E">
        <w:tblPrEx>
          <w:tblCellMar>
            <w:top w:w="0" w:type="dxa"/>
            <w:left w:w="108" w:type="dxa"/>
            <w:bottom w:w="0" w:type="dxa"/>
            <w:right w:w="108" w:type="dxa"/>
          </w:tblCellMar>
        </w:tblPrEx>
        <w:trPr>
          <w:trHeight w:val="34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3790F819">
            <w:pPr>
              <w:keepNext w:val="0"/>
              <w:keepLines w:val="0"/>
              <w:pageBreakBefore w:val="0"/>
              <w:kinsoku/>
              <w:overflowPunct/>
              <w:bidi w:val="0"/>
              <w:snapToGrid w:val="0"/>
              <w:spacing w:line="360" w:lineRule="auto"/>
              <w:ind w:firstLine="310" w:firstLineChars="148"/>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5.2</w:t>
            </w:r>
          </w:p>
        </w:tc>
        <w:tc>
          <w:tcPr>
            <w:tcW w:w="1987" w:type="dxa"/>
            <w:tcBorders>
              <w:top w:val="single" w:color="auto" w:sz="4" w:space="0"/>
              <w:left w:val="single" w:color="auto" w:sz="4" w:space="0"/>
              <w:bottom w:val="single" w:color="auto" w:sz="4" w:space="0"/>
              <w:right w:val="single" w:color="auto" w:sz="4" w:space="0"/>
            </w:tcBorders>
            <w:vAlign w:val="center"/>
          </w:tcPr>
          <w:p w14:paraId="1B7AF3BC">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bidi="ar-SA"/>
              </w:rPr>
              <w:t>开标程序</w:t>
            </w:r>
          </w:p>
        </w:tc>
        <w:tc>
          <w:tcPr>
            <w:tcW w:w="6867" w:type="dxa"/>
            <w:tcBorders>
              <w:top w:val="single" w:color="auto" w:sz="4" w:space="0"/>
              <w:left w:val="single" w:color="auto" w:sz="4" w:space="0"/>
              <w:bottom w:val="single" w:color="auto" w:sz="4" w:space="0"/>
              <w:right w:val="single" w:color="auto" w:sz="4" w:space="0"/>
            </w:tcBorders>
            <w:vAlign w:val="center"/>
          </w:tcPr>
          <w:p w14:paraId="71B79F8B">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bidi="ar-SA"/>
              </w:rPr>
            </w:pPr>
            <w:r>
              <w:rPr>
                <w:rFonts w:hint="eastAsia" w:ascii="仿宋" w:hAnsi="仿宋" w:eastAsia="仿宋" w:cs="仿宋"/>
                <w:color w:val="auto"/>
                <w:sz w:val="21"/>
                <w:szCs w:val="21"/>
                <w:highlight w:val="none"/>
                <w:lang w:val="en-US" w:eastAsia="zh-CN" w:bidi="ar-SA"/>
              </w:rPr>
              <w:t>按电子投标系统程序进行</w:t>
            </w:r>
          </w:p>
        </w:tc>
      </w:tr>
      <w:tr w14:paraId="7AFE8CB4">
        <w:tblPrEx>
          <w:tblCellMar>
            <w:top w:w="0" w:type="dxa"/>
            <w:left w:w="108" w:type="dxa"/>
            <w:bottom w:w="0" w:type="dxa"/>
            <w:right w:w="108" w:type="dxa"/>
          </w:tblCellMar>
        </w:tblPrEx>
        <w:trPr>
          <w:trHeight w:val="679" w:hRule="atLeast"/>
          <w:jc w:val="center"/>
        </w:trPr>
        <w:tc>
          <w:tcPr>
            <w:tcW w:w="963" w:type="dxa"/>
            <w:tcBorders>
              <w:top w:val="single" w:color="auto" w:sz="4" w:space="0"/>
              <w:left w:val="single" w:color="auto" w:sz="4" w:space="0"/>
              <w:right w:val="single" w:color="auto" w:sz="4" w:space="0"/>
            </w:tcBorders>
            <w:vAlign w:val="center"/>
          </w:tcPr>
          <w:p w14:paraId="040903CD">
            <w:pPr>
              <w:keepNext w:val="0"/>
              <w:keepLines w:val="0"/>
              <w:pageBreakBefore w:val="0"/>
              <w:kinsoku/>
              <w:overflowPunct/>
              <w:bidi w:val="0"/>
              <w:snapToGrid w:val="0"/>
              <w:spacing w:line="360" w:lineRule="auto"/>
              <w:ind w:firstLine="205" w:firstLineChars="9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6.1.1</w:t>
            </w:r>
          </w:p>
        </w:tc>
        <w:tc>
          <w:tcPr>
            <w:tcW w:w="1987" w:type="dxa"/>
            <w:tcBorders>
              <w:top w:val="single" w:color="auto" w:sz="4" w:space="0"/>
              <w:left w:val="single" w:color="auto" w:sz="4" w:space="0"/>
              <w:right w:val="single" w:color="auto" w:sz="4" w:space="0"/>
            </w:tcBorders>
            <w:vAlign w:val="center"/>
          </w:tcPr>
          <w:p w14:paraId="41A65A6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评标委员会的</w:t>
            </w:r>
          </w:p>
          <w:p w14:paraId="0E43271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组建</w:t>
            </w:r>
          </w:p>
        </w:tc>
        <w:tc>
          <w:tcPr>
            <w:tcW w:w="6867" w:type="dxa"/>
            <w:tcBorders>
              <w:top w:val="single" w:color="auto" w:sz="4" w:space="0"/>
              <w:left w:val="single" w:color="auto" w:sz="4" w:space="0"/>
              <w:right w:val="single" w:color="auto" w:sz="4" w:space="0"/>
            </w:tcBorders>
            <w:vAlign w:val="center"/>
          </w:tcPr>
          <w:p w14:paraId="29B16A43">
            <w:pPr>
              <w:keepNext w:val="0"/>
              <w:keepLines w:val="0"/>
              <w:pageBreakBefore w:val="0"/>
              <w:widowControl/>
              <w:kinsoku/>
              <w:overflowPunct/>
              <w:autoSpaceDE/>
              <w:autoSpaceDN/>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评标委员会构成：</w:t>
            </w:r>
            <w:r>
              <w:rPr>
                <w:rFonts w:hint="eastAsia" w:ascii="仿宋" w:hAnsi="仿宋" w:eastAsia="仿宋" w:cs="仿宋"/>
                <w:color w:val="auto"/>
                <w:sz w:val="21"/>
                <w:szCs w:val="21"/>
                <w:highlight w:val="none"/>
                <w:lang w:val="en-US"/>
              </w:rPr>
              <w:t>7</w:t>
            </w:r>
            <w:r>
              <w:rPr>
                <w:rFonts w:hint="eastAsia" w:ascii="仿宋" w:hAnsi="仿宋" w:eastAsia="仿宋" w:cs="仿宋"/>
                <w:color w:val="auto"/>
                <w:sz w:val="21"/>
                <w:szCs w:val="21"/>
                <w:highlight w:val="none"/>
              </w:rPr>
              <w:t>人，其中</w:t>
            </w:r>
            <w:r>
              <w:rPr>
                <w:rFonts w:hint="eastAsia" w:ascii="仿宋" w:hAnsi="仿宋" w:eastAsia="仿宋" w:cs="仿宋"/>
                <w:color w:val="auto"/>
                <w:sz w:val="21"/>
                <w:szCs w:val="21"/>
                <w:highlight w:val="none"/>
                <w:lang w:val="en-US"/>
              </w:rPr>
              <w:t>采购人</w:t>
            </w:r>
            <w:r>
              <w:rPr>
                <w:rFonts w:hint="eastAsia" w:ascii="仿宋" w:hAnsi="仿宋" w:eastAsia="仿宋" w:cs="仿宋"/>
                <w:color w:val="auto"/>
                <w:sz w:val="21"/>
                <w:szCs w:val="21"/>
                <w:highlight w:val="none"/>
              </w:rPr>
              <w:t>代表</w:t>
            </w:r>
            <w:r>
              <w:rPr>
                <w:rFonts w:hint="eastAsia" w:ascii="仿宋" w:hAnsi="仿宋" w:eastAsia="仿宋" w:cs="仿宋"/>
                <w:color w:val="auto"/>
                <w:sz w:val="21"/>
                <w:szCs w:val="21"/>
                <w:highlight w:val="none"/>
                <w:lang w:val="en-US"/>
              </w:rPr>
              <w:t>2</w:t>
            </w:r>
            <w:r>
              <w:rPr>
                <w:rFonts w:hint="eastAsia" w:ascii="仿宋" w:hAnsi="仿宋" w:eastAsia="仿宋" w:cs="仿宋"/>
                <w:color w:val="auto"/>
                <w:sz w:val="21"/>
                <w:szCs w:val="21"/>
                <w:highlight w:val="none"/>
              </w:rPr>
              <w:t>人，有关技术、经济等方面的专家</w:t>
            </w:r>
            <w:r>
              <w:rPr>
                <w:rFonts w:hint="eastAsia" w:ascii="仿宋" w:hAnsi="仿宋" w:eastAsia="仿宋" w:cs="仿宋"/>
                <w:color w:val="auto"/>
                <w:sz w:val="21"/>
                <w:szCs w:val="21"/>
                <w:highlight w:val="none"/>
                <w:lang w:val="en-US"/>
              </w:rPr>
              <w:t>5</w:t>
            </w:r>
            <w:r>
              <w:rPr>
                <w:rFonts w:hint="eastAsia" w:ascii="仿宋" w:hAnsi="仿宋" w:eastAsia="仿宋" w:cs="仿宋"/>
                <w:color w:val="auto"/>
                <w:sz w:val="21"/>
                <w:szCs w:val="21"/>
                <w:highlight w:val="none"/>
              </w:rPr>
              <w:t>人；</w:t>
            </w:r>
          </w:p>
          <w:p w14:paraId="50231FDF">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评标专家确定方式：在开标前从河南省</w:t>
            </w:r>
            <w:r>
              <w:rPr>
                <w:rFonts w:hint="eastAsia" w:ascii="仿宋" w:hAnsi="仿宋" w:eastAsia="仿宋" w:cs="仿宋"/>
                <w:color w:val="auto"/>
                <w:sz w:val="21"/>
                <w:szCs w:val="21"/>
                <w:highlight w:val="none"/>
                <w:lang w:val="en-US"/>
              </w:rPr>
              <w:t>政府采购</w:t>
            </w:r>
            <w:r>
              <w:rPr>
                <w:rFonts w:hint="eastAsia" w:ascii="仿宋" w:hAnsi="仿宋" w:eastAsia="仿宋" w:cs="仿宋"/>
                <w:color w:val="auto"/>
                <w:sz w:val="21"/>
                <w:szCs w:val="21"/>
                <w:highlight w:val="none"/>
              </w:rPr>
              <w:t>评标专家中随机抽取。</w:t>
            </w:r>
          </w:p>
        </w:tc>
      </w:tr>
      <w:tr w14:paraId="5B8607AF">
        <w:tblPrEx>
          <w:tblCellMar>
            <w:top w:w="0" w:type="dxa"/>
            <w:left w:w="108" w:type="dxa"/>
            <w:bottom w:w="0" w:type="dxa"/>
            <w:right w:w="108" w:type="dxa"/>
          </w:tblCellMar>
        </w:tblPrEx>
        <w:trPr>
          <w:trHeight w:val="679" w:hRule="atLeast"/>
          <w:jc w:val="center"/>
        </w:trPr>
        <w:tc>
          <w:tcPr>
            <w:tcW w:w="963" w:type="dxa"/>
            <w:tcBorders>
              <w:top w:val="single" w:color="auto" w:sz="4" w:space="0"/>
              <w:left w:val="single" w:color="auto" w:sz="4" w:space="0"/>
              <w:right w:val="single" w:color="auto" w:sz="4" w:space="0"/>
            </w:tcBorders>
            <w:vAlign w:val="center"/>
          </w:tcPr>
          <w:p w14:paraId="7D5FC6EB">
            <w:pPr>
              <w:keepNext w:val="0"/>
              <w:keepLines w:val="0"/>
              <w:pageBreakBefore w:val="0"/>
              <w:widowControl/>
              <w:kinsoku/>
              <w:overflowPunct/>
              <w:autoSpaceDE/>
              <w:autoSpaceDN/>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7.1</w:t>
            </w:r>
          </w:p>
        </w:tc>
        <w:tc>
          <w:tcPr>
            <w:tcW w:w="1987" w:type="dxa"/>
            <w:tcBorders>
              <w:top w:val="single" w:color="auto" w:sz="4" w:space="0"/>
              <w:left w:val="single" w:color="auto" w:sz="4" w:space="0"/>
              <w:right w:val="single" w:color="auto" w:sz="4" w:space="0"/>
            </w:tcBorders>
            <w:vAlign w:val="center"/>
          </w:tcPr>
          <w:p w14:paraId="7F98F905">
            <w:pPr>
              <w:keepNext w:val="0"/>
              <w:keepLines w:val="0"/>
              <w:pageBreakBefore w:val="0"/>
              <w:widowControl/>
              <w:kinsoku/>
              <w:overflowPunct/>
              <w:autoSpaceDE/>
              <w:autoSpaceDN/>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是否授权评标委员会确定成交人</w:t>
            </w:r>
          </w:p>
        </w:tc>
        <w:tc>
          <w:tcPr>
            <w:tcW w:w="6867" w:type="dxa"/>
            <w:tcBorders>
              <w:top w:val="single" w:color="auto" w:sz="4" w:space="0"/>
              <w:left w:val="single" w:color="auto" w:sz="4" w:space="0"/>
              <w:right w:val="single" w:color="auto" w:sz="4" w:space="0"/>
            </w:tcBorders>
            <w:vAlign w:val="center"/>
          </w:tcPr>
          <w:p w14:paraId="46A83974">
            <w:pPr>
              <w:keepNext w:val="0"/>
              <w:keepLines w:val="0"/>
              <w:pageBreakBefore w:val="0"/>
              <w:widowControl/>
              <w:kinsoku/>
              <w:overflowPunct/>
              <w:autoSpaceDE/>
              <w:autoSpaceDN/>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推荐的中标候选人数：1-3名</w:t>
            </w:r>
          </w:p>
          <w:p w14:paraId="37D62EB5">
            <w:pPr>
              <w:pStyle w:val="23"/>
              <w:ind w:left="0" w:leftChars="0" w:firstLine="0" w:firstLineChars="0"/>
              <w:rPr>
                <w:rFonts w:hint="eastAsia"/>
              </w:rPr>
            </w:pPr>
            <w:r>
              <w:rPr>
                <w:rFonts w:hint="eastAsia" w:ascii="仿宋" w:hAnsi="仿宋" w:eastAsia="仿宋" w:cs="仿宋"/>
                <w:color w:val="auto"/>
                <w:sz w:val="21"/>
                <w:szCs w:val="21"/>
                <w:highlight w:val="none"/>
                <w:lang w:val="en-US" w:eastAsia="zh-CN" w:bidi="zh-CN"/>
              </w:rPr>
              <w:t>采购人将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p>
        </w:tc>
      </w:tr>
      <w:tr w14:paraId="30686E61">
        <w:tblPrEx>
          <w:tblCellMar>
            <w:top w:w="0" w:type="dxa"/>
            <w:left w:w="108" w:type="dxa"/>
            <w:bottom w:w="0" w:type="dxa"/>
            <w:right w:w="108" w:type="dxa"/>
          </w:tblCellMar>
        </w:tblPrEx>
        <w:trPr>
          <w:trHeight w:val="705"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6C1849CB">
            <w:pPr>
              <w:keepNext w:val="0"/>
              <w:keepLines w:val="0"/>
              <w:pageBreakBefore w:val="0"/>
              <w:kinsoku/>
              <w:overflowPunct/>
              <w:bidi w:val="0"/>
              <w:snapToGrid w:val="0"/>
              <w:spacing w:line="360" w:lineRule="auto"/>
              <w:ind w:firstLine="205" w:firstLineChars="9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7.3.1</w:t>
            </w:r>
          </w:p>
        </w:tc>
        <w:tc>
          <w:tcPr>
            <w:tcW w:w="1987" w:type="dxa"/>
            <w:tcBorders>
              <w:top w:val="single" w:color="auto" w:sz="4" w:space="0"/>
              <w:left w:val="single" w:color="auto" w:sz="4" w:space="0"/>
              <w:bottom w:val="single" w:color="auto" w:sz="4" w:space="0"/>
              <w:right w:val="single" w:color="auto" w:sz="4" w:space="0"/>
            </w:tcBorders>
            <w:vAlign w:val="center"/>
          </w:tcPr>
          <w:p w14:paraId="47F3079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w:t>
            </w:r>
            <w:r>
              <w:rPr>
                <w:rFonts w:hint="eastAsia" w:ascii="仿宋" w:hAnsi="仿宋" w:eastAsia="仿宋" w:cs="仿宋"/>
                <w:color w:val="auto"/>
                <w:sz w:val="21"/>
                <w:szCs w:val="21"/>
                <w:highlight w:val="none"/>
                <w:lang w:val="en-US"/>
              </w:rPr>
              <w:t>保证金</w:t>
            </w:r>
          </w:p>
        </w:tc>
        <w:tc>
          <w:tcPr>
            <w:tcW w:w="6867" w:type="dxa"/>
            <w:tcBorders>
              <w:top w:val="single" w:color="auto" w:sz="4" w:space="0"/>
              <w:left w:val="single" w:color="auto" w:sz="4" w:space="0"/>
              <w:bottom w:val="single" w:color="auto" w:sz="4" w:space="0"/>
              <w:right w:val="single" w:color="auto" w:sz="4" w:space="0"/>
            </w:tcBorders>
            <w:vAlign w:val="center"/>
          </w:tcPr>
          <w:p w14:paraId="2EEE2772">
            <w:pPr>
              <w:keepNext w:val="0"/>
              <w:keepLines w:val="0"/>
              <w:pageBreakBefore w:val="0"/>
              <w:widowControl/>
              <w:kinsoku/>
              <w:overflowPunct/>
              <w:autoSpaceDE/>
              <w:autoSpaceDN/>
              <w:bidi w:val="0"/>
              <w:snapToGrid w:val="0"/>
              <w:spacing w:line="360" w:lineRule="auto"/>
              <w:rPr>
                <w:rFonts w:hint="eastAsia" w:ascii="仿宋" w:hAnsi="仿宋" w:eastAsia="仿宋" w:cs="仿宋"/>
                <w:color w:val="auto"/>
                <w:sz w:val="21"/>
                <w:szCs w:val="21"/>
                <w:highlight w:val="none"/>
                <w:lang w:val="en-US" w:eastAsia="zh-CN" w:bidi="zh-CN"/>
              </w:rPr>
            </w:pPr>
            <w:r>
              <w:rPr>
                <w:rFonts w:hint="eastAsia" w:ascii="仿宋" w:hAnsi="仿宋" w:eastAsia="仿宋" w:cs="仿宋"/>
                <w:color w:val="auto"/>
                <w:sz w:val="21"/>
                <w:szCs w:val="21"/>
                <w:highlight w:val="none"/>
                <w:lang w:val="en-US" w:eastAsia="zh-CN" w:bidi="zh-CN"/>
              </w:rPr>
              <w:t>履约保证金缴纳形式:转账或保函</w:t>
            </w:r>
          </w:p>
          <w:p w14:paraId="45868FC0">
            <w:pPr>
              <w:keepNext w:val="0"/>
              <w:keepLines w:val="0"/>
              <w:pageBreakBefore w:val="0"/>
              <w:widowControl/>
              <w:kinsoku/>
              <w:overflowPunct/>
              <w:autoSpaceDE/>
              <w:autoSpaceDN/>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履约保证金缴纳金额:800万元人民币，项目公司在特许经营协议签订后15个工作日内按约定格式缴纳。</w:t>
            </w:r>
          </w:p>
        </w:tc>
      </w:tr>
      <w:tr w14:paraId="57325252">
        <w:tblPrEx>
          <w:tblCellMar>
            <w:top w:w="0" w:type="dxa"/>
            <w:left w:w="108" w:type="dxa"/>
            <w:bottom w:w="0" w:type="dxa"/>
            <w:right w:w="108" w:type="dxa"/>
          </w:tblCellMar>
        </w:tblPrEx>
        <w:trPr>
          <w:trHeight w:val="705"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2A5E9A5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8854" w:type="dxa"/>
            <w:gridSpan w:val="2"/>
            <w:tcBorders>
              <w:top w:val="single" w:color="auto" w:sz="4" w:space="0"/>
              <w:left w:val="single" w:color="auto" w:sz="4" w:space="0"/>
              <w:bottom w:val="single" w:color="auto" w:sz="4" w:space="0"/>
              <w:right w:val="single" w:color="auto" w:sz="4" w:space="0"/>
            </w:tcBorders>
            <w:vAlign w:val="center"/>
          </w:tcPr>
          <w:p w14:paraId="54DBF3ED">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需要补充的其他内容</w:t>
            </w:r>
          </w:p>
        </w:tc>
      </w:tr>
      <w:tr w14:paraId="0C65E03C">
        <w:tblPrEx>
          <w:tblCellMar>
            <w:top w:w="0" w:type="dxa"/>
            <w:left w:w="108" w:type="dxa"/>
            <w:bottom w:w="0" w:type="dxa"/>
            <w:right w:w="108" w:type="dxa"/>
          </w:tblCellMar>
        </w:tblPrEx>
        <w:trPr>
          <w:trHeight w:val="416"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03A1B783">
            <w:pPr>
              <w:keepNext w:val="0"/>
              <w:keepLines w:val="0"/>
              <w:pageBreakBefore w:val="0"/>
              <w:kinsoku/>
              <w:overflowPunct/>
              <w:bidi w:val="0"/>
              <w:snapToGrid w:val="0"/>
              <w:spacing w:line="360" w:lineRule="auto"/>
              <w:ind w:firstLine="205" w:firstLineChars="98"/>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10.1</w:t>
            </w:r>
          </w:p>
        </w:tc>
        <w:tc>
          <w:tcPr>
            <w:tcW w:w="1987" w:type="dxa"/>
            <w:tcBorders>
              <w:top w:val="single" w:color="auto" w:sz="4" w:space="0"/>
              <w:left w:val="single" w:color="auto" w:sz="4" w:space="0"/>
              <w:bottom w:val="single" w:color="auto" w:sz="4" w:space="0"/>
              <w:right w:val="single" w:color="auto" w:sz="4" w:space="0"/>
            </w:tcBorders>
            <w:vAlign w:val="center"/>
          </w:tcPr>
          <w:p w14:paraId="0033745E">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招标代理服务费</w:t>
            </w:r>
          </w:p>
        </w:tc>
        <w:tc>
          <w:tcPr>
            <w:tcW w:w="6867" w:type="dxa"/>
            <w:tcBorders>
              <w:top w:val="single" w:color="auto" w:sz="4" w:space="0"/>
              <w:left w:val="single" w:color="auto" w:sz="4" w:space="0"/>
              <w:bottom w:val="single" w:color="auto" w:sz="4" w:space="0"/>
              <w:right w:val="single" w:color="auto" w:sz="4" w:space="0"/>
            </w:tcBorders>
            <w:vAlign w:val="center"/>
          </w:tcPr>
          <w:p w14:paraId="3A0171F0">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本项目采购代理服务费由中标人支付，以中标金额为计算基数，根据《国家发展改革委关于进一步放开建设项目专业服务价格的通知》（发改价格</w:t>
            </w:r>
            <w:r>
              <w:rPr>
                <w:rFonts w:hint="eastAsia" w:ascii="仿宋" w:hAnsi="仿宋" w:eastAsia="仿宋" w:cs="仿宋"/>
                <w:color w:val="auto"/>
                <w:sz w:val="21"/>
                <w:szCs w:val="21"/>
                <w:highlight w:val="none"/>
                <w:lang w:val="en-US" w:eastAsia="zh-CN"/>
              </w:rPr>
              <w:t>〔2015〕299号</w:t>
            </w:r>
            <w:r>
              <w:rPr>
                <w:rFonts w:hint="eastAsia" w:ascii="仿宋" w:hAnsi="仿宋" w:eastAsia="仿宋" w:cs="仿宋"/>
                <w:color w:val="auto"/>
                <w:sz w:val="21"/>
                <w:szCs w:val="21"/>
                <w:highlight w:val="none"/>
                <w:lang w:val="en-US"/>
              </w:rPr>
              <w:t>）和《河南省招标代理服务收费指导意见》（豫招协</w:t>
            </w:r>
            <w:r>
              <w:rPr>
                <w:rFonts w:hint="eastAsia" w:ascii="仿宋" w:hAnsi="仿宋" w:eastAsia="仿宋" w:cs="仿宋"/>
                <w:color w:val="auto"/>
                <w:sz w:val="21"/>
                <w:szCs w:val="21"/>
                <w:highlight w:val="none"/>
                <w:lang w:val="en-US" w:eastAsia="zh-CN"/>
              </w:rPr>
              <w:t>〔2023〕2号</w:t>
            </w:r>
            <w:r>
              <w:rPr>
                <w:rFonts w:hint="eastAsia" w:ascii="仿宋" w:hAnsi="仿宋" w:eastAsia="仿宋" w:cs="仿宋"/>
                <w:color w:val="auto"/>
                <w:sz w:val="21"/>
                <w:szCs w:val="21"/>
                <w:highlight w:val="none"/>
                <w:lang w:val="en-US"/>
              </w:rPr>
              <w:t>）的规定按类计算，此费用由中标人综合考虑到响应总价中，</w:t>
            </w:r>
            <w:r>
              <w:rPr>
                <w:rFonts w:hint="eastAsia" w:ascii="仿宋" w:hAnsi="仿宋" w:eastAsia="仿宋" w:cs="仿宋"/>
                <w:color w:val="auto"/>
                <w:sz w:val="21"/>
                <w:szCs w:val="21"/>
                <w:highlight w:val="none"/>
                <w:lang w:val="en-US" w:eastAsia="zh-CN"/>
              </w:rPr>
              <w:t>不再</w:t>
            </w:r>
            <w:r>
              <w:rPr>
                <w:rFonts w:hint="eastAsia" w:ascii="仿宋" w:hAnsi="仿宋" w:eastAsia="仿宋" w:cs="仿宋"/>
                <w:color w:val="auto"/>
                <w:sz w:val="21"/>
                <w:szCs w:val="21"/>
                <w:highlight w:val="none"/>
                <w:lang w:val="en-US"/>
              </w:rPr>
              <w:t>单独报价。采购人与代理机构约定由中标人在领取中标通知书前向代理机构支付。</w:t>
            </w:r>
          </w:p>
        </w:tc>
      </w:tr>
      <w:tr w14:paraId="5374C300">
        <w:tblPrEx>
          <w:tblCellMar>
            <w:top w:w="0" w:type="dxa"/>
            <w:left w:w="108" w:type="dxa"/>
            <w:bottom w:w="0" w:type="dxa"/>
            <w:right w:w="108" w:type="dxa"/>
          </w:tblCellMar>
        </w:tblPrEx>
        <w:trPr>
          <w:trHeight w:val="705"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6A620324">
            <w:pPr>
              <w:keepNext w:val="0"/>
              <w:keepLines w:val="0"/>
              <w:pageBreakBefore w:val="0"/>
              <w:kinsoku/>
              <w:overflowPunct/>
              <w:bidi w:val="0"/>
              <w:snapToGrid w:val="0"/>
              <w:spacing w:line="360" w:lineRule="auto"/>
              <w:ind w:firstLine="205" w:firstLineChars="98"/>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10.2</w:t>
            </w:r>
          </w:p>
        </w:tc>
        <w:tc>
          <w:tcPr>
            <w:tcW w:w="8854" w:type="dxa"/>
            <w:gridSpan w:val="2"/>
            <w:tcBorders>
              <w:top w:val="single" w:color="auto" w:sz="4" w:space="0"/>
              <w:left w:val="single" w:color="auto" w:sz="4" w:space="0"/>
              <w:bottom w:val="single" w:color="auto" w:sz="4" w:space="0"/>
              <w:right w:val="single" w:color="auto" w:sz="4" w:space="0"/>
            </w:tcBorders>
            <w:vAlign w:val="center"/>
          </w:tcPr>
          <w:p w14:paraId="2CC73CDE">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本项目中标/成交结果公示，</w:t>
            </w:r>
            <w:r>
              <w:rPr>
                <w:rFonts w:hint="eastAsia" w:ascii="仿宋" w:hAnsi="仿宋" w:eastAsia="仿宋" w:cs="仿宋"/>
                <w:color w:val="auto"/>
                <w:sz w:val="21"/>
                <w:szCs w:val="21"/>
                <w:highlight w:val="none"/>
                <w:lang w:val="en-US" w:eastAsia="zh-CN"/>
              </w:rPr>
              <w:t>将在发布招标公告的同一网站发布，并</w:t>
            </w:r>
            <w:r>
              <w:rPr>
                <w:rFonts w:hint="eastAsia" w:ascii="仿宋" w:hAnsi="仿宋" w:eastAsia="仿宋" w:cs="仿宋"/>
                <w:color w:val="auto"/>
                <w:sz w:val="21"/>
                <w:szCs w:val="21"/>
                <w:highlight w:val="none"/>
              </w:rPr>
              <w:t>接受社会监督。</w:t>
            </w:r>
          </w:p>
        </w:tc>
      </w:tr>
      <w:tr w14:paraId="677DA27F">
        <w:tblPrEx>
          <w:tblCellMar>
            <w:top w:w="0" w:type="dxa"/>
            <w:left w:w="108" w:type="dxa"/>
            <w:bottom w:w="0" w:type="dxa"/>
            <w:right w:w="108" w:type="dxa"/>
          </w:tblCellMar>
        </w:tblPrEx>
        <w:trPr>
          <w:trHeight w:val="705"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22343D33">
            <w:pPr>
              <w:keepNext w:val="0"/>
              <w:keepLines w:val="0"/>
              <w:pageBreakBefore w:val="0"/>
              <w:kinsoku/>
              <w:overflowPunct/>
              <w:bidi w:val="0"/>
              <w:snapToGrid w:val="0"/>
              <w:spacing w:line="360" w:lineRule="auto"/>
              <w:ind w:firstLine="205" w:firstLineChars="98"/>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10.3</w:t>
            </w:r>
          </w:p>
        </w:tc>
        <w:tc>
          <w:tcPr>
            <w:tcW w:w="8854" w:type="dxa"/>
            <w:gridSpan w:val="2"/>
            <w:tcBorders>
              <w:top w:val="single" w:color="auto" w:sz="4" w:space="0"/>
              <w:left w:val="single" w:color="auto" w:sz="4" w:space="0"/>
              <w:bottom w:val="single" w:color="auto" w:sz="4" w:space="0"/>
              <w:right w:val="single" w:color="auto" w:sz="4" w:space="0"/>
            </w:tcBorders>
            <w:vAlign w:val="center"/>
          </w:tcPr>
          <w:p w14:paraId="0EA9FECF">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本项目招标文件的一切修改、补遗等资料均在《河南省电子招标投标公共服务平台》、《河南省政府采购网》、《</w:t>
            </w:r>
            <w:r>
              <w:rPr>
                <w:rFonts w:hint="eastAsia" w:ascii="仿宋" w:hAnsi="仿宋" w:eastAsia="仿宋" w:cs="仿宋"/>
                <w:color w:val="auto"/>
                <w:sz w:val="21"/>
                <w:szCs w:val="21"/>
                <w:highlight w:val="none"/>
                <w:lang w:val="en-US" w:eastAsia="zh-CN"/>
              </w:rPr>
              <w:t>商丘市</w:t>
            </w:r>
            <w:r>
              <w:rPr>
                <w:rFonts w:hint="eastAsia" w:ascii="仿宋" w:hAnsi="仿宋" w:eastAsia="仿宋" w:cs="仿宋"/>
                <w:color w:val="auto"/>
                <w:sz w:val="21"/>
                <w:szCs w:val="21"/>
                <w:highlight w:val="none"/>
              </w:rPr>
              <w:t>公共资源交易中心网》上发布。请各</w:t>
            </w:r>
            <w:r>
              <w:rPr>
                <w:rFonts w:hint="eastAsia" w:ascii="仿宋" w:hAnsi="仿宋" w:eastAsia="仿宋" w:cs="仿宋"/>
                <w:color w:val="auto"/>
                <w:sz w:val="21"/>
                <w:szCs w:val="21"/>
                <w:highlight w:val="none"/>
                <w:lang w:val="en-US"/>
              </w:rPr>
              <w:t>供应商</w:t>
            </w:r>
            <w:r>
              <w:rPr>
                <w:rFonts w:hint="eastAsia" w:ascii="仿宋" w:hAnsi="仿宋" w:eastAsia="仿宋" w:cs="仿宋"/>
                <w:color w:val="auto"/>
                <w:sz w:val="21"/>
                <w:szCs w:val="21"/>
                <w:highlight w:val="none"/>
              </w:rPr>
              <w:t>注意查阅和下载，不再另行通知，查收不到后果供应商自负。</w:t>
            </w:r>
          </w:p>
        </w:tc>
      </w:tr>
      <w:tr w14:paraId="2A0E38BD">
        <w:tblPrEx>
          <w:tblCellMar>
            <w:top w:w="0" w:type="dxa"/>
            <w:left w:w="108" w:type="dxa"/>
            <w:bottom w:w="0" w:type="dxa"/>
            <w:right w:w="108" w:type="dxa"/>
          </w:tblCellMar>
        </w:tblPrEx>
        <w:trPr>
          <w:trHeight w:val="705"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77B1C161">
            <w:pPr>
              <w:keepNext w:val="0"/>
              <w:keepLines w:val="0"/>
              <w:pageBreakBefore w:val="0"/>
              <w:kinsoku/>
              <w:overflowPunct/>
              <w:bidi w:val="0"/>
              <w:snapToGrid w:val="0"/>
              <w:spacing w:line="360" w:lineRule="auto"/>
              <w:ind w:firstLine="205" w:firstLineChars="98"/>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10.4</w:t>
            </w:r>
          </w:p>
        </w:tc>
        <w:tc>
          <w:tcPr>
            <w:tcW w:w="1987" w:type="dxa"/>
            <w:tcBorders>
              <w:top w:val="single" w:color="auto" w:sz="4" w:space="0"/>
              <w:left w:val="single" w:color="auto" w:sz="4" w:space="0"/>
              <w:bottom w:val="single" w:color="auto" w:sz="4" w:space="0"/>
              <w:right w:val="single" w:color="auto" w:sz="4" w:space="0"/>
            </w:tcBorders>
            <w:vAlign w:val="center"/>
          </w:tcPr>
          <w:p w14:paraId="042C559B">
            <w:pPr>
              <w:keepNext w:val="0"/>
              <w:keepLines w:val="0"/>
              <w:pageBreakBefore w:val="0"/>
              <w:widowControl/>
              <w:kinsoku/>
              <w:overflowPunct/>
              <w:autoSpaceDE/>
              <w:autoSpaceDN/>
              <w:bidi w:val="0"/>
              <w:snapToGrid w:val="0"/>
              <w:spacing w:line="360" w:lineRule="auto"/>
              <w:ind w:right="-84" w:rightChars="-3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招标文件解释权</w:t>
            </w:r>
          </w:p>
        </w:tc>
        <w:tc>
          <w:tcPr>
            <w:tcW w:w="6867" w:type="dxa"/>
            <w:tcBorders>
              <w:top w:val="single" w:color="auto" w:sz="4" w:space="0"/>
              <w:left w:val="single" w:color="auto" w:sz="4" w:space="0"/>
              <w:bottom w:val="single" w:color="auto" w:sz="4" w:space="0"/>
              <w:right w:val="single" w:color="auto" w:sz="4" w:space="0"/>
            </w:tcBorders>
            <w:vAlign w:val="center"/>
          </w:tcPr>
          <w:p w14:paraId="26AE8AD5">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除招标文件另有规定外，招标文件解释权属采购人。</w:t>
            </w:r>
          </w:p>
        </w:tc>
      </w:tr>
      <w:tr w14:paraId="10BDCC8C">
        <w:tblPrEx>
          <w:tblCellMar>
            <w:top w:w="0" w:type="dxa"/>
            <w:left w:w="108" w:type="dxa"/>
            <w:bottom w:w="0" w:type="dxa"/>
            <w:right w:w="108" w:type="dxa"/>
          </w:tblCellMar>
        </w:tblPrEx>
        <w:trPr>
          <w:trHeight w:val="705" w:hRule="atLeast"/>
          <w:jc w:val="center"/>
        </w:trPr>
        <w:tc>
          <w:tcPr>
            <w:tcW w:w="963" w:type="dxa"/>
            <w:vMerge w:val="restart"/>
            <w:tcBorders>
              <w:top w:val="single" w:color="auto" w:sz="4" w:space="0"/>
              <w:left w:val="single" w:color="auto" w:sz="4" w:space="0"/>
              <w:right w:val="single" w:color="auto" w:sz="4" w:space="0"/>
            </w:tcBorders>
            <w:vAlign w:val="center"/>
          </w:tcPr>
          <w:p w14:paraId="5EDD0184">
            <w:pPr>
              <w:keepNext w:val="0"/>
              <w:keepLines w:val="0"/>
              <w:pageBreakBefore w:val="0"/>
              <w:kinsoku/>
              <w:overflowPunct/>
              <w:bidi w:val="0"/>
              <w:snapToGrid w:val="0"/>
              <w:spacing w:line="360" w:lineRule="auto"/>
              <w:ind w:firstLine="205" w:firstLineChars="98"/>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10.5</w:t>
            </w:r>
          </w:p>
        </w:tc>
        <w:tc>
          <w:tcPr>
            <w:tcW w:w="1987" w:type="dxa"/>
            <w:vMerge w:val="restart"/>
            <w:tcBorders>
              <w:top w:val="single" w:color="auto" w:sz="4" w:space="0"/>
              <w:left w:val="single" w:color="auto" w:sz="4" w:space="0"/>
              <w:right w:val="single" w:color="auto" w:sz="4" w:space="0"/>
            </w:tcBorders>
            <w:vAlign w:val="center"/>
          </w:tcPr>
          <w:p w14:paraId="50942732">
            <w:pPr>
              <w:keepNext w:val="0"/>
              <w:keepLines w:val="0"/>
              <w:pageBreakBefore w:val="0"/>
              <w:widowControl/>
              <w:kinsoku/>
              <w:overflowPunct/>
              <w:autoSpaceDE/>
              <w:autoSpaceDN/>
              <w:bidi w:val="0"/>
              <w:snapToGrid w:val="0"/>
              <w:spacing w:line="360" w:lineRule="auto"/>
              <w:ind w:right="-84" w:rightChars="-38"/>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偏差说明</w:t>
            </w:r>
          </w:p>
        </w:tc>
        <w:tc>
          <w:tcPr>
            <w:tcW w:w="6867" w:type="dxa"/>
            <w:tcBorders>
              <w:top w:val="single" w:color="auto" w:sz="4" w:space="0"/>
              <w:left w:val="single" w:color="auto" w:sz="4" w:space="0"/>
              <w:bottom w:val="single" w:color="auto" w:sz="4" w:space="0"/>
              <w:right w:val="single" w:color="auto" w:sz="4" w:space="0"/>
            </w:tcBorders>
            <w:vAlign w:val="center"/>
          </w:tcPr>
          <w:p w14:paraId="47D12061">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1、</w:t>
            </w:r>
            <w:r>
              <w:rPr>
                <w:rFonts w:hint="eastAsia" w:ascii="仿宋" w:hAnsi="仿宋" w:eastAsia="仿宋" w:cs="仿宋"/>
                <w:color w:val="auto"/>
                <w:sz w:val="21"/>
                <w:szCs w:val="21"/>
                <w:highlight w:val="none"/>
              </w:rPr>
              <w:t>若供应商对本招标文件的某些条款有异议或不能完全响应，必须在投标文件中以“偏离表”的方式加以详细说明。除说明原因外，还应说明具体的偏离量。</w:t>
            </w:r>
          </w:p>
        </w:tc>
      </w:tr>
      <w:tr w14:paraId="689BB22F">
        <w:tblPrEx>
          <w:tblCellMar>
            <w:top w:w="0" w:type="dxa"/>
            <w:left w:w="108" w:type="dxa"/>
            <w:bottom w:w="0" w:type="dxa"/>
            <w:right w:w="108" w:type="dxa"/>
          </w:tblCellMar>
        </w:tblPrEx>
        <w:trPr>
          <w:trHeight w:val="705" w:hRule="atLeast"/>
          <w:jc w:val="center"/>
        </w:trPr>
        <w:tc>
          <w:tcPr>
            <w:tcW w:w="963" w:type="dxa"/>
            <w:vMerge w:val="continue"/>
            <w:tcBorders>
              <w:left w:val="single" w:color="auto" w:sz="4" w:space="0"/>
              <w:right w:val="single" w:color="auto" w:sz="4" w:space="0"/>
            </w:tcBorders>
            <w:vAlign w:val="center"/>
          </w:tcPr>
          <w:p w14:paraId="7DBE4280">
            <w:pPr>
              <w:keepNext w:val="0"/>
              <w:keepLines w:val="0"/>
              <w:pageBreakBefore w:val="0"/>
              <w:kinsoku/>
              <w:overflowPunct/>
              <w:bidi w:val="0"/>
              <w:snapToGrid w:val="0"/>
              <w:spacing w:line="360" w:lineRule="auto"/>
              <w:ind w:firstLine="205" w:firstLineChars="98"/>
              <w:jc w:val="both"/>
              <w:rPr>
                <w:rFonts w:hint="eastAsia" w:ascii="仿宋" w:hAnsi="仿宋" w:eastAsia="仿宋" w:cs="仿宋"/>
                <w:color w:val="auto"/>
                <w:sz w:val="21"/>
                <w:szCs w:val="21"/>
                <w:highlight w:val="none"/>
                <w:lang w:val="en-US"/>
              </w:rPr>
            </w:pPr>
          </w:p>
        </w:tc>
        <w:tc>
          <w:tcPr>
            <w:tcW w:w="1987" w:type="dxa"/>
            <w:vMerge w:val="continue"/>
            <w:tcBorders>
              <w:left w:val="single" w:color="auto" w:sz="4" w:space="0"/>
              <w:right w:val="single" w:color="auto" w:sz="4" w:space="0"/>
            </w:tcBorders>
            <w:vAlign w:val="center"/>
          </w:tcPr>
          <w:p w14:paraId="34412546">
            <w:pPr>
              <w:keepNext w:val="0"/>
              <w:keepLines w:val="0"/>
              <w:pageBreakBefore w:val="0"/>
              <w:widowControl/>
              <w:kinsoku/>
              <w:overflowPunct/>
              <w:autoSpaceDE/>
              <w:autoSpaceDN/>
              <w:bidi w:val="0"/>
              <w:snapToGrid w:val="0"/>
              <w:spacing w:line="360" w:lineRule="auto"/>
              <w:ind w:right="-84" w:rightChars="-38"/>
              <w:jc w:val="center"/>
              <w:rPr>
                <w:rFonts w:hint="eastAsia" w:ascii="仿宋" w:hAnsi="仿宋" w:eastAsia="仿宋" w:cs="仿宋"/>
                <w:color w:val="auto"/>
                <w:sz w:val="21"/>
                <w:szCs w:val="21"/>
                <w:highlight w:val="none"/>
                <w:lang w:val="en-US"/>
              </w:rPr>
            </w:pPr>
          </w:p>
        </w:tc>
        <w:tc>
          <w:tcPr>
            <w:tcW w:w="6867" w:type="dxa"/>
            <w:tcBorders>
              <w:top w:val="single" w:color="auto" w:sz="4" w:space="0"/>
              <w:left w:val="single" w:color="auto" w:sz="4" w:space="0"/>
              <w:bottom w:val="single" w:color="auto" w:sz="4" w:space="0"/>
              <w:right w:val="single" w:color="auto" w:sz="4" w:space="0"/>
            </w:tcBorders>
            <w:vAlign w:val="center"/>
          </w:tcPr>
          <w:p w14:paraId="5A0D9F68">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2、</w:t>
            </w:r>
            <w:r>
              <w:rPr>
                <w:rFonts w:hint="eastAsia" w:ascii="仿宋" w:hAnsi="仿宋" w:eastAsia="仿宋" w:cs="仿宋"/>
                <w:color w:val="auto"/>
                <w:sz w:val="21"/>
                <w:szCs w:val="21"/>
                <w:highlight w:val="none"/>
              </w:rPr>
              <w:t>细微偏差不影响投标文件的有效性</w:t>
            </w:r>
          </w:p>
          <w:p w14:paraId="0C828BA5">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细微偏差是指投标文件在实质上响应招标文件要求，但个别地方存在漏项或者提供了不完整的技术信息和数据等情况，并且补正这些遗漏或者不完整不会对其他供应商造成不公平的结果。</w:t>
            </w:r>
          </w:p>
        </w:tc>
      </w:tr>
      <w:tr w14:paraId="25225593">
        <w:tblPrEx>
          <w:tblCellMar>
            <w:top w:w="0" w:type="dxa"/>
            <w:left w:w="108" w:type="dxa"/>
            <w:bottom w:w="0" w:type="dxa"/>
            <w:right w:w="108" w:type="dxa"/>
          </w:tblCellMar>
        </w:tblPrEx>
        <w:trPr>
          <w:trHeight w:val="705" w:hRule="atLeast"/>
          <w:jc w:val="center"/>
        </w:trPr>
        <w:tc>
          <w:tcPr>
            <w:tcW w:w="963" w:type="dxa"/>
            <w:vMerge w:val="continue"/>
            <w:tcBorders>
              <w:left w:val="single" w:color="auto" w:sz="4" w:space="0"/>
              <w:bottom w:val="single" w:color="auto" w:sz="4" w:space="0"/>
              <w:right w:val="single" w:color="auto" w:sz="4" w:space="0"/>
            </w:tcBorders>
            <w:vAlign w:val="center"/>
          </w:tcPr>
          <w:p w14:paraId="3113FF55">
            <w:pPr>
              <w:keepNext w:val="0"/>
              <w:keepLines w:val="0"/>
              <w:pageBreakBefore w:val="0"/>
              <w:kinsoku/>
              <w:overflowPunct/>
              <w:bidi w:val="0"/>
              <w:snapToGrid w:val="0"/>
              <w:spacing w:line="360" w:lineRule="auto"/>
              <w:ind w:firstLine="205" w:firstLineChars="98"/>
              <w:jc w:val="both"/>
              <w:rPr>
                <w:rFonts w:hint="eastAsia" w:ascii="仿宋" w:hAnsi="仿宋" w:eastAsia="仿宋" w:cs="仿宋"/>
                <w:color w:val="auto"/>
                <w:sz w:val="21"/>
                <w:szCs w:val="21"/>
                <w:highlight w:val="none"/>
                <w:lang w:val="en-US"/>
              </w:rPr>
            </w:pPr>
          </w:p>
        </w:tc>
        <w:tc>
          <w:tcPr>
            <w:tcW w:w="1987" w:type="dxa"/>
            <w:vMerge w:val="continue"/>
            <w:tcBorders>
              <w:left w:val="single" w:color="auto" w:sz="4" w:space="0"/>
              <w:bottom w:val="single" w:color="auto" w:sz="4" w:space="0"/>
              <w:right w:val="single" w:color="auto" w:sz="4" w:space="0"/>
            </w:tcBorders>
            <w:vAlign w:val="center"/>
          </w:tcPr>
          <w:p w14:paraId="00B81B9C">
            <w:pPr>
              <w:keepNext w:val="0"/>
              <w:keepLines w:val="0"/>
              <w:pageBreakBefore w:val="0"/>
              <w:widowControl/>
              <w:kinsoku/>
              <w:overflowPunct/>
              <w:autoSpaceDE/>
              <w:autoSpaceDN/>
              <w:bidi w:val="0"/>
              <w:snapToGrid w:val="0"/>
              <w:spacing w:line="360" w:lineRule="auto"/>
              <w:ind w:right="-84" w:rightChars="-38"/>
              <w:jc w:val="center"/>
              <w:rPr>
                <w:rFonts w:hint="eastAsia" w:ascii="仿宋" w:hAnsi="仿宋" w:eastAsia="仿宋" w:cs="仿宋"/>
                <w:color w:val="auto"/>
                <w:sz w:val="21"/>
                <w:szCs w:val="21"/>
                <w:highlight w:val="none"/>
                <w:lang w:val="en-US"/>
              </w:rPr>
            </w:pPr>
          </w:p>
        </w:tc>
        <w:tc>
          <w:tcPr>
            <w:tcW w:w="6867" w:type="dxa"/>
            <w:tcBorders>
              <w:top w:val="single" w:color="auto" w:sz="4" w:space="0"/>
              <w:left w:val="single" w:color="auto" w:sz="4" w:space="0"/>
              <w:bottom w:val="single" w:color="auto" w:sz="4" w:space="0"/>
              <w:right w:val="single" w:color="auto" w:sz="4" w:space="0"/>
            </w:tcBorders>
            <w:vAlign w:val="center"/>
          </w:tcPr>
          <w:p w14:paraId="33695A39">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3、</w:t>
            </w:r>
            <w:r>
              <w:rPr>
                <w:rFonts w:hint="eastAsia" w:ascii="仿宋" w:hAnsi="仿宋" w:eastAsia="仿宋" w:cs="仿宋"/>
                <w:color w:val="auto"/>
                <w:sz w:val="21"/>
                <w:szCs w:val="21"/>
                <w:highlight w:val="none"/>
              </w:rPr>
              <w:t>重大偏差</w:t>
            </w:r>
          </w:p>
          <w:p w14:paraId="3F55C2D4">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下列情况属于重大偏差：投标文件有下列情况之一者，将视为无效</w:t>
            </w:r>
          </w:p>
          <w:p w14:paraId="02EA9148">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a.投标文件没有供应商法人代表或授权代表签字或盖章和加盖公章；</w:t>
            </w:r>
          </w:p>
          <w:p w14:paraId="2D2C044D">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b.投标文件载明的招标项目完成期限超过招标文件规定的期限或没有期限；</w:t>
            </w:r>
          </w:p>
          <w:p w14:paraId="20CD4225">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c.投标文件附有采购人不能接受的条件；</w:t>
            </w:r>
          </w:p>
          <w:p w14:paraId="5169CFCF">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d.供应商以他人的名义投标、串通投标、以行贿手段谋取中标或者以其他弄虚作假方式投标的；</w:t>
            </w:r>
          </w:p>
          <w:p w14:paraId="1BBADF25">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e.不符合招标文件中规定的其他实质性要求。</w:t>
            </w:r>
          </w:p>
        </w:tc>
      </w:tr>
      <w:tr w14:paraId="0BABE90F">
        <w:tblPrEx>
          <w:tblCellMar>
            <w:top w:w="0" w:type="dxa"/>
            <w:left w:w="108" w:type="dxa"/>
            <w:bottom w:w="0" w:type="dxa"/>
            <w:right w:w="108" w:type="dxa"/>
          </w:tblCellMar>
        </w:tblPrEx>
        <w:trPr>
          <w:trHeight w:val="705"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5FD8865D">
            <w:pPr>
              <w:keepNext w:val="0"/>
              <w:keepLines w:val="0"/>
              <w:pageBreakBefore w:val="0"/>
              <w:kinsoku/>
              <w:overflowPunct/>
              <w:bidi w:val="0"/>
              <w:snapToGrid w:val="0"/>
              <w:spacing w:line="360" w:lineRule="auto"/>
              <w:ind w:firstLine="207" w:firstLineChars="98"/>
              <w:jc w:val="both"/>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rPr>
              <w:t>10.</w:t>
            </w:r>
            <w:r>
              <w:rPr>
                <w:rFonts w:hint="eastAsia" w:ascii="仿宋" w:hAnsi="仿宋" w:eastAsia="仿宋" w:cs="仿宋"/>
                <w:b/>
                <w:bCs/>
                <w:color w:val="auto"/>
                <w:sz w:val="21"/>
                <w:szCs w:val="21"/>
                <w:highlight w:val="none"/>
                <w:lang w:val="en-US" w:eastAsia="zh-CN"/>
              </w:rPr>
              <w:t>6</w:t>
            </w:r>
          </w:p>
        </w:tc>
        <w:tc>
          <w:tcPr>
            <w:tcW w:w="8854" w:type="dxa"/>
            <w:gridSpan w:val="2"/>
            <w:tcBorders>
              <w:top w:val="single" w:color="auto" w:sz="4" w:space="0"/>
              <w:left w:val="single" w:color="auto" w:sz="4" w:space="0"/>
              <w:bottom w:val="single" w:color="auto" w:sz="4" w:space="0"/>
              <w:right w:val="single" w:color="auto" w:sz="4" w:space="0"/>
            </w:tcBorders>
            <w:vAlign w:val="center"/>
          </w:tcPr>
          <w:p w14:paraId="6C3394D8">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eastAsia="zh-CN"/>
              </w:rPr>
              <w:t xml:space="preserve">为保证您能投标成功，请仔细阅读以下条款。 </w:t>
            </w:r>
          </w:p>
          <w:p w14:paraId="0C073B20">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注意事项：</w:t>
            </w:r>
          </w:p>
          <w:p w14:paraId="3D3093C0">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1、在投标文件递交截止时间前，使用 CA 锁登陆后，将已固化加密的电子投标文件通过网上递交的方式在投标专区自行递交，并确保递交成功（为保证文件正常递交，请投标人错峰上传，详细操作可参阅办事服务-操作指南-投标阶段）。</w:t>
            </w:r>
          </w:p>
          <w:p w14:paraId="280614FB">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2、GEF 格式电子投标文件的制作具体参考参阅商丘市公共资源交易中心网站下载专区投标文件生成器操作说明。</w:t>
            </w:r>
          </w:p>
          <w:p w14:paraId="2409893F">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3、投标人（投标人）在开标结束后，应实时保持交易系统处于登录状态，确保能及时收到评标评审专家的澄清、说明或者补正的要求。同时投标人应打开 IE 浏览器，，通过账户口令或数字证书 登录页面并保持实时登录状态，以确保能及时收到评审专家要求的信息。即投标人（投标人）应保持两个页面都实时处于登录状态。</w:t>
            </w:r>
          </w:p>
          <w:p w14:paraId="3214A258">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4、评标评审过程中评审专家可通过评审系统在线提出问题投标人（投标人）可使用自带的笔记本电脑通过交易平台中的澄清答疑在专家规定时间内做出答复。投标人（投标人）应实时保持交易系统处于登录状态。</w:t>
            </w:r>
          </w:p>
          <w:p w14:paraId="6144CCBA">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5、评审专家对投标人（投标人）澄清的要求均有时间限制，并且在投标人澄清页面有倒计时提示，投标人（投标人）应在评标（评审）专家规定时间内完成所有操作。澄清、说明需要上传交易系统的文件，必须是 PDF 格式并且加盖有投标人（投标人）电子签章。如果文件是word 编辑的，投标人可点击文件左上角文件选择“输出为 PDF”，将 word 文件转变为 PDF 格式后加盖电子签章上传。因网络安全的需要，登录后长时间不操作将自动退出登录状态，建议投标人（投标人）5分钟刷新一次。</w:t>
            </w:r>
          </w:p>
          <w:p w14:paraId="492BD7E4">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6、中标（成交）通知书发放采用在线制作发放，当中标（成交）通知书发出后，中标人可以登陆商丘市公共资源交易中心平台点击对应项目操作—我要投标—操作—下载中标通知书完成自行下载。</w:t>
            </w:r>
          </w:p>
          <w:p w14:paraId="3592E683">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7、2020 年 1 月 2 日起进场交易的项目，招标采购人及代理机构应在招标文件中明确约定实行不见面开评标，投标人不需要再到现场（需要现场演示或样品展示的除外），对投标人签到、投标文件线上解密、投标人在开评标过程中应保持系统登录状态等有关内容进行规定。</w:t>
            </w:r>
          </w:p>
          <w:p w14:paraId="02CBE99F">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8、本次谈判文件要求供应商将相应涉及评审的所有客观资料上传至市场主体诚信库相对应位置（涉密的除外），由评标评审专家予以认定，没有上传的视同没有提供相应评审资料，其投标无效。不再要求投标人现场提交原件。</w:t>
            </w:r>
          </w:p>
          <w:p w14:paraId="63CB1FBC">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9、供应商相关资料上传至市场主体库相应位置，为确保材料上传成功并方便评标评审专家查找核对，投标人应在开标前完成资料上传并在响应文件中列明资料上传位置。否则视为没有提供相应的评审资料，其投标无效。</w:t>
            </w:r>
          </w:p>
          <w:p w14:paraId="50197BD6">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10、市场主体诚信库中市场主体信息以评标评审专家核对时为准，核对后主体库信息发生的任何变更均不再作为评标依据。</w:t>
            </w:r>
          </w:p>
          <w:p w14:paraId="6241398F">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11、关于启用新版招标人工具箱和投标人工具箱的通知，请各投标人关注《商丘市公共资源交易中心》网站最新系统通知。</w:t>
            </w:r>
          </w:p>
          <w:p w14:paraId="349D7970">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12、各市场主体在使用中，如有问题及建议，请及时联系信息技术科，联系电话：0370-</w:t>
            </w:r>
          </w:p>
          <w:p w14:paraId="3E1BB43F">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2853693 2853651</w:t>
            </w:r>
          </w:p>
          <w:p w14:paraId="284BC485">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13、关于优化 CA 数字证书使用事项的通知，具体内容请详见交易中心 2020 年 1 月 9 日首</w:t>
            </w:r>
          </w:p>
          <w:p w14:paraId="72C91507">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页-通知公告。</w:t>
            </w:r>
          </w:p>
          <w:p w14:paraId="39006952">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14、关于推行电子预付款保函和履约保函的通知公告及补充公告，具体内容请详见交易中心 2020 年 9 月 30 日及 2020 年 10 月 21 日首页-通知公告。</w:t>
            </w:r>
          </w:p>
          <w:p w14:paraId="6D1165DB">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15、针对本次更新增加的开标过程在线询问、开标过程直播及评审期间主体库锁定等事项。</w:t>
            </w:r>
          </w:p>
          <w:p w14:paraId="32E5D36C">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各市场主体在使用过程中遇到自行无法解决技术问题时请及时咨询，技术服务电话</w:t>
            </w:r>
          </w:p>
          <w:p w14:paraId="5E138A63">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0370-2853693。</w:t>
            </w:r>
          </w:p>
          <w:p w14:paraId="0BE99535">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16、供应商须在文件中承诺，如果中标，采购人或招标代理机构有权查验主体库上传资料的原件，如有不一致，接受相关部门惩罚，并自动放弃中标资格；</w:t>
            </w:r>
          </w:p>
          <w:p w14:paraId="1661D4C4">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17、关于启用大数据分析监测预警功能的通知：</w:t>
            </w:r>
          </w:p>
          <w:p w14:paraId="26D4B22C">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17.1 不同投标人（供应商）的电子投标（响应）文件上传计算机的网卡 MAC 地址、CPU 序</w:t>
            </w:r>
          </w:p>
          <w:p w14:paraId="338DA3D4">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列号和硬盘序列号等硬件信息相同；</w:t>
            </w:r>
          </w:p>
          <w:p w14:paraId="25429AEF">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17.2 不同投标人（供应商）的电子投标（响应）文件由同一电子设备编制或者上传；</w:t>
            </w:r>
          </w:p>
          <w:p w14:paraId="3F83AE91">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17.3 不同投标人（供应商）的电子投标（响应）文件由同一 IP 地址上传；</w:t>
            </w:r>
          </w:p>
          <w:p w14:paraId="1DFBFCC2">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17.4 不同投标人（供应商）的电子投标（响应）文件工程预算由同一预算软件（同一把预</w:t>
            </w:r>
          </w:p>
          <w:p w14:paraId="2B3A25BB">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算锁）编制</w:t>
            </w:r>
          </w:p>
          <w:p w14:paraId="1CBABF65">
            <w:pPr>
              <w:keepNext w:val="0"/>
              <w:keepLines w:val="0"/>
              <w:pageBreakBefore w:val="0"/>
              <w:widowControl/>
              <w:kinsoku/>
              <w:overflowPunct/>
              <w:autoSpaceDE/>
              <w:autoSpaceDN/>
              <w:bidi w:val="0"/>
              <w:snapToGrid w:val="0"/>
              <w:spacing w:line="360" w:lineRule="auto"/>
              <w:ind w:right="-84" w:rightChars="-38"/>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有以上预警情形之一的，其投标（响应）文件无效</w:t>
            </w:r>
          </w:p>
        </w:tc>
      </w:tr>
    </w:tbl>
    <w:p w14:paraId="77428F16">
      <w:pPr>
        <w:keepNext w:val="0"/>
        <w:keepLines w:val="0"/>
        <w:pageBreakBefore w:val="0"/>
        <w:kinsoku/>
        <w:overflowPunct/>
        <w:bidi w:val="0"/>
        <w:snapToGrid w:val="0"/>
        <w:spacing w:line="360" w:lineRule="auto"/>
        <w:jc w:val="center"/>
        <w:rPr>
          <w:rFonts w:hint="eastAsia" w:ascii="仿宋" w:hAnsi="仿宋" w:eastAsia="仿宋" w:cs="仿宋"/>
          <w:b/>
          <w:color w:val="auto"/>
          <w:sz w:val="28"/>
          <w:szCs w:val="28"/>
          <w:highlight w:val="none"/>
          <w:lang w:val="en-US" w:bidi="ar-SA"/>
        </w:rPr>
      </w:pPr>
      <w:r>
        <w:rPr>
          <w:rFonts w:hint="eastAsia" w:ascii="仿宋" w:hAnsi="仿宋" w:eastAsia="仿宋" w:cs="仿宋"/>
          <w:b/>
          <w:color w:val="auto"/>
          <w:sz w:val="28"/>
          <w:szCs w:val="28"/>
          <w:highlight w:val="none"/>
          <w:lang w:val="en-US" w:eastAsia="zh-CN"/>
        </w:rPr>
        <w:t>供应商</w:t>
      </w:r>
      <w:r>
        <w:rPr>
          <w:rFonts w:hint="eastAsia" w:ascii="仿宋" w:hAnsi="仿宋" w:eastAsia="仿宋" w:cs="仿宋"/>
          <w:b/>
          <w:color w:val="auto"/>
          <w:sz w:val="28"/>
          <w:szCs w:val="28"/>
          <w:highlight w:val="none"/>
        </w:rPr>
        <w:t>须知正文部分</w:t>
      </w:r>
    </w:p>
    <w:p w14:paraId="12ABAA6B">
      <w:pPr>
        <w:pStyle w:val="5"/>
        <w:keepNext w:val="0"/>
        <w:keepLines w:val="0"/>
        <w:pageBreakBefore w:val="0"/>
        <w:kinsoku/>
        <w:overflowPunct/>
        <w:bidi w:val="0"/>
        <w:adjustRightInd w:val="0"/>
        <w:snapToGrid w:val="0"/>
        <w:spacing w:before="0" w:line="360" w:lineRule="auto"/>
        <w:ind w:left="0"/>
        <w:jc w:val="left"/>
        <w:rPr>
          <w:rFonts w:hint="eastAsia" w:ascii="仿宋" w:hAnsi="仿宋" w:eastAsia="仿宋" w:cs="仿宋"/>
          <w:color w:val="auto"/>
          <w:highlight w:val="none"/>
        </w:rPr>
      </w:pPr>
      <w:bookmarkStart w:id="30" w:name="_Toc291089182"/>
      <w:bookmarkStart w:id="31" w:name="_Toc924"/>
      <w:bookmarkStart w:id="32" w:name="_Toc24892"/>
      <w:bookmarkStart w:id="33" w:name="_Toc4409"/>
      <w:bookmarkStart w:id="34" w:name="_Toc26322"/>
      <w:r>
        <w:rPr>
          <w:rFonts w:hint="eastAsia" w:ascii="仿宋" w:hAnsi="仿宋" w:eastAsia="仿宋" w:cs="仿宋"/>
          <w:color w:val="auto"/>
          <w:highlight w:val="none"/>
          <w:lang w:val="en-US"/>
        </w:rPr>
        <w:t>1</w:t>
      </w:r>
      <w:r>
        <w:rPr>
          <w:rFonts w:hint="eastAsia" w:ascii="仿宋" w:hAnsi="仿宋" w:eastAsia="仿宋" w:cs="仿宋"/>
          <w:color w:val="auto"/>
          <w:highlight w:val="none"/>
        </w:rPr>
        <w:t>.总则</w:t>
      </w:r>
      <w:bookmarkEnd w:id="30"/>
      <w:bookmarkEnd w:id="31"/>
      <w:bookmarkEnd w:id="32"/>
      <w:bookmarkEnd w:id="33"/>
      <w:bookmarkEnd w:id="34"/>
    </w:p>
    <w:p w14:paraId="6FE0FD7D">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35" w:name="_Toc291089183"/>
      <w:bookmarkStart w:id="36" w:name="_Toc9667"/>
      <w:bookmarkStart w:id="37" w:name="_Toc247639840"/>
      <w:bookmarkStart w:id="38" w:name="_Toc8313"/>
      <w:r>
        <w:rPr>
          <w:rFonts w:hint="eastAsia" w:ascii="仿宋" w:hAnsi="仿宋" w:eastAsia="仿宋" w:cs="仿宋"/>
          <w:b/>
          <w:color w:val="auto"/>
          <w:sz w:val="21"/>
          <w:szCs w:val="21"/>
          <w:highlight w:val="none"/>
        </w:rPr>
        <w:t>1.1 项目概况</w:t>
      </w:r>
      <w:bookmarkEnd w:id="35"/>
      <w:bookmarkEnd w:id="36"/>
      <w:bookmarkEnd w:id="37"/>
      <w:bookmarkEnd w:id="38"/>
    </w:p>
    <w:p w14:paraId="65005211">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bookmarkStart w:id="39" w:name="_Toc291089185"/>
      <w:bookmarkStart w:id="40" w:name="_Toc247639842"/>
      <w:bookmarkStart w:id="41" w:name="_Toc12128"/>
      <w:r>
        <w:rPr>
          <w:rFonts w:hint="eastAsia" w:ascii="仿宋" w:hAnsi="仿宋" w:eastAsia="仿宋" w:cs="仿宋"/>
          <w:color w:val="auto"/>
          <w:sz w:val="21"/>
          <w:szCs w:val="21"/>
          <w:highlight w:val="none"/>
        </w:rPr>
        <w:t>1.1.1根据《中华人民共和国</w:t>
      </w:r>
      <w:r>
        <w:rPr>
          <w:rFonts w:hint="eastAsia" w:ascii="仿宋" w:hAnsi="仿宋" w:eastAsia="仿宋" w:cs="仿宋"/>
          <w:color w:val="auto"/>
          <w:sz w:val="21"/>
          <w:szCs w:val="21"/>
          <w:highlight w:val="none"/>
          <w:lang w:val="en-US" w:eastAsia="zh-CN"/>
        </w:rPr>
        <w:t>政府采购法</w:t>
      </w:r>
      <w:r>
        <w:rPr>
          <w:rFonts w:hint="eastAsia" w:ascii="仿宋" w:hAnsi="仿宋" w:eastAsia="仿宋" w:cs="仿宋"/>
          <w:color w:val="auto"/>
          <w:sz w:val="21"/>
          <w:szCs w:val="21"/>
          <w:highlight w:val="none"/>
        </w:rPr>
        <w:t>》、《中华人民共和国</w:t>
      </w:r>
      <w:r>
        <w:rPr>
          <w:rFonts w:hint="eastAsia" w:ascii="仿宋" w:hAnsi="仿宋" w:eastAsia="仿宋" w:cs="仿宋"/>
          <w:color w:val="auto"/>
          <w:sz w:val="21"/>
          <w:szCs w:val="21"/>
          <w:highlight w:val="none"/>
          <w:lang w:val="en-US" w:eastAsia="zh-CN"/>
        </w:rPr>
        <w:t>政府采购</w:t>
      </w:r>
      <w:r>
        <w:rPr>
          <w:rFonts w:hint="eastAsia" w:ascii="仿宋" w:hAnsi="仿宋" w:eastAsia="仿宋" w:cs="仿宋"/>
          <w:color w:val="auto"/>
          <w:sz w:val="21"/>
          <w:szCs w:val="21"/>
          <w:highlight w:val="none"/>
        </w:rPr>
        <w:t>法实施条例》、《基础设施和公用事业特许经营管理办法》（六部委第25号）等有关法律、法规和规章的规定，本项目已具备招标条件，现对本项目进行公开招标。</w:t>
      </w:r>
    </w:p>
    <w:p w14:paraId="70818A3D">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1.1.2 </w:t>
      </w:r>
      <w:r>
        <w:rPr>
          <w:rFonts w:hint="eastAsia" w:ascii="仿宋" w:hAnsi="仿宋" w:eastAsia="仿宋" w:cs="仿宋"/>
          <w:color w:val="auto"/>
          <w:sz w:val="21"/>
          <w:szCs w:val="21"/>
          <w:highlight w:val="none"/>
          <w:lang w:val="en-US"/>
        </w:rPr>
        <w:t>采购人</w:t>
      </w:r>
      <w:r>
        <w:rPr>
          <w:rFonts w:hint="eastAsia" w:ascii="仿宋" w:hAnsi="仿宋" w:eastAsia="仿宋" w:cs="仿宋"/>
          <w:color w:val="auto"/>
          <w:sz w:val="21"/>
          <w:szCs w:val="21"/>
          <w:highlight w:val="none"/>
        </w:rPr>
        <w:t>：见供应商须知前附表。</w:t>
      </w:r>
    </w:p>
    <w:p w14:paraId="7C6B97D6">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1.1.3 </w:t>
      </w:r>
      <w:r>
        <w:rPr>
          <w:rFonts w:hint="eastAsia" w:ascii="仿宋" w:hAnsi="仿宋" w:eastAsia="仿宋" w:cs="仿宋"/>
          <w:color w:val="auto"/>
          <w:sz w:val="21"/>
          <w:szCs w:val="21"/>
          <w:highlight w:val="none"/>
          <w:lang w:val="en-US"/>
        </w:rPr>
        <w:t>采购代理机构</w:t>
      </w:r>
      <w:r>
        <w:rPr>
          <w:rFonts w:hint="eastAsia" w:ascii="仿宋" w:hAnsi="仿宋" w:eastAsia="仿宋" w:cs="仿宋"/>
          <w:color w:val="auto"/>
          <w:sz w:val="21"/>
          <w:szCs w:val="21"/>
          <w:highlight w:val="none"/>
        </w:rPr>
        <w:t>：见供应商须知前附表。</w:t>
      </w:r>
    </w:p>
    <w:p w14:paraId="3442A4BD">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1.1.4 项目名称：见供应商须知前附表。</w:t>
      </w:r>
    </w:p>
    <w:p w14:paraId="60FB1D1A">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42" w:name="_Toc30976"/>
      <w:bookmarkStart w:id="43" w:name="_Toc25377"/>
      <w:bookmarkStart w:id="44" w:name="_Toc16396"/>
      <w:bookmarkStart w:id="45" w:name="_Toc25835"/>
      <w:bookmarkStart w:id="46" w:name="_Toc16503"/>
      <w:bookmarkStart w:id="47" w:name="_Toc179632548"/>
      <w:bookmarkStart w:id="48" w:name="_Toc144974499"/>
      <w:bookmarkStart w:id="49" w:name="_Toc21121"/>
      <w:bookmarkStart w:id="50" w:name="_Toc152042307"/>
      <w:bookmarkStart w:id="51" w:name="_Toc152045531"/>
      <w:bookmarkStart w:id="52" w:name="_Toc17658"/>
      <w:bookmarkStart w:id="53" w:name="_Toc14853"/>
      <w:r>
        <w:rPr>
          <w:rFonts w:hint="eastAsia" w:ascii="仿宋" w:hAnsi="仿宋" w:eastAsia="仿宋" w:cs="仿宋"/>
          <w:b/>
          <w:color w:val="auto"/>
          <w:sz w:val="21"/>
          <w:szCs w:val="21"/>
          <w:highlight w:val="none"/>
        </w:rPr>
        <w:t>1.2 资金来源和落实情况</w:t>
      </w:r>
      <w:bookmarkEnd w:id="42"/>
      <w:bookmarkEnd w:id="43"/>
      <w:bookmarkEnd w:id="44"/>
      <w:bookmarkEnd w:id="45"/>
      <w:bookmarkEnd w:id="46"/>
      <w:bookmarkEnd w:id="47"/>
      <w:bookmarkEnd w:id="48"/>
      <w:bookmarkEnd w:id="49"/>
      <w:bookmarkEnd w:id="50"/>
      <w:bookmarkEnd w:id="51"/>
      <w:bookmarkEnd w:id="52"/>
      <w:bookmarkEnd w:id="53"/>
    </w:p>
    <w:p w14:paraId="195858CC">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1.2.1 资金来源：见供应商须知前附表。</w:t>
      </w:r>
    </w:p>
    <w:p w14:paraId="5D18898A">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lang w:val="en-US"/>
        </w:rPr>
      </w:pPr>
      <w:bookmarkStart w:id="54" w:name="_Toc4510"/>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rPr>
        <w:t>3</w:t>
      </w:r>
      <w:r>
        <w:rPr>
          <w:rFonts w:hint="eastAsia" w:ascii="仿宋" w:hAnsi="仿宋" w:eastAsia="仿宋" w:cs="仿宋"/>
          <w:b/>
          <w:color w:val="auto"/>
          <w:sz w:val="21"/>
          <w:szCs w:val="21"/>
          <w:highlight w:val="none"/>
        </w:rPr>
        <w:t xml:space="preserve"> 招标范围、</w:t>
      </w:r>
      <w:r>
        <w:rPr>
          <w:rFonts w:hint="eastAsia" w:ascii="仿宋" w:hAnsi="仿宋" w:eastAsia="仿宋" w:cs="仿宋"/>
          <w:b/>
          <w:color w:val="auto"/>
          <w:sz w:val="21"/>
          <w:szCs w:val="21"/>
          <w:highlight w:val="none"/>
          <w:lang w:val="en-US"/>
        </w:rPr>
        <w:t>项目合作期</w:t>
      </w:r>
      <w:r>
        <w:rPr>
          <w:rFonts w:hint="eastAsia" w:ascii="仿宋" w:hAnsi="仿宋" w:eastAsia="仿宋" w:cs="仿宋"/>
          <w:b/>
          <w:color w:val="auto"/>
          <w:sz w:val="21"/>
          <w:szCs w:val="21"/>
          <w:highlight w:val="none"/>
        </w:rPr>
        <w:t>、质量要求</w:t>
      </w:r>
      <w:bookmarkEnd w:id="39"/>
      <w:bookmarkEnd w:id="40"/>
      <w:bookmarkEnd w:id="41"/>
      <w:bookmarkEnd w:id="54"/>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lang w:val="en-US" w:eastAsia="zh-CN"/>
        </w:rPr>
        <w:t>运作模式</w:t>
      </w:r>
      <w:r>
        <w:rPr>
          <w:rFonts w:hint="eastAsia" w:ascii="仿宋" w:hAnsi="仿宋" w:eastAsia="仿宋" w:cs="仿宋"/>
          <w:b/>
          <w:color w:val="auto"/>
          <w:sz w:val="21"/>
          <w:szCs w:val="21"/>
          <w:highlight w:val="none"/>
          <w:lang w:val="en-US"/>
        </w:rPr>
        <w:t>、回报机制</w:t>
      </w:r>
    </w:p>
    <w:p w14:paraId="14D6C12B">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rPr>
        <w:t>3</w:t>
      </w:r>
      <w:r>
        <w:rPr>
          <w:rFonts w:hint="eastAsia" w:ascii="仿宋" w:hAnsi="仿宋" w:eastAsia="仿宋" w:cs="仿宋"/>
          <w:color w:val="auto"/>
          <w:sz w:val="21"/>
          <w:szCs w:val="21"/>
          <w:highlight w:val="none"/>
        </w:rPr>
        <w:t>.1 本次</w:t>
      </w:r>
      <w:r>
        <w:rPr>
          <w:rFonts w:hint="eastAsia" w:ascii="仿宋" w:hAnsi="仿宋" w:eastAsia="仿宋" w:cs="仿宋"/>
          <w:color w:val="auto"/>
          <w:sz w:val="21"/>
          <w:szCs w:val="21"/>
          <w:highlight w:val="none"/>
          <w:lang w:val="en-US"/>
        </w:rPr>
        <w:t>招标</w:t>
      </w:r>
      <w:r>
        <w:rPr>
          <w:rFonts w:hint="eastAsia" w:ascii="仿宋" w:hAnsi="仿宋" w:eastAsia="仿宋" w:cs="仿宋"/>
          <w:color w:val="auto"/>
          <w:sz w:val="21"/>
          <w:szCs w:val="21"/>
          <w:highlight w:val="none"/>
        </w:rPr>
        <w:t>范围：见供应商须知前附表。</w:t>
      </w:r>
    </w:p>
    <w:p w14:paraId="393D172E">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rPr>
        <w:t>3</w:t>
      </w:r>
      <w:r>
        <w:rPr>
          <w:rFonts w:hint="eastAsia" w:ascii="仿宋" w:hAnsi="仿宋" w:eastAsia="仿宋" w:cs="仿宋"/>
          <w:color w:val="auto"/>
          <w:sz w:val="21"/>
          <w:szCs w:val="21"/>
          <w:highlight w:val="none"/>
        </w:rPr>
        <w:t>.2 本项目的项目合作期：见供应商须知前附表。</w:t>
      </w:r>
    </w:p>
    <w:p w14:paraId="110E3C8D">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rPr>
        <w:t>3</w:t>
      </w:r>
      <w:r>
        <w:rPr>
          <w:rFonts w:hint="eastAsia" w:ascii="仿宋" w:hAnsi="仿宋" w:eastAsia="仿宋" w:cs="仿宋"/>
          <w:color w:val="auto"/>
          <w:sz w:val="21"/>
          <w:szCs w:val="21"/>
          <w:highlight w:val="none"/>
        </w:rPr>
        <w:t>.3 本项目的质量要求：见供应商须知前附表。</w:t>
      </w:r>
    </w:p>
    <w:p w14:paraId="47545B5D">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r>
        <w:rPr>
          <w:rFonts w:hint="eastAsia" w:ascii="仿宋" w:hAnsi="仿宋" w:eastAsia="仿宋" w:cs="仿宋"/>
          <w:color w:val="auto"/>
          <w:highlight w:val="none"/>
          <w:lang w:val="en-US"/>
        </w:rPr>
        <w:t xml:space="preserve">   1.3.4 </w:t>
      </w:r>
      <w:r>
        <w:rPr>
          <w:rFonts w:hint="eastAsia" w:ascii="仿宋" w:hAnsi="仿宋" w:eastAsia="仿宋" w:cs="仿宋"/>
          <w:color w:val="auto"/>
          <w:highlight w:val="none"/>
        </w:rPr>
        <w:t>本项目的</w:t>
      </w:r>
      <w:r>
        <w:rPr>
          <w:rFonts w:hint="eastAsia" w:ascii="仿宋" w:hAnsi="仿宋" w:eastAsia="仿宋" w:cs="仿宋"/>
          <w:color w:val="auto"/>
          <w:highlight w:val="none"/>
          <w:lang w:val="en-US" w:eastAsia="zh-CN"/>
        </w:rPr>
        <w:t>运作模式</w:t>
      </w:r>
      <w:r>
        <w:rPr>
          <w:rFonts w:hint="eastAsia" w:ascii="仿宋" w:hAnsi="仿宋" w:eastAsia="仿宋" w:cs="仿宋"/>
          <w:color w:val="auto"/>
          <w:highlight w:val="none"/>
          <w:lang w:val="en-US"/>
        </w:rPr>
        <w:t>：</w:t>
      </w:r>
      <w:r>
        <w:rPr>
          <w:rFonts w:hint="eastAsia" w:ascii="仿宋" w:hAnsi="仿宋" w:eastAsia="仿宋" w:cs="仿宋"/>
          <w:color w:val="auto"/>
          <w:highlight w:val="none"/>
        </w:rPr>
        <w:t>见供应商须知前附表。</w:t>
      </w:r>
    </w:p>
    <w:p w14:paraId="0F355585">
      <w:pPr>
        <w:pStyle w:val="23"/>
        <w:keepNext w:val="0"/>
        <w:keepLines w:val="0"/>
        <w:pageBreakBefore w:val="0"/>
        <w:kinsoku/>
        <w:overflowPunct/>
        <w:bidi w:val="0"/>
        <w:snapToGrid w:val="0"/>
        <w:spacing w:line="360" w:lineRule="auto"/>
        <w:ind w:left="0" w:leftChars="0" w:firstLine="0" w:firstLineChars="0"/>
        <w:rPr>
          <w:rFonts w:hint="eastAsia" w:ascii="仿宋" w:hAnsi="仿宋" w:eastAsia="仿宋" w:cs="仿宋"/>
          <w:color w:val="auto"/>
          <w:highlight w:val="none"/>
          <w:lang w:val="en-US"/>
        </w:rPr>
      </w:pPr>
      <w:r>
        <w:rPr>
          <w:rFonts w:hint="eastAsia" w:ascii="仿宋" w:hAnsi="仿宋" w:eastAsia="仿宋" w:cs="仿宋"/>
          <w:color w:val="auto"/>
          <w:sz w:val="21"/>
          <w:szCs w:val="21"/>
          <w:highlight w:val="none"/>
          <w:lang w:val="en-US"/>
        </w:rPr>
        <w:t xml:space="preserve">     1.3.5</w:t>
      </w:r>
      <w:r>
        <w:rPr>
          <w:rFonts w:hint="eastAsia" w:ascii="仿宋" w:hAnsi="仿宋" w:eastAsia="仿宋" w:cs="仿宋"/>
          <w:color w:val="auto"/>
          <w:sz w:val="21"/>
          <w:szCs w:val="21"/>
          <w:highlight w:val="none"/>
        </w:rPr>
        <w:t>本项目的</w:t>
      </w:r>
      <w:r>
        <w:rPr>
          <w:rFonts w:hint="eastAsia" w:ascii="仿宋" w:hAnsi="仿宋" w:eastAsia="仿宋" w:cs="仿宋"/>
          <w:color w:val="auto"/>
          <w:sz w:val="21"/>
          <w:szCs w:val="21"/>
          <w:highlight w:val="none"/>
          <w:lang w:val="en-US"/>
        </w:rPr>
        <w:t>回报机制：</w:t>
      </w:r>
      <w:r>
        <w:rPr>
          <w:rFonts w:hint="eastAsia" w:ascii="仿宋" w:hAnsi="仿宋" w:eastAsia="仿宋" w:cs="仿宋"/>
          <w:color w:val="auto"/>
          <w:sz w:val="21"/>
          <w:szCs w:val="21"/>
          <w:highlight w:val="none"/>
        </w:rPr>
        <w:t>见供应商须知前附表。</w:t>
      </w:r>
    </w:p>
    <w:p w14:paraId="485E412E">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55" w:name="_Toc30846"/>
      <w:bookmarkStart w:id="56" w:name="_Toc14109"/>
      <w:bookmarkStart w:id="57" w:name="_Toc10073"/>
      <w:bookmarkStart w:id="58" w:name="_Toc152042310"/>
      <w:bookmarkStart w:id="59" w:name="_Toc30069"/>
      <w:bookmarkStart w:id="60" w:name="_Toc18763"/>
      <w:bookmarkStart w:id="61" w:name="_Toc179632551"/>
      <w:bookmarkStart w:id="62" w:name="_Toc30403"/>
      <w:bookmarkStart w:id="63" w:name="_Toc11018"/>
      <w:bookmarkStart w:id="64" w:name="_Toc152045534"/>
      <w:bookmarkStart w:id="65" w:name="_Toc144974502"/>
      <w:bookmarkStart w:id="66" w:name="_Toc23320"/>
      <w:bookmarkStart w:id="67" w:name="_Toc291089187"/>
      <w:bookmarkStart w:id="68" w:name="_Toc247639844"/>
      <w:bookmarkStart w:id="69" w:name="_Toc22175"/>
      <w:r>
        <w:rPr>
          <w:rFonts w:hint="eastAsia" w:ascii="仿宋" w:hAnsi="仿宋" w:eastAsia="仿宋" w:cs="仿宋"/>
          <w:b/>
          <w:color w:val="auto"/>
          <w:sz w:val="21"/>
          <w:szCs w:val="21"/>
          <w:highlight w:val="none"/>
        </w:rPr>
        <w:t>1.4 供应商资格要求</w:t>
      </w:r>
      <w:bookmarkEnd w:id="55"/>
      <w:bookmarkEnd w:id="56"/>
      <w:bookmarkEnd w:id="57"/>
      <w:bookmarkEnd w:id="58"/>
      <w:bookmarkEnd w:id="59"/>
      <w:bookmarkEnd w:id="60"/>
      <w:bookmarkEnd w:id="61"/>
      <w:bookmarkEnd w:id="62"/>
      <w:bookmarkEnd w:id="63"/>
      <w:bookmarkEnd w:id="64"/>
      <w:bookmarkEnd w:id="65"/>
      <w:bookmarkEnd w:id="66"/>
    </w:p>
    <w:p w14:paraId="21826BA2">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 供应商应具备承担</w:t>
      </w:r>
      <w:r>
        <w:rPr>
          <w:rFonts w:hint="eastAsia" w:ascii="仿宋" w:hAnsi="仿宋" w:eastAsia="仿宋" w:cs="仿宋"/>
          <w:color w:val="auto"/>
          <w:sz w:val="21"/>
          <w:szCs w:val="21"/>
          <w:highlight w:val="none"/>
          <w:lang w:val="en-US"/>
        </w:rPr>
        <w:t>的</w:t>
      </w:r>
      <w:r>
        <w:rPr>
          <w:rFonts w:hint="eastAsia" w:ascii="仿宋" w:hAnsi="仿宋" w:eastAsia="仿宋" w:cs="仿宋"/>
          <w:color w:val="auto"/>
          <w:sz w:val="21"/>
          <w:szCs w:val="21"/>
          <w:highlight w:val="none"/>
        </w:rPr>
        <w:t>资质条件：见供应商须知前附表；</w:t>
      </w:r>
    </w:p>
    <w:p w14:paraId="6FE2B5CC">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 xml:space="preserve">1.4.2 </w:t>
      </w:r>
      <w:r>
        <w:rPr>
          <w:rFonts w:hint="eastAsia" w:ascii="仿宋" w:hAnsi="仿宋" w:eastAsia="仿宋" w:cs="仿宋"/>
          <w:color w:val="auto"/>
          <w:sz w:val="21"/>
          <w:szCs w:val="21"/>
          <w:highlight w:val="none"/>
        </w:rPr>
        <w:t>供应商须知前附表规定接受联合体投标。 </w:t>
      </w:r>
    </w:p>
    <w:p w14:paraId="0BB700FC">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70" w:name="_Toc13540"/>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rPr>
        <w:t>5</w:t>
      </w:r>
      <w:r>
        <w:rPr>
          <w:rFonts w:hint="eastAsia" w:ascii="仿宋" w:hAnsi="仿宋" w:eastAsia="仿宋" w:cs="仿宋"/>
          <w:b/>
          <w:color w:val="auto"/>
          <w:sz w:val="21"/>
          <w:szCs w:val="21"/>
          <w:highlight w:val="none"/>
        </w:rPr>
        <w:t>费用承担</w:t>
      </w:r>
      <w:bookmarkEnd w:id="67"/>
      <w:bookmarkEnd w:id="68"/>
      <w:bookmarkEnd w:id="69"/>
      <w:bookmarkEnd w:id="70"/>
    </w:p>
    <w:p w14:paraId="3675C442">
      <w:pPr>
        <w:keepNext w:val="0"/>
        <w:keepLines w:val="0"/>
        <w:pageBreakBefore w:val="0"/>
        <w:kinsoku/>
        <w:overflowPunct/>
        <w:bidi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供应商承担其投标文件编制与递交所涉及的一切费用。在任何情况下采购人采购代理机构对上述费用均不承担任何责任和义务。</w:t>
      </w:r>
    </w:p>
    <w:p w14:paraId="18B2868A">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71" w:name="_Toc19455"/>
      <w:bookmarkStart w:id="72" w:name="_Toc247639845"/>
      <w:bookmarkStart w:id="73" w:name="_Toc2110"/>
      <w:bookmarkStart w:id="74" w:name="_Toc291089188"/>
      <w:r>
        <w:rPr>
          <w:rFonts w:hint="eastAsia" w:ascii="仿宋" w:hAnsi="仿宋" w:eastAsia="仿宋" w:cs="仿宋"/>
          <w:b/>
          <w:color w:val="auto"/>
          <w:sz w:val="21"/>
          <w:szCs w:val="21"/>
          <w:highlight w:val="none"/>
        </w:rPr>
        <w:t>1.6 保密</w:t>
      </w:r>
      <w:bookmarkEnd w:id="71"/>
      <w:bookmarkEnd w:id="72"/>
      <w:bookmarkEnd w:id="73"/>
      <w:bookmarkEnd w:id="74"/>
    </w:p>
    <w:p w14:paraId="6EA55856">
      <w:pPr>
        <w:keepNext w:val="0"/>
        <w:keepLines w:val="0"/>
        <w:pageBreakBefore w:val="0"/>
        <w:kinsoku/>
        <w:overflowPunct/>
        <w:bidi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参与招标投标活动的各方应对招标文件和投标文件中的商业和技术等秘密保密，违者应对由此造成的后果承担法律责任。</w:t>
      </w:r>
    </w:p>
    <w:p w14:paraId="20E7106B">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75" w:name="_Toc15811"/>
      <w:bookmarkStart w:id="76" w:name="_Toc8624"/>
      <w:bookmarkStart w:id="77" w:name="_Toc291089191"/>
      <w:bookmarkStart w:id="78" w:name="_Toc247639848"/>
      <w:r>
        <w:rPr>
          <w:rFonts w:hint="eastAsia" w:ascii="仿宋" w:hAnsi="仿宋" w:eastAsia="仿宋" w:cs="仿宋"/>
          <w:b/>
          <w:color w:val="auto"/>
          <w:sz w:val="21"/>
          <w:szCs w:val="21"/>
          <w:highlight w:val="none"/>
        </w:rPr>
        <w:t>1.7语言文字</w:t>
      </w:r>
      <w:bookmarkEnd w:id="75"/>
      <w:bookmarkEnd w:id="76"/>
    </w:p>
    <w:p w14:paraId="4EDD1A45">
      <w:pPr>
        <w:keepNext w:val="0"/>
        <w:keepLines w:val="0"/>
        <w:pageBreakBefore w:val="0"/>
        <w:kinsoku/>
        <w:overflowPunct/>
        <w:bidi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除专用术语外，与招标投标有关的语言均使用中文。必要时专用术语应附有中文注释。</w:t>
      </w:r>
    </w:p>
    <w:p w14:paraId="26DA40B2">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79" w:name="_Toc21436"/>
      <w:bookmarkStart w:id="80" w:name="_Toc17550"/>
      <w:r>
        <w:rPr>
          <w:rFonts w:hint="eastAsia" w:ascii="仿宋" w:hAnsi="仿宋" w:eastAsia="仿宋" w:cs="仿宋"/>
          <w:b/>
          <w:color w:val="auto"/>
          <w:sz w:val="21"/>
          <w:szCs w:val="21"/>
          <w:highlight w:val="none"/>
        </w:rPr>
        <w:t>1.8计量单位</w:t>
      </w:r>
      <w:bookmarkEnd w:id="79"/>
      <w:bookmarkEnd w:id="80"/>
    </w:p>
    <w:p w14:paraId="1112E6D4">
      <w:pPr>
        <w:pStyle w:val="6"/>
        <w:keepNext w:val="0"/>
        <w:keepLines w:val="0"/>
        <w:pageBreakBefore w:val="0"/>
        <w:kinsoku/>
        <w:overflowPunct/>
        <w:bidi w:val="0"/>
        <w:adjustRightInd w:val="0"/>
        <w:snapToGrid w:val="0"/>
        <w:spacing w:line="360" w:lineRule="auto"/>
        <w:ind w:firstLine="420" w:firstLineChars="200"/>
        <w:jc w:val="left"/>
        <w:rPr>
          <w:rFonts w:hint="eastAsia" w:ascii="仿宋" w:hAnsi="仿宋" w:eastAsia="仿宋" w:cs="仿宋"/>
          <w:color w:val="auto"/>
          <w:sz w:val="21"/>
          <w:szCs w:val="21"/>
          <w:highlight w:val="none"/>
          <w:lang w:val="en-US" w:bidi="ar-SA"/>
        </w:rPr>
      </w:pPr>
      <w:bookmarkStart w:id="81" w:name="_Toc19908"/>
      <w:bookmarkStart w:id="82" w:name="_Toc21750"/>
      <w:bookmarkStart w:id="83" w:name="_Toc27952"/>
      <w:bookmarkStart w:id="84" w:name="_Toc5202"/>
      <w:r>
        <w:rPr>
          <w:rFonts w:hint="eastAsia" w:ascii="仿宋" w:hAnsi="仿宋" w:eastAsia="仿宋" w:cs="仿宋"/>
          <w:color w:val="auto"/>
          <w:sz w:val="21"/>
          <w:szCs w:val="21"/>
          <w:highlight w:val="none"/>
          <w:lang w:val="en-US" w:bidi="ar-SA"/>
        </w:rPr>
        <w:t>所有计量均采用中华人民共和国法定计量单位。</w:t>
      </w:r>
      <w:bookmarkEnd w:id="81"/>
      <w:bookmarkEnd w:id="82"/>
      <w:bookmarkEnd w:id="83"/>
      <w:bookmarkEnd w:id="84"/>
    </w:p>
    <w:p w14:paraId="3B593F63">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85" w:name="_Toc20807"/>
      <w:bookmarkStart w:id="86" w:name="_Toc30503"/>
      <w:r>
        <w:rPr>
          <w:rFonts w:hint="eastAsia" w:ascii="仿宋" w:hAnsi="仿宋" w:eastAsia="仿宋" w:cs="仿宋"/>
          <w:b/>
          <w:color w:val="auto"/>
          <w:sz w:val="21"/>
          <w:szCs w:val="21"/>
          <w:highlight w:val="none"/>
        </w:rPr>
        <w:t>1.9 踏勘现场</w:t>
      </w:r>
      <w:bookmarkEnd w:id="77"/>
      <w:bookmarkEnd w:id="78"/>
      <w:bookmarkEnd w:id="85"/>
      <w:bookmarkEnd w:id="86"/>
    </w:p>
    <w:p w14:paraId="4F6E69BD">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1.9.1 供应商按须知前附表规定自行组织踏勘现场，采购人将提供必要的协助。</w:t>
      </w:r>
    </w:p>
    <w:p w14:paraId="07892D7B">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1.9.2 供应商踏勘现场发生的费用自理。</w:t>
      </w:r>
    </w:p>
    <w:p w14:paraId="414E23AB">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1.9.3 除采购人的原因外，供应商自行负责在踏勘现场中所发生的人员伤亡和财产损失。</w:t>
      </w:r>
    </w:p>
    <w:p w14:paraId="301AB3F5">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1.9.4 采购人在踏勘现场中介绍的工程场地和相关的周边环境情况，供应商在编制投标文件时参考，采购人不对供应商据此作出的判断和决策负责。</w:t>
      </w:r>
    </w:p>
    <w:p w14:paraId="4849CF5D">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87" w:name="_Toc16976"/>
      <w:bookmarkStart w:id="88" w:name="_Toc23805"/>
      <w:bookmarkStart w:id="89" w:name="_Toc247639849"/>
      <w:bookmarkStart w:id="90" w:name="_Toc291089192"/>
      <w:r>
        <w:rPr>
          <w:rFonts w:hint="eastAsia" w:ascii="仿宋" w:hAnsi="仿宋" w:eastAsia="仿宋" w:cs="仿宋"/>
          <w:b/>
          <w:color w:val="auto"/>
          <w:sz w:val="21"/>
          <w:szCs w:val="21"/>
          <w:highlight w:val="none"/>
        </w:rPr>
        <w:t>1.10 投标预备会</w:t>
      </w:r>
      <w:bookmarkEnd w:id="87"/>
      <w:bookmarkEnd w:id="88"/>
      <w:bookmarkEnd w:id="89"/>
      <w:bookmarkEnd w:id="90"/>
    </w:p>
    <w:p w14:paraId="6A602268">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1.10.1 供应商须知前附表规定召开投标预备会的，采购人按供应商须知前附表规定的时间和地点召开投标预备会，澄清供应商提出的问题。</w:t>
      </w:r>
    </w:p>
    <w:p w14:paraId="324CF9CF">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1.10.2 供应商应在供应商须知前附表规定的时间前，以书面形式将提出的问题送达采购人，以便采购人在会议期间澄清。</w:t>
      </w:r>
    </w:p>
    <w:p w14:paraId="4C6D1285">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1.10.3 投标预备会后，采购人在供应商须知前附表规定的时间内，将对供应商所提问题的澄清，以书面方式通知所有购买招标文件的供应商。该澄清内容为招标文件的组成部分。</w:t>
      </w:r>
    </w:p>
    <w:p w14:paraId="69D2679E">
      <w:pPr>
        <w:keepNext w:val="0"/>
        <w:keepLines w:val="0"/>
        <w:pageBreakBefore w:val="0"/>
        <w:kinsoku/>
        <w:overflowPunct/>
        <w:bidi w:val="0"/>
        <w:snapToGrid w:val="0"/>
        <w:spacing w:line="360" w:lineRule="auto"/>
        <w:outlineLvl w:val="2"/>
        <w:rPr>
          <w:rFonts w:hint="eastAsia" w:ascii="仿宋" w:hAnsi="仿宋" w:eastAsia="仿宋" w:cs="仿宋"/>
          <w:b/>
          <w:color w:val="auto"/>
          <w:sz w:val="21"/>
          <w:szCs w:val="21"/>
          <w:highlight w:val="none"/>
        </w:rPr>
      </w:pPr>
      <w:bookmarkStart w:id="91" w:name="_Toc263777138"/>
      <w:bookmarkStart w:id="92" w:name="_Toc263403046"/>
      <w:bookmarkStart w:id="93" w:name="_Toc267475043"/>
      <w:bookmarkStart w:id="94" w:name="_Toc1035"/>
      <w:bookmarkStart w:id="95" w:name="_Toc273437295"/>
      <w:r>
        <w:rPr>
          <w:rFonts w:hint="eastAsia" w:ascii="仿宋" w:hAnsi="仿宋" w:eastAsia="仿宋" w:cs="仿宋"/>
          <w:b/>
          <w:color w:val="auto"/>
          <w:sz w:val="21"/>
          <w:szCs w:val="21"/>
          <w:highlight w:val="none"/>
        </w:rPr>
        <w:t>1.11 偏离</w:t>
      </w:r>
      <w:bookmarkEnd w:id="91"/>
      <w:bookmarkEnd w:id="92"/>
      <w:bookmarkEnd w:id="93"/>
      <w:bookmarkEnd w:id="94"/>
      <w:bookmarkEnd w:id="95"/>
    </w:p>
    <w:p w14:paraId="00F7FC39">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不允许</w:t>
      </w:r>
    </w:p>
    <w:p w14:paraId="28B8B393">
      <w:pPr>
        <w:pStyle w:val="5"/>
        <w:keepNext w:val="0"/>
        <w:keepLines w:val="0"/>
        <w:pageBreakBefore w:val="0"/>
        <w:kinsoku/>
        <w:overflowPunct/>
        <w:bidi w:val="0"/>
        <w:adjustRightInd w:val="0"/>
        <w:snapToGrid w:val="0"/>
        <w:spacing w:before="0" w:line="360" w:lineRule="auto"/>
        <w:ind w:left="0"/>
        <w:jc w:val="left"/>
        <w:rPr>
          <w:rFonts w:hint="eastAsia" w:ascii="仿宋" w:hAnsi="仿宋" w:eastAsia="仿宋" w:cs="仿宋"/>
          <w:color w:val="auto"/>
          <w:highlight w:val="none"/>
        </w:rPr>
      </w:pPr>
      <w:bookmarkStart w:id="96" w:name="_Toc291089195"/>
      <w:bookmarkStart w:id="97" w:name="_Toc19517"/>
      <w:bookmarkStart w:id="98" w:name="_Toc247639852"/>
      <w:bookmarkStart w:id="99" w:name="_Toc12556"/>
      <w:bookmarkStart w:id="100" w:name="_Toc23056"/>
      <w:bookmarkStart w:id="101" w:name="_Toc8634"/>
      <w:r>
        <w:rPr>
          <w:rFonts w:hint="eastAsia" w:ascii="仿宋" w:hAnsi="仿宋" w:eastAsia="仿宋" w:cs="仿宋"/>
          <w:color w:val="auto"/>
          <w:highlight w:val="none"/>
        </w:rPr>
        <w:t xml:space="preserve">2. </w:t>
      </w:r>
      <w:bookmarkEnd w:id="96"/>
      <w:bookmarkEnd w:id="97"/>
      <w:bookmarkEnd w:id="98"/>
      <w:bookmarkEnd w:id="99"/>
      <w:r>
        <w:rPr>
          <w:rFonts w:hint="eastAsia" w:ascii="仿宋" w:hAnsi="仿宋" w:eastAsia="仿宋" w:cs="仿宋"/>
          <w:color w:val="auto"/>
          <w:highlight w:val="none"/>
        </w:rPr>
        <w:t>招标文件</w:t>
      </w:r>
      <w:bookmarkEnd w:id="100"/>
      <w:bookmarkEnd w:id="101"/>
    </w:p>
    <w:p w14:paraId="64285C79">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102" w:name="_Toc247639853"/>
      <w:bookmarkStart w:id="103" w:name="_Toc351"/>
      <w:bookmarkStart w:id="104" w:name="_Toc22633"/>
      <w:bookmarkStart w:id="105" w:name="_Toc291089196"/>
      <w:r>
        <w:rPr>
          <w:rFonts w:hint="eastAsia" w:ascii="仿宋" w:hAnsi="仿宋" w:eastAsia="仿宋" w:cs="仿宋"/>
          <w:b/>
          <w:color w:val="auto"/>
          <w:sz w:val="21"/>
          <w:szCs w:val="21"/>
          <w:highlight w:val="none"/>
        </w:rPr>
        <w:t>2.1 招标文件的组成</w:t>
      </w:r>
      <w:bookmarkEnd w:id="102"/>
      <w:bookmarkEnd w:id="103"/>
      <w:bookmarkEnd w:id="104"/>
      <w:bookmarkEnd w:id="105"/>
    </w:p>
    <w:p w14:paraId="162DF9A9">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本招标文件包括：</w:t>
      </w:r>
    </w:p>
    <w:p w14:paraId="07C8C765">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第一章</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 xml:space="preserve">招标公告 </w:t>
      </w:r>
    </w:p>
    <w:p w14:paraId="34AD16BA">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第二章</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供应商须知</w:t>
      </w:r>
    </w:p>
    <w:p w14:paraId="486BD37F">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第三章</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lang w:val="en-US"/>
        </w:rPr>
        <w:t>评标办法</w:t>
      </w:r>
    </w:p>
    <w:p w14:paraId="173463F6">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第四章</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lang w:val="en-US"/>
        </w:rPr>
        <w:t>合同条款及格式</w:t>
      </w:r>
    </w:p>
    <w:p w14:paraId="751CD84C">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第五章</w:t>
      </w:r>
      <w:r>
        <w:rPr>
          <w:rFonts w:hint="eastAsia" w:ascii="仿宋" w:hAnsi="仿宋" w:eastAsia="仿宋" w:cs="仿宋"/>
          <w:color w:val="auto"/>
          <w:sz w:val="21"/>
          <w:szCs w:val="21"/>
          <w:highlight w:val="none"/>
          <w:lang w:val="en-US"/>
        </w:rPr>
        <w:t xml:space="preserve">   </w:t>
      </w:r>
      <w:r>
        <w:rPr>
          <w:rFonts w:hint="eastAsia" w:ascii="仿宋" w:hAnsi="仿宋" w:eastAsia="仿宋" w:cs="仿宋"/>
          <w:color w:val="auto"/>
          <w:sz w:val="21"/>
          <w:szCs w:val="21"/>
          <w:highlight w:val="none"/>
        </w:rPr>
        <w:t>项目招标需求</w:t>
      </w:r>
    </w:p>
    <w:p w14:paraId="50E24BF3">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第六章</w:t>
      </w:r>
      <w:r>
        <w:rPr>
          <w:rFonts w:hint="eastAsia" w:ascii="仿宋" w:hAnsi="仿宋" w:eastAsia="仿宋" w:cs="仿宋"/>
          <w:color w:val="auto"/>
          <w:sz w:val="21"/>
          <w:szCs w:val="21"/>
          <w:highlight w:val="none"/>
          <w:lang w:val="en-US"/>
        </w:rPr>
        <w:t xml:space="preserve">   </w:t>
      </w:r>
      <w:r>
        <w:rPr>
          <w:rFonts w:hint="eastAsia" w:ascii="仿宋" w:hAnsi="仿宋" w:eastAsia="仿宋" w:cs="仿宋"/>
          <w:color w:val="auto"/>
          <w:sz w:val="21"/>
          <w:szCs w:val="21"/>
          <w:highlight w:val="none"/>
        </w:rPr>
        <w:t>投标文件格式</w:t>
      </w:r>
    </w:p>
    <w:p w14:paraId="425B86ED">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bookmarkStart w:id="106" w:name="_Toc247639854"/>
      <w:bookmarkStart w:id="107" w:name="_Toc291089197"/>
      <w:bookmarkStart w:id="108" w:name="_Toc12688"/>
      <w:r>
        <w:rPr>
          <w:rFonts w:hint="eastAsia" w:ascii="仿宋" w:hAnsi="仿宋" w:eastAsia="仿宋" w:cs="仿宋"/>
          <w:color w:val="auto"/>
          <w:sz w:val="21"/>
          <w:szCs w:val="21"/>
          <w:highlight w:val="none"/>
        </w:rPr>
        <w:t>所有对招标文件所</w:t>
      </w:r>
      <w:r>
        <w:rPr>
          <w:rFonts w:hint="eastAsia" w:ascii="仿宋" w:hAnsi="仿宋" w:eastAsia="仿宋" w:cs="仿宋"/>
          <w:color w:val="auto"/>
          <w:sz w:val="21"/>
          <w:szCs w:val="21"/>
          <w:highlight w:val="none"/>
          <w:lang w:eastAsia="zh-CN"/>
        </w:rPr>
        <w:t>做</w:t>
      </w:r>
      <w:r>
        <w:rPr>
          <w:rFonts w:hint="eastAsia" w:ascii="仿宋" w:hAnsi="仿宋" w:eastAsia="仿宋" w:cs="仿宋"/>
          <w:color w:val="auto"/>
          <w:sz w:val="21"/>
          <w:szCs w:val="21"/>
          <w:highlight w:val="none"/>
        </w:rPr>
        <w:t>的澄清、修改，均为构成招标文件的组成部分。</w:t>
      </w:r>
    </w:p>
    <w:p w14:paraId="6FD5CC6C">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109" w:name="_Toc16526"/>
      <w:r>
        <w:rPr>
          <w:rFonts w:hint="eastAsia" w:ascii="仿宋" w:hAnsi="仿宋" w:eastAsia="仿宋" w:cs="仿宋"/>
          <w:b/>
          <w:color w:val="auto"/>
          <w:sz w:val="21"/>
          <w:szCs w:val="21"/>
          <w:highlight w:val="none"/>
        </w:rPr>
        <w:t>2.2 招标文件的澄清</w:t>
      </w:r>
      <w:bookmarkEnd w:id="106"/>
      <w:bookmarkEnd w:id="107"/>
      <w:r>
        <w:rPr>
          <w:rFonts w:hint="eastAsia" w:ascii="仿宋" w:hAnsi="仿宋" w:eastAsia="仿宋" w:cs="仿宋"/>
          <w:b/>
          <w:color w:val="auto"/>
          <w:sz w:val="21"/>
          <w:szCs w:val="21"/>
          <w:highlight w:val="none"/>
        </w:rPr>
        <w:t>与修改</w:t>
      </w:r>
      <w:bookmarkEnd w:id="108"/>
      <w:bookmarkEnd w:id="109"/>
    </w:p>
    <w:p w14:paraId="545F45DE">
      <w:pPr>
        <w:pStyle w:val="5"/>
        <w:keepNext w:val="0"/>
        <w:keepLines w:val="0"/>
        <w:pageBreakBefore w:val="0"/>
        <w:kinsoku/>
        <w:overflowPunct/>
        <w:bidi w:val="0"/>
        <w:adjustRightInd w:val="0"/>
        <w:snapToGrid w:val="0"/>
        <w:spacing w:before="0" w:line="360" w:lineRule="auto"/>
        <w:ind w:left="0" w:firstLine="420" w:firstLineChars="200"/>
        <w:jc w:val="left"/>
        <w:rPr>
          <w:rFonts w:hint="eastAsia" w:ascii="仿宋" w:hAnsi="仿宋" w:eastAsia="仿宋" w:cs="仿宋"/>
          <w:b w:val="0"/>
          <w:bCs w:val="0"/>
          <w:color w:val="auto"/>
          <w:sz w:val="21"/>
          <w:szCs w:val="21"/>
          <w:highlight w:val="none"/>
        </w:rPr>
      </w:pPr>
      <w:bookmarkStart w:id="110" w:name="_Toc17744"/>
      <w:bookmarkStart w:id="111" w:name="_Toc7113"/>
      <w:bookmarkStart w:id="112" w:name="_Toc25363"/>
      <w:bookmarkStart w:id="113" w:name="_Toc10323"/>
      <w:bookmarkStart w:id="114" w:name="_Toc17722"/>
      <w:bookmarkStart w:id="115" w:name="_Toc4088"/>
      <w:bookmarkStart w:id="116" w:name="_Toc19144"/>
      <w:bookmarkStart w:id="117" w:name="_Toc247639856"/>
      <w:bookmarkStart w:id="118" w:name="_Toc291089199"/>
      <w:r>
        <w:rPr>
          <w:rFonts w:hint="eastAsia" w:ascii="仿宋" w:hAnsi="仿宋" w:eastAsia="仿宋" w:cs="仿宋"/>
          <w:b w:val="0"/>
          <w:bCs w:val="0"/>
          <w:color w:val="auto"/>
          <w:sz w:val="21"/>
          <w:szCs w:val="21"/>
          <w:highlight w:val="none"/>
        </w:rPr>
        <w:t>2.2.1 供应商应仔细阅读和检查招标文件的全部内容。如发现缺页或附件不全，应及时向采购人提出，以便补齐。如有疑问，应在供应商须知前附表规定的时间前以系统内提问形式，要求采购人对招标文件予以澄清。</w:t>
      </w:r>
      <w:bookmarkEnd w:id="110"/>
      <w:bookmarkEnd w:id="111"/>
      <w:bookmarkEnd w:id="112"/>
      <w:bookmarkEnd w:id="113"/>
      <w:bookmarkEnd w:id="114"/>
    </w:p>
    <w:p w14:paraId="38DA72E6">
      <w:pPr>
        <w:pStyle w:val="5"/>
        <w:keepNext w:val="0"/>
        <w:keepLines w:val="0"/>
        <w:pageBreakBefore w:val="0"/>
        <w:kinsoku/>
        <w:overflowPunct/>
        <w:bidi w:val="0"/>
        <w:adjustRightInd w:val="0"/>
        <w:snapToGrid w:val="0"/>
        <w:spacing w:before="0" w:line="360" w:lineRule="auto"/>
        <w:ind w:left="0" w:firstLine="420" w:firstLineChars="200"/>
        <w:jc w:val="left"/>
        <w:rPr>
          <w:rFonts w:hint="eastAsia" w:ascii="仿宋" w:hAnsi="仿宋" w:eastAsia="仿宋" w:cs="仿宋"/>
          <w:b w:val="0"/>
          <w:bCs w:val="0"/>
          <w:color w:val="auto"/>
          <w:sz w:val="21"/>
          <w:szCs w:val="21"/>
          <w:highlight w:val="none"/>
          <w:lang w:val="en-US"/>
        </w:rPr>
      </w:pPr>
      <w:bookmarkStart w:id="119" w:name="_Toc8211"/>
      <w:bookmarkStart w:id="120" w:name="_Toc5484"/>
      <w:bookmarkStart w:id="121" w:name="_Toc20605"/>
      <w:bookmarkStart w:id="122" w:name="_Toc13834"/>
      <w:bookmarkStart w:id="123" w:name="_Toc20853"/>
      <w:r>
        <w:rPr>
          <w:rFonts w:hint="eastAsia" w:ascii="仿宋" w:hAnsi="仿宋" w:eastAsia="仿宋" w:cs="仿宋"/>
          <w:b w:val="0"/>
          <w:bCs w:val="0"/>
          <w:color w:val="auto"/>
          <w:sz w:val="21"/>
          <w:szCs w:val="21"/>
          <w:highlight w:val="none"/>
        </w:rPr>
        <w:t>2.2.2 招标文件的澄清将以系统内答疑形式发给所有下载招标文件的供应商，但不指明澄清问题的来源。如果澄清发出的时间距供应商须知前附表规定的投标截止时间不足15天，并且澄清内容影响投标文件编制的，将相应延长投标截止时间。</w:t>
      </w:r>
      <w:bookmarkEnd w:id="119"/>
      <w:bookmarkEnd w:id="120"/>
      <w:bookmarkEnd w:id="121"/>
      <w:bookmarkEnd w:id="122"/>
      <w:bookmarkEnd w:id="123"/>
    </w:p>
    <w:p w14:paraId="3E1CA73B">
      <w:pPr>
        <w:pStyle w:val="5"/>
        <w:keepNext w:val="0"/>
        <w:keepLines w:val="0"/>
        <w:pageBreakBefore w:val="0"/>
        <w:kinsoku/>
        <w:overflowPunct/>
        <w:bidi w:val="0"/>
        <w:adjustRightInd w:val="0"/>
        <w:snapToGrid w:val="0"/>
        <w:spacing w:before="0" w:line="360" w:lineRule="auto"/>
        <w:ind w:left="0" w:firstLine="420" w:firstLineChars="200"/>
        <w:jc w:val="left"/>
        <w:rPr>
          <w:rFonts w:hint="eastAsia" w:ascii="仿宋" w:hAnsi="仿宋" w:eastAsia="仿宋" w:cs="仿宋"/>
          <w:b w:val="0"/>
          <w:bCs w:val="0"/>
          <w:color w:val="auto"/>
          <w:sz w:val="21"/>
          <w:szCs w:val="21"/>
          <w:highlight w:val="none"/>
        </w:rPr>
      </w:pPr>
      <w:bookmarkStart w:id="124" w:name="_Toc13853"/>
      <w:bookmarkStart w:id="125" w:name="_Toc31925"/>
      <w:bookmarkStart w:id="126" w:name="_Toc23252"/>
      <w:bookmarkStart w:id="127" w:name="_Toc4509"/>
      <w:bookmarkStart w:id="128" w:name="_Toc5746"/>
      <w:r>
        <w:rPr>
          <w:rFonts w:hint="eastAsia" w:ascii="仿宋" w:hAnsi="仿宋" w:eastAsia="仿宋" w:cs="仿宋"/>
          <w:b w:val="0"/>
          <w:bCs w:val="0"/>
          <w:color w:val="auto"/>
          <w:sz w:val="21"/>
          <w:szCs w:val="21"/>
          <w:highlight w:val="none"/>
          <w:lang w:val="en-US"/>
        </w:rPr>
        <w:t>2.2.3 供应商因为其他原因未能及时收到答疑、修改的，采购人及采购代理机构将不负任何责任</w:t>
      </w:r>
      <w:r>
        <w:rPr>
          <w:rFonts w:hint="eastAsia" w:ascii="仿宋" w:hAnsi="仿宋" w:eastAsia="仿宋" w:cs="仿宋"/>
          <w:b w:val="0"/>
          <w:bCs w:val="0"/>
          <w:color w:val="auto"/>
          <w:sz w:val="21"/>
          <w:szCs w:val="21"/>
          <w:highlight w:val="none"/>
        </w:rPr>
        <w:t>。</w:t>
      </w:r>
      <w:bookmarkEnd w:id="124"/>
      <w:bookmarkEnd w:id="125"/>
      <w:bookmarkEnd w:id="126"/>
      <w:bookmarkEnd w:id="127"/>
      <w:bookmarkEnd w:id="128"/>
    </w:p>
    <w:p w14:paraId="2A6DB106">
      <w:pPr>
        <w:keepNext w:val="0"/>
        <w:keepLines w:val="0"/>
        <w:pageBreakBefore w:val="0"/>
        <w:tabs>
          <w:tab w:val="left" w:pos="284"/>
        </w:tabs>
        <w:kinsoku/>
        <w:overflowPunct/>
        <w:bidi w:val="0"/>
        <w:snapToGrid w:val="0"/>
        <w:spacing w:line="360" w:lineRule="auto"/>
        <w:ind w:right="147" w:rightChars="67"/>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2.3 招标文件的修改</w:t>
      </w:r>
    </w:p>
    <w:p w14:paraId="0D451B83">
      <w:pPr>
        <w:keepNext w:val="0"/>
        <w:keepLines w:val="0"/>
        <w:pageBreakBefore w:val="0"/>
        <w:tabs>
          <w:tab w:val="left" w:pos="284"/>
          <w:tab w:val="left" w:pos="312"/>
          <w:tab w:val="left" w:pos="425"/>
        </w:tabs>
        <w:kinsoku/>
        <w:overflowPunct/>
        <w:bidi w:val="0"/>
        <w:snapToGrid w:val="0"/>
        <w:spacing w:line="360" w:lineRule="auto"/>
        <w:ind w:right="147" w:rightChars="67" w:firstLine="420" w:firstLineChars="200"/>
        <w:rPr>
          <w:rFonts w:hint="eastAsia" w:ascii="仿宋" w:hAnsi="仿宋" w:eastAsia="仿宋" w:cs="仿宋"/>
          <w:color w:val="auto"/>
          <w:sz w:val="21"/>
          <w:szCs w:val="21"/>
          <w:highlight w:val="none"/>
        </w:rPr>
      </w:pPr>
      <w:bookmarkStart w:id="129" w:name="_Toc179632564"/>
      <w:bookmarkEnd w:id="129"/>
      <w:r>
        <w:rPr>
          <w:rFonts w:hint="eastAsia" w:ascii="仿宋" w:hAnsi="仿宋" w:eastAsia="仿宋" w:cs="仿宋"/>
          <w:color w:val="auto"/>
          <w:sz w:val="21"/>
          <w:szCs w:val="21"/>
          <w:highlight w:val="none"/>
        </w:rPr>
        <w:t>2.3.1 在投标截止时间15天前，采购人可以</w:t>
      </w:r>
      <w:r>
        <w:rPr>
          <w:rFonts w:hint="eastAsia" w:ascii="仿宋" w:hAnsi="仿宋" w:eastAsia="仿宋" w:cs="仿宋"/>
          <w:color w:val="auto"/>
          <w:sz w:val="21"/>
          <w:szCs w:val="21"/>
          <w:highlight w:val="none"/>
          <w:lang w:val="en-US"/>
        </w:rPr>
        <w:t>系统内答疑</w:t>
      </w:r>
      <w:r>
        <w:rPr>
          <w:rFonts w:hint="eastAsia" w:ascii="仿宋" w:hAnsi="仿宋" w:eastAsia="仿宋" w:cs="仿宋"/>
          <w:color w:val="auto"/>
          <w:sz w:val="21"/>
          <w:szCs w:val="21"/>
          <w:highlight w:val="none"/>
        </w:rPr>
        <w:t>形式修改招标文件，并通知所有已</w:t>
      </w:r>
      <w:r>
        <w:rPr>
          <w:rFonts w:hint="eastAsia" w:ascii="仿宋" w:hAnsi="仿宋" w:eastAsia="仿宋" w:cs="仿宋"/>
          <w:color w:val="auto"/>
          <w:sz w:val="21"/>
          <w:szCs w:val="21"/>
          <w:highlight w:val="none"/>
          <w:lang w:val="en-US"/>
        </w:rPr>
        <w:t>下载</w:t>
      </w:r>
      <w:r>
        <w:rPr>
          <w:rFonts w:hint="eastAsia" w:ascii="仿宋" w:hAnsi="仿宋" w:eastAsia="仿宋" w:cs="仿宋"/>
          <w:color w:val="auto"/>
          <w:sz w:val="21"/>
          <w:szCs w:val="21"/>
          <w:highlight w:val="none"/>
        </w:rPr>
        <w:t>招标文件的供应商。如果修改招标文件的时间距投标截止时间不足15天，相应延长投标截止时间。</w:t>
      </w:r>
    </w:p>
    <w:p w14:paraId="2AA7C831">
      <w:pPr>
        <w:pStyle w:val="6"/>
        <w:keepNext w:val="0"/>
        <w:keepLines w:val="0"/>
        <w:pageBreakBefore w:val="0"/>
        <w:kinsoku/>
        <w:overflowPunct/>
        <w:bidi w:val="0"/>
        <w:snapToGrid w:val="0"/>
        <w:spacing w:line="360" w:lineRule="auto"/>
        <w:ind w:firstLine="420" w:firstLineChars="200"/>
        <w:jc w:val="both"/>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rPr>
        <w:t>2.3.2 供应商因为其他原因未能及时收到答疑、修改的，采购人及采购代理机构将不负任何责任。</w:t>
      </w:r>
    </w:p>
    <w:p w14:paraId="511298BF">
      <w:pPr>
        <w:pStyle w:val="5"/>
        <w:keepNext w:val="0"/>
        <w:keepLines w:val="0"/>
        <w:pageBreakBefore w:val="0"/>
        <w:kinsoku/>
        <w:overflowPunct/>
        <w:bidi w:val="0"/>
        <w:adjustRightInd w:val="0"/>
        <w:snapToGrid w:val="0"/>
        <w:spacing w:before="0" w:line="360" w:lineRule="auto"/>
        <w:ind w:left="0"/>
        <w:jc w:val="left"/>
        <w:rPr>
          <w:rFonts w:hint="eastAsia" w:ascii="仿宋" w:hAnsi="仿宋" w:eastAsia="仿宋" w:cs="仿宋"/>
          <w:color w:val="auto"/>
          <w:highlight w:val="none"/>
        </w:rPr>
      </w:pPr>
      <w:bookmarkStart w:id="130" w:name="_Toc29939"/>
      <w:bookmarkStart w:id="131" w:name="_Toc2692"/>
      <w:r>
        <w:rPr>
          <w:rFonts w:hint="eastAsia" w:ascii="仿宋" w:hAnsi="仿宋" w:eastAsia="仿宋" w:cs="仿宋"/>
          <w:color w:val="auto"/>
          <w:highlight w:val="none"/>
        </w:rPr>
        <w:t>3. 投标文件</w:t>
      </w:r>
      <w:bookmarkEnd w:id="115"/>
      <w:bookmarkEnd w:id="116"/>
      <w:bookmarkEnd w:id="117"/>
      <w:bookmarkEnd w:id="118"/>
      <w:bookmarkEnd w:id="130"/>
      <w:bookmarkEnd w:id="131"/>
    </w:p>
    <w:p w14:paraId="4AA12EB1">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132" w:name="_Toc25222"/>
      <w:bookmarkStart w:id="133" w:name="_Toc291089200"/>
      <w:bookmarkStart w:id="134" w:name="_Toc247639857"/>
      <w:bookmarkStart w:id="135" w:name="_Toc30729"/>
      <w:r>
        <w:rPr>
          <w:rFonts w:hint="eastAsia" w:ascii="仿宋" w:hAnsi="仿宋" w:eastAsia="仿宋" w:cs="仿宋"/>
          <w:b/>
          <w:color w:val="auto"/>
          <w:sz w:val="21"/>
          <w:szCs w:val="21"/>
          <w:highlight w:val="none"/>
        </w:rPr>
        <w:t>3.1 投标文件的组成</w:t>
      </w:r>
      <w:bookmarkEnd w:id="132"/>
      <w:bookmarkEnd w:id="133"/>
      <w:bookmarkEnd w:id="134"/>
      <w:bookmarkEnd w:id="135"/>
    </w:p>
    <w:p w14:paraId="11EDAF74">
      <w:pPr>
        <w:keepNext w:val="0"/>
        <w:keepLines w:val="0"/>
        <w:pageBreakBefore w:val="0"/>
        <w:kinsoku/>
        <w:overflowPunct/>
        <w:bidi w:val="0"/>
        <w:adjustRightInd w:val="0"/>
        <w:snapToGrid w:val="0"/>
        <w:spacing w:line="360" w:lineRule="auto"/>
        <w:ind w:firstLine="420" w:firstLineChars="200"/>
        <w:outlineLvl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3.1.1 投标文件应包括下列内容：</w:t>
      </w:r>
    </w:p>
    <w:p w14:paraId="31580EA6">
      <w:pPr>
        <w:keepNext w:val="0"/>
        <w:keepLines w:val="0"/>
        <w:pageBreakBefore w:val="0"/>
        <w:kinsoku/>
        <w:overflowPunct/>
        <w:bidi w:val="0"/>
        <w:adjustRightInd w:val="0"/>
        <w:snapToGrid w:val="0"/>
        <w:spacing w:line="360" w:lineRule="auto"/>
        <w:ind w:firstLine="420" w:firstLineChars="200"/>
        <w:outlineLvl w:val="2"/>
        <w:rPr>
          <w:rFonts w:hint="eastAsia" w:ascii="仿宋" w:hAnsi="仿宋" w:eastAsia="仿宋" w:cs="仿宋"/>
          <w:color w:val="auto"/>
          <w:sz w:val="21"/>
          <w:szCs w:val="21"/>
          <w:highlight w:val="none"/>
        </w:rPr>
      </w:pPr>
      <w:bookmarkStart w:id="136" w:name="_Toc4284"/>
      <w:bookmarkStart w:id="137" w:name="_Toc247639858"/>
      <w:bookmarkStart w:id="138" w:name="_Toc12644"/>
      <w:bookmarkStart w:id="139" w:name="_Toc291089201"/>
      <w:r>
        <w:rPr>
          <w:rFonts w:hint="eastAsia" w:ascii="仿宋" w:hAnsi="仿宋" w:eastAsia="仿宋" w:cs="仿宋"/>
          <w:color w:val="auto"/>
          <w:sz w:val="21"/>
          <w:szCs w:val="21"/>
          <w:highlight w:val="none"/>
        </w:rPr>
        <w:t>一、投标函</w:t>
      </w:r>
    </w:p>
    <w:p w14:paraId="62611ADF">
      <w:pPr>
        <w:keepNext w:val="0"/>
        <w:keepLines w:val="0"/>
        <w:pageBreakBefore w:val="0"/>
        <w:kinsoku/>
        <w:overflowPunct/>
        <w:bidi w:val="0"/>
        <w:adjustRightInd w:val="0"/>
        <w:snapToGrid w:val="0"/>
        <w:spacing w:line="360" w:lineRule="auto"/>
        <w:ind w:firstLine="420" w:firstLineChars="200"/>
        <w:outlineLvl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二、开标一览表</w:t>
      </w:r>
    </w:p>
    <w:p w14:paraId="24A69D35">
      <w:pPr>
        <w:keepNext w:val="0"/>
        <w:keepLines w:val="0"/>
        <w:pageBreakBefore w:val="0"/>
        <w:kinsoku/>
        <w:overflowPunct/>
        <w:bidi w:val="0"/>
        <w:adjustRightInd w:val="0"/>
        <w:snapToGrid w:val="0"/>
        <w:spacing w:line="360" w:lineRule="auto"/>
        <w:ind w:firstLine="420" w:firstLineChars="200"/>
        <w:outlineLvl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三、法定代表人身份证明</w:t>
      </w:r>
    </w:p>
    <w:p w14:paraId="1FAB7B4E">
      <w:pPr>
        <w:keepNext w:val="0"/>
        <w:keepLines w:val="0"/>
        <w:pageBreakBefore w:val="0"/>
        <w:kinsoku/>
        <w:overflowPunct/>
        <w:bidi w:val="0"/>
        <w:adjustRightInd w:val="0"/>
        <w:snapToGrid w:val="0"/>
        <w:spacing w:line="360" w:lineRule="auto"/>
        <w:ind w:firstLine="420" w:firstLineChars="200"/>
        <w:outlineLvl w:val="2"/>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四、授权委托书</w:t>
      </w:r>
    </w:p>
    <w:p w14:paraId="1B52536F">
      <w:pPr>
        <w:keepNext w:val="0"/>
        <w:keepLines w:val="0"/>
        <w:pageBreakBefore w:val="0"/>
        <w:kinsoku/>
        <w:overflowPunct/>
        <w:bidi w:val="0"/>
        <w:adjustRightInd w:val="0"/>
        <w:snapToGrid w:val="0"/>
        <w:spacing w:line="360" w:lineRule="auto"/>
        <w:ind w:firstLine="420" w:firstLineChars="200"/>
        <w:outlineLvl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五</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rPr>
        <w:t>资格审查资料</w:t>
      </w:r>
    </w:p>
    <w:p w14:paraId="74483A71">
      <w:pPr>
        <w:keepNext w:val="0"/>
        <w:keepLines w:val="0"/>
        <w:pageBreakBefore w:val="0"/>
        <w:kinsoku/>
        <w:overflowPunct/>
        <w:bidi w:val="0"/>
        <w:adjustRightInd w:val="0"/>
        <w:snapToGrid w:val="0"/>
        <w:spacing w:line="360" w:lineRule="auto"/>
        <w:ind w:firstLine="420" w:firstLineChars="200"/>
        <w:outlineLvl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六</w:t>
      </w: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rPr>
        <w:t>项目管理机构</w:t>
      </w:r>
    </w:p>
    <w:p w14:paraId="307FD191">
      <w:pPr>
        <w:keepNext w:val="0"/>
        <w:keepLines w:val="0"/>
        <w:pageBreakBefore w:val="0"/>
        <w:kinsoku/>
        <w:overflowPunct/>
        <w:bidi w:val="0"/>
        <w:adjustRightInd w:val="0"/>
        <w:snapToGrid w:val="0"/>
        <w:spacing w:line="360" w:lineRule="auto"/>
        <w:ind w:firstLine="420" w:firstLineChars="200"/>
        <w:outlineLvl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七</w:t>
      </w:r>
      <w:r>
        <w:rPr>
          <w:rFonts w:hint="eastAsia" w:ascii="仿宋" w:hAnsi="仿宋" w:eastAsia="仿宋" w:cs="仿宋"/>
          <w:color w:val="auto"/>
          <w:sz w:val="21"/>
          <w:szCs w:val="21"/>
          <w:highlight w:val="none"/>
        </w:rPr>
        <w:t>、技术部分</w:t>
      </w:r>
    </w:p>
    <w:p w14:paraId="6F388190">
      <w:pPr>
        <w:keepNext w:val="0"/>
        <w:keepLines w:val="0"/>
        <w:pageBreakBefore w:val="0"/>
        <w:kinsoku/>
        <w:overflowPunct/>
        <w:bidi w:val="0"/>
        <w:adjustRightInd w:val="0"/>
        <w:snapToGrid w:val="0"/>
        <w:spacing w:line="360" w:lineRule="auto"/>
        <w:ind w:firstLine="420" w:firstLineChars="200"/>
        <w:outlineLvl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八</w:t>
      </w:r>
      <w:r>
        <w:rPr>
          <w:rFonts w:hint="eastAsia" w:ascii="仿宋" w:hAnsi="仿宋" w:eastAsia="仿宋" w:cs="仿宋"/>
          <w:color w:val="auto"/>
          <w:sz w:val="21"/>
          <w:szCs w:val="21"/>
          <w:highlight w:val="none"/>
        </w:rPr>
        <w:t>、其他材料</w:t>
      </w:r>
    </w:p>
    <w:p w14:paraId="4F775EBC">
      <w:pPr>
        <w:keepNext w:val="0"/>
        <w:keepLines w:val="0"/>
        <w:pageBreakBefore w:val="0"/>
        <w:kinsoku/>
        <w:overflowPunct/>
        <w:bidi w:val="0"/>
        <w:adjustRightInd w:val="0"/>
        <w:snapToGrid w:val="0"/>
        <w:spacing w:line="360" w:lineRule="auto"/>
        <w:outlineLvl w:val="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3.2 投标报价</w:t>
      </w:r>
      <w:bookmarkEnd w:id="136"/>
      <w:bookmarkEnd w:id="137"/>
      <w:bookmarkEnd w:id="138"/>
      <w:bookmarkEnd w:id="139"/>
    </w:p>
    <w:p w14:paraId="021991CD">
      <w:pPr>
        <w:keepNext w:val="0"/>
        <w:keepLines w:val="0"/>
        <w:pageBreakBefore w:val="0"/>
        <w:kinsoku/>
        <w:overflowPunct/>
        <w:bidi w:val="0"/>
        <w:adjustRightInd w:val="0"/>
        <w:snapToGrid w:val="0"/>
        <w:spacing w:line="360" w:lineRule="auto"/>
        <w:ind w:firstLine="420" w:firstLineChars="200"/>
        <w:outlineLvl w:val="2"/>
        <w:rPr>
          <w:rFonts w:hint="eastAsia" w:ascii="仿宋" w:hAnsi="仿宋" w:eastAsia="仿宋" w:cs="仿宋"/>
          <w:color w:val="auto"/>
          <w:sz w:val="21"/>
          <w:szCs w:val="21"/>
          <w:highlight w:val="none"/>
        </w:rPr>
      </w:pPr>
      <w:bookmarkStart w:id="140" w:name="_Toc947"/>
      <w:bookmarkStart w:id="141" w:name="_Toc247639859"/>
      <w:bookmarkStart w:id="142" w:name="_Toc291089202"/>
      <w:r>
        <w:rPr>
          <w:rFonts w:hint="eastAsia" w:ascii="仿宋" w:hAnsi="仿宋" w:eastAsia="仿宋" w:cs="仿宋"/>
          <w:color w:val="auto"/>
          <w:sz w:val="21"/>
          <w:szCs w:val="21"/>
          <w:highlight w:val="none"/>
        </w:rPr>
        <w:t>3.2.1 供应商应按第六章“投标文件格式”的要求填写投标报价。</w:t>
      </w:r>
    </w:p>
    <w:p w14:paraId="70D438FB">
      <w:pPr>
        <w:keepNext w:val="0"/>
        <w:keepLines w:val="0"/>
        <w:pageBreakBefore w:val="0"/>
        <w:kinsoku/>
        <w:overflowPunct/>
        <w:bidi w:val="0"/>
        <w:adjustRightInd w:val="0"/>
        <w:snapToGrid w:val="0"/>
        <w:spacing w:line="360" w:lineRule="auto"/>
        <w:ind w:firstLine="420" w:firstLineChars="200"/>
        <w:outlineLvl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3.2.2 供应商应充分了解已施工现状以及影响投标报价的其他要素。供应商根据采购人的项目需求等，结合市场情况进行投标报价。</w:t>
      </w:r>
    </w:p>
    <w:p w14:paraId="152BDA3C">
      <w:pPr>
        <w:keepNext w:val="0"/>
        <w:keepLines w:val="0"/>
        <w:pageBreakBefore w:val="0"/>
        <w:kinsoku/>
        <w:overflowPunct/>
        <w:bidi w:val="0"/>
        <w:adjustRightInd w:val="0"/>
        <w:snapToGrid w:val="0"/>
        <w:spacing w:line="360" w:lineRule="auto"/>
        <w:ind w:firstLine="420" w:firstLineChars="200"/>
        <w:outlineLvl w:val="2"/>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rPr>
        <w:t>.2.3 投标各项报价应包含招标文件中列明的项目全生命周期内的投融资、运营等费用，除非有特别声明，未列明的将视为包含在报价中。</w:t>
      </w:r>
    </w:p>
    <w:p w14:paraId="06E66841">
      <w:pPr>
        <w:keepNext w:val="0"/>
        <w:keepLines w:val="0"/>
        <w:pageBreakBefore w:val="0"/>
        <w:kinsoku/>
        <w:overflowPunct/>
        <w:bidi w:val="0"/>
        <w:adjustRightInd w:val="0"/>
        <w:snapToGrid w:val="0"/>
        <w:spacing w:line="360" w:lineRule="auto"/>
        <w:ind w:firstLine="420" w:firstLineChars="200"/>
        <w:outlineLvl w:val="2"/>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3.2.4 供应商必须保证投标文件所提供的全部资料真实可靠，并接受评标委员会对其中任何资料进一步审查的要求，采购人保留对中标候选人所有投标资料的真实性进行核实（包括进行实地考察）的权利。</w:t>
      </w:r>
    </w:p>
    <w:p w14:paraId="296F53A6">
      <w:pPr>
        <w:keepNext w:val="0"/>
        <w:keepLines w:val="0"/>
        <w:pageBreakBefore w:val="0"/>
        <w:kinsoku/>
        <w:overflowPunct/>
        <w:bidi w:val="0"/>
        <w:adjustRightInd w:val="0"/>
        <w:snapToGrid w:val="0"/>
        <w:spacing w:line="360" w:lineRule="auto"/>
        <w:ind w:firstLine="420" w:firstLineChars="200"/>
        <w:outlineLvl w:val="2"/>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3.2.5 本次招标不接受选择性报价或者有附加条件的报价。</w:t>
      </w:r>
    </w:p>
    <w:p w14:paraId="01E382CC">
      <w:pPr>
        <w:keepNext w:val="0"/>
        <w:keepLines w:val="0"/>
        <w:pageBreakBefore w:val="0"/>
        <w:kinsoku/>
        <w:overflowPunct/>
        <w:bidi w:val="0"/>
        <w:adjustRightInd w:val="0"/>
        <w:snapToGrid w:val="0"/>
        <w:spacing w:line="360" w:lineRule="auto"/>
        <w:outlineLvl w:val="2"/>
        <w:rPr>
          <w:rFonts w:hint="eastAsia" w:ascii="仿宋" w:hAnsi="仿宋" w:eastAsia="仿宋" w:cs="仿宋"/>
          <w:b/>
          <w:color w:val="auto"/>
          <w:sz w:val="21"/>
          <w:szCs w:val="21"/>
          <w:highlight w:val="none"/>
        </w:rPr>
      </w:pPr>
      <w:bookmarkStart w:id="143" w:name="_Toc5733"/>
      <w:r>
        <w:rPr>
          <w:rFonts w:hint="eastAsia" w:ascii="仿宋" w:hAnsi="仿宋" w:eastAsia="仿宋" w:cs="仿宋"/>
          <w:b/>
          <w:color w:val="auto"/>
          <w:sz w:val="21"/>
          <w:szCs w:val="21"/>
          <w:highlight w:val="none"/>
        </w:rPr>
        <w:t>3.3 投标有效期</w:t>
      </w:r>
      <w:bookmarkEnd w:id="140"/>
      <w:bookmarkEnd w:id="141"/>
      <w:bookmarkEnd w:id="142"/>
      <w:bookmarkEnd w:id="143"/>
    </w:p>
    <w:p w14:paraId="6EA66577">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 在供应商须知前附表规定的投标有效期内，供应商不得要求撤销或修改其投标文件。</w:t>
      </w:r>
    </w:p>
    <w:p w14:paraId="4210838F">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3.3.2 出现特殊情况需要延长投标有效期的，采购人以书面形式通知所有供应商延长投标有效期。供应商同意延长的，但不得要求或被允许修改或撤销其投标文件；供应商拒绝延长的，其投标失效。</w:t>
      </w:r>
      <w:bookmarkStart w:id="144" w:name="_Toc291089203"/>
      <w:bookmarkStart w:id="145" w:name="_Toc247639860"/>
    </w:p>
    <w:p w14:paraId="266BD841">
      <w:pPr>
        <w:keepNext w:val="0"/>
        <w:keepLines w:val="0"/>
        <w:pageBreakBefore w:val="0"/>
        <w:kinsoku/>
        <w:overflowPunct/>
        <w:bidi w:val="0"/>
        <w:adjustRightInd w:val="0"/>
        <w:snapToGrid w:val="0"/>
        <w:spacing w:line="360" w:lineRule="auto"/>
        <w:outlineLvl w:val="2"/>
        <w:rPr>
          <w:rFonts w:hint="eastAsia" w:ascii="仿宋" w:hAnsi="仿宋" w:eastAsia="仿宋" w:cs="仿宋"/>
          <w:b/>
          <w:color w:val="auto"/>
          <w:sz w:val="21"/>
          <w:szCs w:val="21"/>
          <w:highlight w:val="none"/>
        </w:rPr>
      </w:pPr>
      <w:bookmarkStart w:id="146" w:name="_Toc17158"/>
      <w:r>
        <w:rPr>
          <w:rFonts w:hint="eastAsia" w:ascii="仿宋" w:hAnsi="仿宋" w:eastAsia="仿宋" w:cs="仿宋"/>
          <w:b/>
          <w:color w:val="auto"/>
          <w:sz w:val="21"/>
          <w:szCs w:val="21"/>
          <w:highlight w:val="none"/>
        </w:rPr>
        <w:t>3.4 投标保证金</w:t>
      </w:r>
      <w:bookmarkEnd w:id="144"/>
      <w:bookmarkEnd w:id="145"/>
      <w:bookmarkEnd w:id="146"/>
      <w:bookmarkStart w:id="147" w:name="_Toc291089205"/>
      <w:bookmarkStart w:id="148" w:name="_Toc247639862"/>
    </w:p>
    <w:p w14:paraId="6CDABDCB">
      <w:pPr>
        <w:keepNext w:val="0"/>
        <w:keepLines w:val="0"/>
        <w:pageBreakBefore w:val="0"/>
        <w:kinsoku/>
        <w:overflowPunct/>
        <w:bidi w:val="0"/>
        <w:adjustRightInd w:val="0"/>
        <w:snapToGrid w:val="0"/>
        <w:spacing w:line="360" w:lineRule="auto"/>
        <w:ind w:firstLine="420" w:firstLineChars="200"/>
        <w:outlineLvl w:val="2"/>
        <w:rPr>
          <w:rFonts w:hint="eastAsia" w:ascii="仿宋" w:hAnsi="仿宋" w:eastAsia="仿宋" w:cs="仿宋"/>
          <w:color w:val="auto"/>
          <w:sz w:val="21"/>
          <w:szCs w:val="21"/>
          <w:highlight w:val="none"/>
          <w:lang w:val="en-US"/>
        </w:rPr>
      </w:pPr>
      <w:bookmarkStart w:id="149" w:name="_Toc30951"/>
      <w:bookmarkStart w:id="150" w:name="_Toc22601"/>
      <w:r>
        <w:rPr>
          <w:rFonts w:hint="eastAsia" w:ascii="仿宋" w:hAnsi="仿宋" w:eastAsia="仿宋" w:cs="仿宋"/>
          <w:color w:val="auto"/>
          <w:sz w:val="21"/>
          <w:szCs w:val="21"/>
          <w:highlight w:val="none"/>
          <w:lang w:val="en-US"/>
        </w:rPr>
        <w:t>无</w:t>
      </w:r>
    </w:p>
    <w:p w14:paraId="465B10DC">
      <w:pPr>
        <w:keepNext w:val="0"/>
        <w:keepLines w:val="0"/>
        <w:pageBreakBefore w:val="0"/>
        <w:kinsoku/>
        <w:overflowPunct/>
        <w:bidi w:val="0"/>
        <w:adjustRightInd w:val="0"/>
        <w:snapToGrid w:val="0"/>
        <w:spacing w:line="360" w:lineRule="auto"/>
        <w:outlineLvl w:val="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3.5资格审查资料</w:t>
      </w:r>
      <w:bookmarkEnd w:id="149"/>
      <w:bookmarkEnd w:id="150"/>
      <w:r>
        <w:rPr>
          <w:rFonts w:hint="eastAsia" w:ascii="仿宋" w:hAnsi="仿宋" w:eastAsia="仿宋" w:cs="仿宋"/>
          <w:b/>
          <w:color w:val="auto"/>
          <w:sz w:val="21"/>
          <w:szCs w:val="21"/>
          <w:highlight w:val="none"/>
        </w:rPr>
        <w:t xml:space="preserve"> </w:t>
      </w:r>
    </w:p>
    <w:p w14:paraId="7C1A0C34">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3.5.1 “供应商基本情况表”应</w:t>
      </w:r>
      <w:r>
        <w:rPr>
          <w:rFonts w:hint="eastAsia" w:ascii="仿宋" w:hAnsi="仿宋" w:eastAsia="仿宋" w:cs="仿宋"/>
          <w:color w:val="auto"/>
          <w:sz w:val="21"/>
          <w:szCs w:val="21"/>
          <w:highlight w:val="none"/>
        </w:rPr>
        <w:t>附营业执照等材料</w:t>
      </w:r>
      <w:r>
        <w:rPr>
          <w:rFonts w:hint="eastAsia" w:ascii="仿宋" w:hAnsi="仿宋" w:eastAsia="仿宋" w:cs="仿宋"/>
          <w:color w:val="auto"/>
          <w:sz w:val="21"/>
          <w:szCs w:val="21"/>
          <w:highlight w:val="none"/>
          <w:lang w:val="en-US"/>
        </w:rPr>
        <w:t xml:space="preserve">。 </w:t>
      </w:r>
    </w:p>
    <w:p w14:paraId="68957288">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3.5.2 “财务状况”应附经会计师事务所或审计机构审计的财务审计报告，包括资产负债表、现金流量表和利润表，具体年份要求见供应商须知前附表。</w:t>
      </w:r>
    </w:p>
    <w:p w14:paraId="79B65D7A">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 xml:space="preserve">3.5.3 “近年投融资业绩情况表”应附相关证明材料。  </w:t>
      </w:r>
    </w:p>
    <w:p w14:paraId="6FE88C4E">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151" w:name="_Toc30697"/>
      <w:bookmarkStart w:id="152" w:name="_Toc25605"/>
      <w:r>
        <w:rPr>
          <w:rFonts w:hint="eastAsia" w:ascii="仿宋" w:hAnsi="仿宋" w:eastAsia="仿宋" w:cs="仿宋"/>
          <w:b/>
          <w:color w:val="auto"/>
          <w:sz w:val="21"/>
          <w:szCs w:val="21"/>
          <w:highlight w:val="none"/>
        </w:rPr>
        <w:t>3.6 备选投标方案</w:t>
      </w:r>
      <w:bookmarkEnd w:id="147"/>
      <w:bookmarkEnd w:id="148"/>
      <w:bookmarkEnd w:id="151"/>
      <w:bookmarkEnd w:id="152"/>
    </w:p>
    <w:p w14:paraId="214A7240">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供应商须知前附表另有规定外，供应商不得递交备选投标方案。允许供应商递交备选投标方案的，只有成交人所递交的备选投标方案方可予以考虑。评标委员会认为成交人的备选投标方案优于其按照招标文件要求编制的投标方案的，采购人可以接受该备选投标方案。</w:t>
      </w:r>
    </w:p>
    <w:p w14:paraId="317FA14A">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153" w:name="_Toc23848"/>
      <w:bookmarkStart w:id="154" w:name="_Toc291089206"/>
      <w:bookmarkStart w:id="155" w:name="_Toc247639863"/>
      <w:bookmarkStart w:id="156" w:name="_Toc11916"/>
      <w:r>
        <w:rPr>
          <w:rFonts w:hint="eastAsia" w:ascii="仿宋" w:hAnsi="仿宋" w:eastAsia="仿宋" w:cs="仿宋"/>
          <w:b/>
          <w:color w:val="auto"/>
          <w:sz w:val="21"/>
          <w:szCs w:val="21"/>
          <w:highlight w:val="none"/>
        </w:rPr>
        <w:t>3.7 投标文件的编制</w:t>
      </w:r>
      <w:bookmarkEnd w:id="153"/>
      <w:bookmarkEnd w:id="154"/>
      <w:bookmarkEnd w:id="155"/>
      <w:bookmarkEnd w:id="156"/>
    </w:p>
    <w:p w14:paraId="4B625E7B">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3.7.1投标文件应按第六章“投标文件格式”进行编写，如有必要，可以增加附页，作为投标文件的组成部分。其中，投标函附录在满足招标文件实质性要求的基础上，可以提出比招标文件要求更有利于采购人的承诺。</w:t>
      </w:r>
    </w:p>
    <w:p w14:paraId="7010174C">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3.7.2投标文件应对招标文件有关合作期限、投标有效期、质量要求、</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lang w:val="en-US"/>
        </w:rPr>
        <w:t>范围等实质性内容作出响应。</w:t>
      </w:r>
    </w:p>
    <w:p w14:paraId="2549712A">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3.7.3电子投标文件应由供应商的法定代表人电子签名、单位电子签章。签字或盖章的具体要求见供应商须知前附表。</w:t>
      </w:r>
    </w:p>
    <w:p w14:paraId="2AC6E0A4">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3.7.4电子投标文件、以最后上传系统的电子投标文件为准。</w:t>
      </w:r>
    </w:p>
    <w:p w14:paraId="5813ABCE">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3.7.5因供应商自身原因而导致投标文件无法导入“电子交易平台”电子开标、评标系统，该投标视为无效投标，供应商自行承担由此导致的全部责任。</w:t>
      </w:r>
    </w:p>
    <w:p w14:paraId="725AA207">
      <w:pPr>
        <w:keepNext w:val="0"/>
        <w:keepLines w:val="0"/>
        <w:pageBreakBefore w:val="0"/>
        <w:kinsoku/>
        <w:overflowPunct/>
        <w:bidi w:val="0"/>
        <w:adjustRightInd w:val="0"/>
        <w:snapToGrid w:val="0"/>
        <w:spacing w:line="360" w:lineRule="auto"/>
        <w:outlineLvl w:val="1"/>
        <w:rPr>
          <w:rFonts w:hint="eastAsia" w:ascii="仿宋" w:hAnsi="仿宋" w:eastAsia="仿宋" w:cs="仿宋"/>
          <w:b/>
          <w:color w:val="auto"/>
          <w:szCs w:val="28"/>
          <w:highlight w:val="none"/>
        </w:rPr>
      </w:pPr>
      <w:bookmarkStart w:id="157" w:name="_Toc291089207"/>
      <w:bookmarkStart w:id="158" w:name="_Toc6016"/>
      <w:bookmarkStart w:id="159" w:name="_Toc247639864"/>
      <w:bookmarkStart w:id="160" w:name="_Toc31240"/>
      <w:bookmarkStart w:id="161" w:name="_Toc10064"/>
      <w:r>
        <w:rPr>
          <w:rFonts w:hint="eastAsia" w:ascii="仿宋" w:hAnsi="仿宋" w:eastAsia="仿宋" w:cs="仿宋"/>
          <w:b/>
          <w:color w:val="auto"/>
          <w:szCs w:val="28"/>
          <w:highlight w:val="none"/>
        </w:rPr>
        <w:t>4. 投标</w:t>
      </w:r>
      <w:bookmarkEnd w:id="157"/>
      <w:bookmarkEnd w:id="158"/>
      <w:bookmarkEnd w:id="159"/>
      <w:bookmarkEnd w:id="160"/>
      <w:bookmarkEnd w:id="161"/>
    </w:p>
    <w:p w14:paraId="7663E76D">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162" w:name="_Toc291089209"/>
      <w:bookmarkStart w:id="163" w:name="_Toc10042"/>
      <w:bookmarkStart w:id="164" w:name="_Toc9024"/>
      <w:bookmarkStart w:id="165" w:name="_Toc247639866"/>
      <w:r>
        <w:rPr>
          <w:rFonts w:hint="eastAsia" w:ascii="仿宋" w:hAnsi="仿宋" w:eastAsia="仿宋" w:cs="仿宋"/>
          <w:b/>
          <w:color w:val="auto"/>
          <w:sz w:val="21"/>
          <w:szCs w:val="21"/>
          <w:highlight w:val="none"/>
        </w:rPr>
        <w:t>4.</w:t>
      </w:r>
      <w:r>
        <w:rPr>
          <w:rFonts w:hint="eastAsia" w:ascii="仿宋" w:hAnsi="仿宋" w:eastAsia="仿宋" w:cs="仿宋"/>
          <w:b/>
          <w:color w:val="auto"/>
          <w:sz w:val="21"/>
          <w:szCs w:val="21"/>
          <w:highlight w:val="none"/>
          <w:lang w:val="en-US"/>
        </w:rPr>
        <w:t>1</w:t>
      </w:r>
      <w:r>
        <w:rPr>
          <w:rFonts w:hint="eastAsia" w:ascii="仿宋" w:hAnsi="仿宋" w:eastAsia="仿宋" w:cs="仿宋"/>
          <w:b/>
          <w:color w:val="auto"/>
          <w:sz w:val="21"/>
          <w:szCs w:val="21"/>
          <w:highlight w:val="none"/>
        </w:rPr>
        <w:t xml:space="preserve"> 投标文件的递交</w:t>
      </w:r>
      <w:bookmarkEnd w:id="162"/>
      <w:bookmarkEnd w:id="163"/>
      <w:bookmarkEnd w:id="164"/>
      <w:bookmarkEnd w:id="165"/>
    </w:p>
    <w:p w14:paraId="5A6648A4">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4.1</w:t>
      </w:r>
      <w:r>
        <w:rPr>
          <w:rFonts w:hint="eastAsia" w:ascii="仿宋" w:hAnsi="仿宋" w:eastAsia="仿宋" w:cs="仿宋"/>
          <w:color w:val="auto"/>
          <w:sz w:val="21"/>
          <w:szCs w:val="21"/>
          <w:highlight w:val="none"/>
        </w:rPr>
        <w:t>投标文件的密封和标识</w:t>
      </w:r>
    </w:p>
    <w:p w14:paraId="1306C04F">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投标文件应按照本章要求制作并加密，未按要求加密的投标文件，采购人（“电子交易平台”）将拒绝接收。</w:t>
      </w:r>
    </w:p>
    <w:p w14:paraId="3EA294AD">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bookmarkStart w:id="166" w:name="_bookmark58"/>
      <w:bookmarkEnd w:id="166"/>
      <w:r>
        <w:rPr>
          <w:rFonts w:hint="eastAsia" w:ascii="仿宋" w:hAnsi="仿宋" w:eastAsia="仿宋" w:cs="仿宋"/>
          <w:color w:val="auto"/>
          <w:sz w:val="21"/>
          <w:szCs w:val="21"/>
          <w:highlight w:val="none"/>
        </w:rPr>
        <w:t>4.2投标文件的递交</w:t>
      </w:r>
    </w:p>
    <w:p w14:paraId="22EF6E4F">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4.2.1 供应商应在规定的投标截止时间前递交投标文件。</w:t>
      </w:r>
    </w:p>
    <w:p w14:paraId="1B283842">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4.2.2 供应商递交投标文件的地点：见招标文件。</w:t>
      </w:r>
    </w:p>
    <w:p w14:paraId="04E7898F">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4.2.3 除供应商须知前附表另有规定外，供应商所递交的投标文件不予退还。供应商少于3个的，投标文件当场退还给供应商。</w:t>
      </w:r>
    </w:p>
    <w:p w14:paraId="71E55595">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4.2.4 逾期送达的或未送达指定地点的投标文件，采购人将予以拒收。</w:t>
      </w:r>
    </w:p>
    <w:p w14:paraId="5FC80A13">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4.2.5 电子投标文件应在招标文件规定的投标截止时间前到达交易系统。逾期到达交易系统的电子投标文件视为放弃本次投标。</w:t>
      </w:r>
    </w:p>
    <w:p w14:paraId="422DE84A">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bookmarkStart w:id="167" w:name="_bookmark59"/>
      <w:bookmarkEnd w:id="167"/>
      <w:r>
        <w:rPr>
          <w:rFonts w:hint="eastAsia" w:ascii="仿宋" w:hAnsi="仿宋" w:eastAsia="仿宋" w:cs="仿宋"/>
          <w:color w:val="auto"/>
          <w:sz w:val="21"/>
          <w:szCs w:val="21"/>
          <w:highlight w:val="none"/>
        </w:rPr>
        <w:t>4.3投标文件的修改与撤回</w:t>
      </w:r>
    </w:p>
    <w:p w14:paraId="5301B05A">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4.3.1 在本章规定的投标截止时间前，供应商可以修改或撤回已递交的投标文件。供应商对加密的投标文件进行撤回的，应在“电子交易平台”直接进行撤回操作；供应商对加密的投标文件进行修改的，应在投标截止时间前完成上传。</w:t>
      </w:r>
    </w:p>
    <w:p w14:paraId="23782DDA">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4.3.2 供应商修改投标文件的，应使用“投标文件制作工具”制作成完整的投标文件，并按照规定进行编制、加密和递交。对采用网上递交的加密的投标文件，以投标截止时间前最后完成上传的文件为准。</w:t>
      </w:r>
    </w:p>
    <w:p w14:paraId="09E84872">
      <w:pPr>
        <w:pStyle w:val="5"/>
        <w:keepNext w:val="0"/>
        <w:keepLines w:val="0"/>
        <w:pageBreakBefore w:val="0"/>
        <w:kinsoku/>
        <w:overflowPunct/>
        <w:bidi w:val="0"/>
        <w:adjustRightInd w:val="0"/>
        <w:snapToGrid w:val="0"/>
        <w:spacing w:before="0" w:line="360" w:lineRule="auto"/>
        <w:ind w:left="0"/>
        <w:jc w:val="left"/>
        <w:rPr>
          <w:rFonts w:hint="eastAsia" w:ascii="仿宋" w:hAnsi="仿宋" w:eastAsia="仿宋" w:cs="仿宋"/>
          <w:color w:val="auto"/>
          <w:highlight w:val="none"/>
        </w:rPr>
      </w:pPr>
      <w:bookmarkStart w:id="168" w:name="_Toc24744"/>
      <w:bookmarkStart w:id="169" w:name="_Toc291089211"/>
      <w:bookmarkStart w:id="170" w:name="_Toc247639868"/>
      <w:bookmarkStart w:id="171" w:name="_Toc18461"/>
      <w:bookmarkStart w:id="172" w:name="_Toc4118"/>
      <w:bookmarkStart w:id="173" w:name="_Toc2710"/>
      <w:r>
        <w:rPr>
          <w:rFonts w:hint="eastAsia" w:ascii="仿宋" w:hAnsi="仿宋" w:eastAsia="仿宋" w:cs="仿宋"/>
          <w:color w:val="auto"/>
          <w:highlight w:val="none"/>
        </w:rPr>
        <w:t>5. 开标</w:t>
      </w:r>
      <w:bookmarkEnd w:id="168"/>
      <w:bookmarkEnd w:id="169"/>
      <w:bookmarkEnd w:id="170"/>
      <w:bookmarkEnd w:id="171"/>
      <w:bookmarkEnd w:id="172"/>
      <w:bookmarkEnd w:id="173"/>
    </w:p>
    <w:p w14:paraId="706CD291">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lang w:val="en-US"/>
        </w:rPr>
      </w:pPr>
      <w:r>
        <w:rPr>
          <w:rFonts w:hint="eastAsia" w:ascii="仿宋" w:hAnsi="仿宋" w:eastAsia="仿宋" w:cs="仿宋"/>
          <w:bCs/>
          <w:color w:val="auto"/>
          <w:sz w:val="21"/>
          <w:szCs w:val="21"/>
          <w:highlight w:val="none"/>
          <w:lang w:val="en-US"/>
        </w:rPr>
        <w:t>详见供应商须知前附表。</w:t>
      </w:r>
    </w:p>
    <w:p w14:paraId="18BEE699">
      <w:pPr>
        <w:keepNext w:val="0"/>
        <w:keepLines w:val="0"/>
        <w:pageBreakBefore w:val="0"/>
        <w:kinsoku/>
        <w:overflowPunct/>
        <w:bidi w:val="0"/>
        <w:adjustRightInd w:val="0"/>
        <w:snapToGrid w:val="0"/>
        <w:spacing w:line="360" w:lineRule="auto"/>
        <w:outlineLvl w:val="1"/>
        <w:rPr>
          <w:rFonts w:hint="eastAsia" w:ascii="仿宋" w:hAnsi="仿宋" w:eastAsia="仿宋" w:cs="仿宋"/>
          <w:b/>
          <w:color w:val="auto"/>
          <w:szCs w:val="28"/>
          <w:highlight w:val="none"/>
        </w:rPr>
      </w:pPr>
      <w:bookmarkStart w:id="174" w:name="_Toc291089214"/>
      <w:bookmarkStart w:id="175" w:name="_Toc1457"/>
      <w:bookmarkStart w:id="176" w:name="_Toc247639871"/>
      <w:bookmarkStart w:id="177" w:name="_Toc3369"/>
      <w:bookmarkStart w:id="178" w:name="_Toc22701"/>
      <w:r>
        <w:rPr>
          <w:rFonts w:hint="eastAsia" w:ascii="仿宋" w:hAnsi="仿宋" w:eastAsia="仿宋" w:cs="仿宋"/>
          <w:b/>
          <w:color w:val="auto"/>
          <w:szCs w:val="28"/>
          <w:highlight w:val="none"/>
        </w:rPr>
        <w:t>6. 评标</w:t>
      </w:r>
      <w:bookmarkEnd w:id="174"/>
      <w:bookmarkEnd w:id="175"/>
      <w:bookmarkEnd w:id="176"/>
      <w:bookmarkEnd w:id="177"/>
      <w:bookmarkEnd w:id="178"/>
    </w:p>
    <w:p w14:paraId="5CEC354A">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179" w:name="_Toc27071"/>
      <w:bookmarkStart w:id="180" w:name="_Toc247639872"/>
      <w:bookmarkStart w:id="181" w:name="_Toc31237"/>
      <w:bookmarkStart w:id="182" w:name="_Toc291089215"/>
      <w:r>
        <w:rPr>
          <w:rFonts w:hint="eastAsia" w:ascii="仿宋" w:hAnsi="仿宋" w:eastAsia="仿宋" w:cs="仿宋"/>
          <w:b/>
          <w:color w:val="auto"/>
          <w:sz w:val="21"/>
          <w:szCs w:val="21"/>
          <w:highlight w:val="none"/>
        </w:rPr>
        <w:t>6.1 评标委员会</w:t>
      </w:r>
      <w:bookmarkEnd w:id="179"/>
      <w:bookmarkEnd w:id="180"/>
      <w:bookmarkEnd w:id="181"/>
      <w:bookmarkEnd w:id="182"/>
    </w:p>
    <w:p w14:paraId="611BCA91">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6.1.1 评标由采购人依法组建的评标委员会负责。评标委员会由采购人或其委托的采购代理机构熟悉相关业务的代表以及有关技术、经济等方面的专家组成。评标委员会成员人数以及技术、经济等方面专家的确定方式见供应商须知前附表。</w:t>
      </w:r>
    </w:p>
    <w:p w14:paraId="358F45BE">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6.1.2 评标委员会成员有下列情形之一的，应当回避：</w:t>
      </w:r>
    </w:p>
    <w:p w14:paraId="2442166B">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（1）为负责招标项目监督管理的主管部门的工作人员；</w:t>
      </w:r>
    </w:p>
    <w:p w14:paraId="3BE22332">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（2）与供应商法定代表人或其委托代理人有近亲属关系；</w:t>
      </w:r>
    </w:p>
    <w:p w14:paraId="381235ED">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（3）为供应商的工作人员或退休人员；</w:t>
      </w:r>
    </w:p>
    <w:p w14:paraId="7FA99991">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（4）与供应商有其他利害关系，可能影响评标活动公正性；</w:t>
      </w:r>
    </w:p>
    <w:p w14:paraId="46DC6B5F">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（5）在与招标投标有关的活动中有过违法违规行为、曾受过行政处罚或刑事处罚。</w:t>
      </w:r>
    </w:p>
    <w:p w14:paraId="39F4BE9D">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183" w:name="_Toc247639873"/>
      <w:bookmarkStart w:id="184" w:name="_Toc30324"/>
      <w:bookmarkStart w:id="185" w:name="_Toc7658"/>
      <w:bookmarkStart w:id="186" w:name="_Toc291089216"/>
      <w:r>
        <w:rPr>
          <w:rFonts w:hint="eastAsia" w:ascii="仿宋" w:hAnsi="仿宋" w:eastAsia="仿宋" w:cs="仿宋"/>
          <w:b/>
          <w:color w:val="auto"/>
          <w:sz w:val="21"/>
          <w:szCs w:val="21"/>
          <w:highlight w:val="none"/>
        </w:rPr>
        <w:t>6.2 评标原则</w:t>
      </w:r>
      <w:bookmarkEnd w:id="183"/>
      <w:bookmarkEnd w:id="184"/>
      <w:bookmarkEnd w:id="185"/>
      <w:bookmarkEnd w:id="186"/>
    </w:p>
    <w:p w14:paraId="50B3CD69">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评标活动遵循公平、公正、科学和择优的原则。</w:t>
      </w:r>
    </w:p>
    <w:p w14:paraId="50428DD4">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187" w:name="_Toc26705"/>
      <w:bookmarkStart w:id="188" w:name="_Toc247639874"/>
      <w:bookmarkStart w:id="189" w:name="_Toc291089217"/>
      <w:bookmarkStart w:id="190" w:name="_Toc887"/>
      <w:r>
        <w:rPr>
          <w:rFonts w:hint="eastAsia" w:ascii="仿宋" w:hAnsi="仿宋" w:eastAsia="仿宋" w:cs="仿宋"/>
          <w:b/>
          <w:color w:val="auto"/>
          <w:sz w:val="21"/>
          <w:szCs w:val="21"/>
          <w:highlight w:val="none"/>
        </w:rPr>
        <w:t>6.3 评标</w:t>
      </w:r>
      <w:bookmarkEnd w:id="187"/>
      <w:bookmarkEnd w:id="188"/>
      <w:bookmarkEnd w:id="189"/>
      <w:bookmarkEnd w:id="190"/>
    </w:p>
    <w:p w14:paraId="00428571">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评标委员会按照第三章“评标办法”规定的方法、评审因素、标准和程序对投标文件进行评审。第三章“评标办法”没有规定的方法、评审因素和标准，不作为评标依据。</w:t>
      </w:r>
    </w:p>
    <w:p w14:paraId="31CE4CA0">
      <w:pPr>
        <w:pStyle w:val="5"/>
        <w:keepNext w:val="0"/>
        <w:keepLines w:val="0"/>
        <w:pageBreakBefore w:val="0"/>
        <w:kinsoku/>
        <w:overflowPunct/>
        <w:bidi w:val="0"/>
        <w:adjustRightInd w:val="0"/>
        <w:snapToGrid w:val="0"/>
        <w:spacing w:before="0" w:line="360" w:lineRule="auto"/>
        <w:ind w:left="0"/>
        <w:jc w:val="left"/>
        <w:rPr>
          <w:rFonts w:hint="eastAsia" w:ascii="仿宋" w:hAnsi="仿宋" w:eastAsia="仿宋" w:cs="仿宋"/>
          <w:color w:val="auto"/>
          <w:highlight w:val="none"/>
        </w:rPr>
      </w:pPr>
      <w:bookmarkStart w:id="191" w:name="_Toc28617"/>
      <w:bookmarkStart w:id="192" w:name="_Toc291089219"/>
      <w:bookmarkStart w:id="193" w:name="_Toc10859"/>
      <w:bookmarkStart w:id="194" w:name="_Toc247639875"/>
      <w:bookmarkStart w:id="195" w:name="_Toc6730"/>
      <w:bookmarkStart w:id="196" w:name="_Toc27796"/>
      <w:r>
        <w:rPr>
          <w:rFonts w:hint="eastAsia" w:ascii="仿宋" w:hAnsi="仿宋" w:eastAsia="仿宋" w:cs="仿宋"/>
          <w:color w:val="auto"/>
          <w:highlight w:val="none"/>
        </w:rPr>
        <w:t>7. 合同授予</w:t>
      </w:r>
      <w:bookmarkEnd w:id="191"/>
      <w:bookmarkEnd w:id="192"/>
      <w:bookmarkEnd w:id="193"/>
      <w:bookmarkEnd w:id="194"/>
      <w:bookmarkEnd w:id="195"/>
      <w:bookmarkEnd w:id="196"/>
    </w:p>
    <w:p w14:paraId="20C696FC">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197" w:name="_Toc3267"/>
      <w:bookmarkStart w:id="198" w:name="_Toc11479"/>
      <w:bookmarkStart w:id="199" w:name="_Toc291089220"/>
      <w:bookmarkStart w:id="200" w:name="_Toc247639876"/>
      <w:r>
        <w:rPr>
          <w:rFonts w:hint="eastAsia" w:ascii="仿宋" w:hAnsi="仿宋" w:eastAsia="仿宋" w:cs="仿宋"/>
          <w:b/>
          <w:color w:val="auto"/>
          <w:sz w:val="21"/>
          <w:szCs w:val="21"/>
          <w:highlight w:val="none"/>
        </w:rPr>
        <w:t>7.1 定标方式</w:t>
      </w:r>
      <w:bookmarkEnd w:id="197"/>
      <w:bookmarkEnd w:id="198"/>
      <w:bookmarkEnd w:id="199"/>
      <w:bookmarkEnd w:id="200"/>
    </w:p>
    <w:p w14:paraId="44780269">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除供应商须知前附表规定评标委员会直接确定成交人外，采购人依据评标委员会推荐的中标候选人确定成交人，评标委员会推荐中标候选人的人数见供应商须知前附表。</w:t>
      </w:r>
    </w:p>
    <w:p w14:paraId="1A317F1F">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201" w:name="_Toc291089221"/>
      <w:bookmarkStart w:id="202" w:name="_Toc24222"/>
      <w:bookmarkStart w:id="203" w:name="_Toc23694"/>
      <w:bookmarkStart w:id="204" w:name="_Toc247639877"/>
      <w:r>
        <w:rPr>
          <w:rFonts w:hint="eastAsia" w:ascii="仿宋" w:hAnsi="仿宋" w:eastAsia="仿宋" w:cs="仿宋"/>
          <w:b/>
          <w:color w:val="auto"/>
          <w:sz w:val="21"/>
          <w:szCs w:val="21"/>
          <w:highlight w:val="none"/>
        </w:rPr>
        <w:t>7.2 中标通知</w:t>
      </w:r>
      <w:bookmarkEnd w:id="201"/>
      <w:bookmarkEnd w:id="202"/>
      <w:bookmarkEnd w:id="203"/>
      <w:bookmarkEnd w:id="204"/>
    </w:p>
    <w:p w14:paraId="4CB41AA6">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在本章第3.3款规定的投标有效期内，采购人以书面形式向中标人发出中标通知书</w:t>
      </w:r>
      <w:r>
        <w:rPr>
          <w:rFonts w:hint="eastAsia" w:ascii="仿宋" w:hAnsi="仿宋" w:eastAsia="仿宋" w:cs="仿宋"/>
          <w:color w:val="auto"/>
          <w:sz w:val="21"/>
          <w:szCs w:val="21"/>
          <w:highlight w:val="none"/>
        </w:rPr>
        <w:t>。</w:t>
      </w:r>
    </w:p>
    <w:p w14:paraId="029E0240">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205" w:name="_Toc291089222"/>
      <w:bookmarkStart w:id="206" w:name="_Toc247639878"/>
      <w:bookmarkStart w:id="207" w:name="_Toc21348"/>
      <w:bookmarkStart w:id="208" w:name="_Toc9353"/>
      <w:r>
        <w:rPr>
          <w:rFonts w:hint="eastAsia" w:ascii="仿宋" w:hAnsi="仿宋" w:eastAsia="仿宋" w:cs="仿宋"/>
          <w:b/>
          <w:color w:val="auto"/>
          <w:sz w:val="21"/>
          <w:szCs w:val="21"/>
          <w:highlight w:val="none"/>
        </w:rPr>
        <w:t>7.3 履约担保</w:t>
      </w:r>
      <w:bookmarkEnd w:id="205"/>
      <w:bookmarkEnd w:id="206"/>
      <w:bookmarkEnd w:id="207"/>
      <w:bookmarkEnd w:id="208"/>
    </w:p>
    <w:p w14:paraId="176CB88C">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lang w:val="en-US" w:eastAsia="zh-CN"/>
        </w:rPr>
      </w:pPr>
      <w:bookmarkStart w:id="209" w:name="_Toc247639879"/>
      <w:bookmarkStart w:id="210" w:name="_Toc291089223"/>
      <w:bookmarkStart w:id="211" w:name="_Toc7214"/>
      <w:bookmarkStart w:id="212" w:name="_Toc26678"/>
      <w:r>
        <w:rPr>
          <w:rFonts w:hint="eastAsia" w:ascii="仿宋" w:hAnsi="仿宋" w:eastAsia="仿宋" w:cs="仿宋"/>
          <w:b/>
          <w:color w:val="auto"/>
          <w:sz w:val="21"/>
          <w:szCs w:val="21"/>
          <w:highlight w:val="none"/>
          <w:lang w:val="en-US" w:eastAsia="zh-CN"/>
        </w:rPr>
        <w:t>详见供应商须知前附表。</w:t>
      </w:r>
    </w:p>
    <w:p w14:paraId="7C4C1339">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7.4 签订合同</w:t>
      </w:r>
      <w:bookmarkEnd w:id="209"/>
      <w:bookmarkEnd w:id="210"/>
      <w:bookmarkEnd w:id="211"/>
      <w:bookmarkEnd w:id="212"/>
    </w:p>
    <w:p w14:paraId="78DBE970">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lang w:val="en-US"/>
        </w:rPr>
      </w:pPr>
      <w:bookmarkStart w:id="213" w:name="_Toc10063"/>
      <w:bookmarkStart w:id="214" w:name="_Toc23072"/>
      <w:bookmarkStart w:id="215" w:name="_Toc247639880"/>
      <w:bookmarkStart w:id="216" w:name="_Toc291089224"/>
      <w:r>
        <w:rPr>
          <w:rFonts w:hint="eastAsia" w:ascii="仿宋" w:hAnsi="仿宋" w:eastAsia="仿宋" w:cs="仿宋"/>
          <w:color w:val="auto"/>
          <w:sz w:val="21"/>
          <w:szCs w:val="21"/>
          <w:highlight w:val="none"/>
          <w:lang w:val="en-US"/>
        </w:rPr>
        <w:t>7.4.1 采购人和中标人应当自中标通知书发出之日起30日内，根据招标文件和中标人的投标文件订立书面合同，采购人和中标人不得另行订立背离合同实质性内容的其它协议。中标人无正当理由拒签合同的，采购人取消其中标资格；给采购人造成的损失，中标人还应当予以赔偿。</w:t>
      </w:r>
    </w:p>
    <w:p w14:paraId="285E87F1">
      <w:pPr>
        <w:keepNext w:val="0"/>
        <w:keepLines w:val="0"/>
        <w:pageBreakBefore w:val="0"/>
        <w:kinsoku/>
        <w:overflowPunct/>
        <w:bidi w:val="0"/>
        <w:adjustRightInd w:val="0"/>
        <w:snapToGrid w:val="0"/>
        <w:spacing w:line="360" w:lineRule="auto"/>
        <w:outlineLvl w:val="1"/>
        <w:rPr>
          <w:rFonts w:hint="eastAsia" w:ascii="仿宋" w:hAnsi="仿宋" w:eastAsia="仿宋" w:cs="仿宋"/>
          <w:b/>
          <w:color w:val="auto"/>
          <w:szCs w:val="28"/>
          <w:highlight w:val="none"/>
        </w:rPr>
      </w:pPr>
      <w:bookmarkStart w:id="217" w:name="_Toc180"/>
      <w:bookmarkStart w:id="218" w:name="_Toc31560"/>
      <w:r>
        <w:rPr>
          <w:rFonts w:hint="eastAsia" w:ascii="仿宋" w:hAnsi="仿宋" w:eastAsia="仿宋" w:cs="仿宋"/>
          <w:b/>
          <w:color w:val="auto"/>
          <w:szCs w:val="28"/>
          <w:highlight w:val="none"/>
        </w:rPr>
        <w:t>8. 重新招标</w:t>
      </w:r>
      <w:bookmarkEnd w:id="213"/>
      <w:bookmarkEnd w:id="214"/>
      <w:bookmarkEnd w:id="215"/>
      <w:bookmarkEnd w:id="216"/>
      <w:bookmarkEnd w:id="217"/>
      <w:bookmarkEnd w:id="218"/>
    </w:p>
    <w:p w14:paraId="1CE8A1C9">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219" w:name="_Toc291089225"/>
      <w:bookmarkStart w:id="220" w:name="_Toc247639881"/>
      <w:bookmarkStart w:id="221" w:name="_Toc14022"/>
      <w:bookmarkStart w:id="222" w:name="_Toc11348"/>
      <w:r>
        <w:rPr>
          <w:rFonts w:hint="eastAsia" w:ascii="仿宋" w:hAnsi="仿宋" w:eastAsia="仿宋" w:cs="仿宋"/>
          <w:b/>
          <w:color w:val="auto"/>
          <w:sz w:val="21"/>
          <w:szCs w:val="21"/>
          <w:highlight w:val="none"/>
        </w:rPr>
        <w:t>8.1 重新招标</w:t>
      </w:r>
      <w:bookmarkEnd w:id="219"/>
      <w:bookmarkEnd w:id="220"/>
      <w:bookmarkEnd w:id="221"/>
      <w:bookmarkEnd w:id="222"/>
    </w:p>
    <w:p w14:paraId="24C4601D">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有下列情形之一的，采购人将重新招标：</w:t>
      </w:r>
    </w:p>
    <w:p w14:paraId="1A68A081">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（1）投标截止时间止，供应商少于3个的；</w:t>
      </w:r>
    </w:p>
    <w:p w14:paraId="676AB86B">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（2）经评标委员会评审后</w:t>
      </w:r>
      <w:r>
        <w:rPr>
          <w:rFonts w:hint="eastAsia" w:ascii="仿宋" w:hAnsi="仿宋" w:eastAsia="仿宋" w:cs="仿宋"/>
          <w:color w:val="auto"/>
          <w:sz w:val="21"/>
          <w:szCs w:val="21"/>
          <w:highlight w:val="none"/>
          <w:lang w:val="en-US"/>
        </w:rPr>
        <w:t>符合专业条件的供应商或者对招标文件作实质响应的供应商不足三家的</w:t>
      </w:r>
      <w:r>
        <w:rPr>
          <w:rFonts w:hint="eastAsia" w:ascii="仿宋" w:hAnsi="仿宋" w:eastAsia="仿宋" w:cs="仿宋"/>
          <w:color w:val="auto"/>
          <w:sz w:val="21"/>
          <w:szCs w:val="21"/>
          <w:highlight w:val="none"/>
        </w:rPr>
        <w:t>。</w:t>
      </w:r>
    </w:p>
    <w:p w14:paraId="11F1D7AA">
      <w:pPr>
        <w:pStyle w:val="5"/>
        <w:keepNext w:val="0"/>
        <w:keepLines w:val="0"/>
        <w:pageBreakBefore w:val="0"/>
        <w:kinsoku/>
        <w:overflowPunct/>
        <w:bidi w:val="0"/>
        <w:adjustRightInd w:val="0"/>
        <w:snapToGrid w:val="0"/>
        <w:spacing w:before="0" w:line="360" w:lineRule="auto"/>
        <w:ind w:left="0"/>
        <w:jc w:val="left"/>
        <w:rPr>
          <w:rFonts w:hint="eastAsia" w:ascii="仿宋" w:hAnsi="仿宋" w:eastAsia="仿宋" w:cs="仿宋"/>
          <w:color w:val="auto"/>
          <w:highlight w:val="none"/>
        </w:rPr>
      </w:pPr>
      <w:bookmarkStart w:id="223" w:name="_Toc31753"/>
      <w:bookmarkStart w:id="224" w:name="_Toc32146"/>
      <w:bookmarkStart w:id="225" w:name="_Toc10144"/>
      <w:bookmarkStart w:id="226" w:name="_Toc291089227"/>
      <w:bookmarkStart w:id="227" w:name="_Toc247639883"/>
      <w:bookmarkStart w:id="228" w:name="_Toc26232"/>
      <w:r>
        <w:rPr>
          <w:rFonts w:hint="eastAsia" w:ascii="仿宋" w:hAnsi="仿宋" w:eastAsia="仿宋" w:cs="仿宋"/>
          <w:color w:val="auto"/>
          <w:highlight w:val="none"/>
        </w:rPr>
        <w:t>9. 纪律和监督</w:t>
      </w:r>
      <w:bookmarkEnd w:id="223"/>
      <w:bookmarkEnd w:id="224"/>
      <w:bookmarkEnd w:id="225"/>
      <w:bookmarkEnd w:id="226"/>
      <w:bookmarkEnd w:id="227"/>
      <w:bookmarkEnd w:id="228"/>
    </w:p>
    <w:p w14:paraId="4F72B27A">
      <w:pPr>
        <w:pStyle w:val="6"/>
        <w:keepNext w:val="0"/>
        <w:keepLines w:val="0"/>
        <w:pageBreakBefore w:val="0"/>
        <w:kinsoku/>
        <w:overflowPunct/>
        <w:bidi w:val="0"/>
        <w:adjustRightInd w:val="0"/>
        <w:snapToGrid w:val="0"/>
        <w:spacing w:line="360" w:lineRule="auto"/>
        <w:jc w:val="left"/>
        <w:rPr>
          <w:rFonts w:hint="eastAsia" w:ascii="仿宋" w:hAnsi="仿宋" w:eastAsia="仿宋" w:cs="仿宋"/>
          <w:color w:val="auto"/>
          <w:sz w:val="21"/>
          <w:szCs w:val="21"/>
          <w:highlight w:val="none"/>
        </w:rPr>
      </w:pPr>
      <w:bookmarkStart w:id="229" w:name="_Toc247639884"/>
      <w:bookmarkStart w:id="230" w:name="_Toc19381"/>
      <w:bookmarkStart w:id="231" w:name="_Toc7845"/>
      <w:bookmarkStart w:id="232" w:name="_Toc291089228"/>
      <w:r>
        <w:rPr>
          <w:rFonts w:hint="eastAsia" w:ascii="仿宋" w:hAnsi="仿宋" w:eastAsia="仿宋" w:cs="仿宋"/>
          <w:b/>
          <w:color w:val="auto"/>
          <w:sz w:val="21"/>
          <w:szCs w:val="21"/>
          <w:highlight w:val="none"/>
        </w:rPr>
        <w:t>9.1 对采购人的纪律要求</w:t>
      </w:r>
      <w:bookmarkEnd w:id="229"/>
      <w:bookmarkEnd w:id="230"/>
      <w:bookmarkEnd w:id="231"/>
      <w:bookmarkEnd w:id="232"/>
    </w:p>
    <w:p w14:paraId="5FFB3B11">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采购人不得泄漏招标投标活动中应当保密的情况和资料，不得与供应商串通损害国家利益、社会公共利益或者他人合法权益。</w:t>
      </w:r>
    </w:p>
    <w:p w14:paraId="35015699">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233" w:name="_Toc247639885"/>
      <w:bookmarkStart w:id="234" w:name="_Toc15094"/>
      <w:bookmarkStart w:id="235" w:name="_Toc291089229"/>
      <w:bookmarkStart w:id="236" w:name="_Toc23887"/>
      <w:r>
        <w:rPr>
          <w:rFonts w:hint="eastAsia" w:ascii="仿宋" w:hAnsi="仿宋" w:eastAsia="仿宋" w:cs="仿宋"/>
          <w:b/>
          <w:color w:val="auto"/>
          <w:sz w:val="21"/>
          <w:szCs w:val="21"/>
          <w:highlight w:val="none"/>
        </w:rPr>
        <w:t>9.2 对供应商的纪律要求</w:t>
      </w:r>
      <w:bookmarkEnd w:id="233"/>
      <w:bookmarkEnd w:id="234"/>
      <w:bookmarkEnd w:id="235"/>
      <w:bookmarkEnd w:id="236"/>
    </w:p>
    <w:p w14:paraId="404FF36D">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79D3EC5C">
      <w:pPr>
        <w:pStyle w:val="42"/>
        <w:keepNext w:val="0"/>
        <w:keepLines w:val="0"/>
        <w:pageBreakBefore w:val="0"/>
        <w:kinsoku/>
        <w:overflowPunct/>
        <w:autoSpaceDE/>
        <w:autoSpaceDN/>
        <w:bidi w:val="0"/>
        <w:snapToGrid w:val="0"/>
        <w:spacing w:line="360" w:lineRule="auto"/>
        <w:ind w:left="0" w:firstLine="454"/>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有下列情形之一的，属于（或视为）供应商相互串通投标：</w:t>
      </w:r>
    </w:p>
    <w:p w14:paraId="3D562816">
      <w:pPr>
        <w:pStyle w:val="42"/>
        <w:keepNext w:val="0"/>
        <w:keepLines w:val="0"/>
        <w:pageBreakBefore w:val="0"/>
        <w:kinsoku/>
        <w:overflowPunct/>
        <w:autoSpaceDE/>
        <w:autoSpaceDN/>
        <w:bidi w:val="0"/>
        <w:snapToGrid w:val="0"/>
        <w:spacing w:line="360" w:lineRule="auto"/>
        <w:ind w:left="0" w:firstLine="454"/>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1、供应商之间协商投标报价等投标文件的实质性内容；</w:t>
      </w:r>
    </w:p>
    <w:p w14:paraId="192A2BC9">
      <w:pPr>
        <w:pStyle w:val="42"/>
        <w:keepNext w:val="0"/>
        <w:keepLines w:val="0"/>
        <w:pageBreakBefore w:val="0"/>
        <w:kinsoku/>
        <w:overflowPunct/>
        <w:autoSpaceDE/>
        <w:autoSpaceDN/>
        <w:bidi w:val="0"/>
        <w:snapToGrid w:val="0"/>
        <w:spacing w:line="360" w:lineRule="auto"/>
        <w:ind w:left="0" w:firstLine="454"/>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2、供应商之间约定成交人；</w:t>
      </w:r>
    </w:p>
    <w:p w14:paraId="7D4B890E">
      <w:pPr>
        <w:pStyle w:val="42"/>
        <w:keepNext w:val="0"/>
        <w:keepLines w:val="0"/>
        <w:pageBreakBefore w:val="0"/>
        <w:kinsoku/>
        <w:overflowPunct/>
        <w:autoSpaceDE/>
        <w:autoSpaceDN/>
        <w:bidi w:val="0"/>
        <w:snapToGrid w:val="0"/>
        <w:spacing w:line="360" w:lineRule="auto"/>
        <w:ind w:left="0" w:firstLine="454"/>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3、供应商之间约定部分供应商放弃投标或者中标；</w:t>
      </w:r>
    </w:p>
    <w:p w14:paraId="74FA398B">
      <w:pPr>
        <w:pStyle w:val="42"/>
        <w:keepNext w:val="0"/>
        <w:keepLines w:val="0"/>
        <w:pageBreakBefore w:val="0"/>
        <w:kinsoku/>
        <w:overflowPunct/>
        <w:autoSpaceDE/>
        <w:autoSpaceDN/>
        <w:bidi w:val="0"/>
        <w:snapToGrid w:val="0"/>
        <w:spacing w:line="360" w:lineRule="auto"/>
        <w:ind w:left="0" w:firstLine="454"/>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4、供应商之间为谋取中标或者排斥特定供应商而采取的其他联合行动； </w:t>
      </w:r>
    </w:p>
    <w:p w14:paraId="60FDC3A7">
      <w:pPr>
        <w:pStyle w:val="42"/>
        <w:keepNext w:val="0"/>
        <w:keepLines w:val="0"/>
        <w:pageBreakBefore w:val="0"/>
        <w:kinsoku/>
        <w:overflowPunct/>
        <w:autoSpaceDE/>
        <w:autoSpaceDN/>
        <w:bidi w:val="0"/>
        <w:snapToGrid w:val="0"/>
        <w:spacing w:line="360" w:lineRule="auto"/>
        <w:ind w:left="0" w:firstLine="454"/>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5、不同供应商为同一法定代表人的，不同供应商的投标文件载明的项目管理成员为同一人；</w:t>
      </w:r>
    </w:p>
    <w:p w14:paraId="3AFE1139">
      <w:pPr>
        <w:pStyle w:val="42"/>
        <w:keepNext w:val="0"/>
        <w:keepLines w:val="0"/>
        <w:pageBreakBefore w:val="0"/>
        <w:kinsoku/>
        <w:overflowPunct/>
        <w:autoSpaceDE/>
        <w:autoSpaceDN/>
        <w:bidi w:val="0"/>
        <w:snapToGrid w:val="0"/>
        <w:spacing w:line="360" w:lineRule="auto"/>
        <w:ind w:left="0" w:firstLine="454"/>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6、不同供应商的投标文件相互混装；</w:t>
      </w:r>
    </w:p>
    <w:p w14:paraId="5862101F">
      <w:pPr>
        <w:pStyle w:val="42"/>
        <w:keepNext w:val="0"/>
        <w:keepLines w:val="0"/>
        <w:pageBreakBefore w:val="0"/>
        <w:kinsoku/>
        <w:overflowPunct/>
        <w:autoSpaceDE/>
        <w:autoSpaceDN/>
        <w:bidi w:val="0"/>
        <w:snapToGrid w:val="0"/>
        <w:spacing w:line="360" w:lineRule="auto"/>
        <w:ind w:left="0" w:firstLine="454"/>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7、供应商之间相互约定抬高或压低投标报价；</w:t>
      </w:r>
    </w:p>
    <w:p w14:paraId="1C7D7814">
      <w:pPr>
        <w:pStyle w:val="42"/>
        <w:keepNext w:val="0"/>
        <w:keepLines w:val="0"/>
        <w:pageBreakBefore w:val="0"/>
        <w:kinsoku/>
        <w:overflowPunct/>
        <w:autoSpaceDE/>
        <w:autoSpaceDN/>
        <w:bidi w:val="0"/>
        <w:snapToGrid w:val="0"/>
        <w:spacing w:line="360" w:lineRule="auto"/>
        <w:ind w:left="0" w:firstLine="454"/>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8、供应商之间相互约定，在招标项目中分别以高、中、低价位报价；</w:t>
      </w:r>
    </w:p>
    <w:p w14:paraId="04033327">
      <w:pPr>
        <w:pStyle w:val="42"/>
        <w:keepNext w:val="0"/>
        <w:keepLines w:val="0"/>
        <w:pageBreakBefore w:val="0"/>
        <w:kinsoku/>
        <w:overflowPunct/>
        <w:autoSpaceDE/>
        <w:autoSpaceDN/>
        <w:bidi w:val="0"/>
        <w:snapToGrid w:val="0"/>
        <w:spacing w:line="360" w:lineRule="auto"/>
        <w:ind w:left="0" w:firstLine="454"/>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9、供应商之间先进行内部竞价，内定成交人，然后再参加投标；</w:t>
      </w:r>
    </w:p>
    <w:p w14:paraId="28235D57">
      <w:pPr>
        <w:pStyle w:val="42"/>
        <w:keepNext w:val="0"/>
        <w:keepLines w:val="0"/>
        <w:pageBreakBefore w:val="0"/>
        <w:kinsoku/>
        <w:overflowPunct/>
        <w:autoSpaceDE/>
        <w:autoSpaceDN/>
        <w:bidi w:val="0"/>
        <w:snapToGrid w:val="0"/>
        <w:spacing w:line="360" w:lineRule="auto"/>
        <w:ind w:left="0" w:firstLine="454"/>
        <w:contextualSpacing/>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rPr>
        <w:t>0</w:t>
      </w:r>
      <w:r>
        <w:rPr>
          <w:rFonts w:hint="eastAsia" w:ascii="仿宋" w:hAnsi="仿宋" w:eastAsia="仿宋" w:cs="仿宋"/>
          <w:color w:val="auto"/>
          <w:sz w:val="21"/>
          <w:szCs w:val="21"/>
          <w:highlight w:val="none"/>
        </w:rPr>
        <w:t>、供应商之间其他串通投标报价的行为。</w:t>
      </w:r>
    </w:p>
    <w:p w14:paraId="70E31BB2">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237" w:name="_Toc291089230"/>
      <w:bookmarkStart w:id="238" w:name="_Toc247639886"/>
      <w:bookmarkStart w:id="239" w:name="_Toc22824"/>
      <w:bookmarkStart w:id="240" w:name="_Toc5226"/>
      <w:r>
        <w:rPr>
          <w:rFonts w:hint="eastAsia" w:ascii="仿宋" w:hAnsi="仿宋" w:eastAsia="仿宋" w:cs="仿宋"/>
          <w:b/>
          <w:color w:val="auto"/>
          <w:sz w:val="21"/>
          <w:szCs w:val="21"/>
          <w:highlight w:val="none"/>
        </w:rPr>
        <w:t>9.3 对评标委员会成员的纪律要求</w:t>
      </w:r>
      <w:bookmarkEnd w:id="237"/>
      <w:bookmarkEnd w:id="238"/>
      <w:bookmarkEnd w:id="239"/>
      <w:bookmarkEnd w:id="240"/>
    </w:p>
    <w:p w14:paraId="15DC11BB">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50D4E67">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241" w:name="_Toc23488"/>
      <w:bookmarkStart w:id="242" w:name="_Toc4070"/>
      <w:bookmarkStart w:id="243" w:name="_Toc247639887"/>
      <w:bookmarkStart w:id="244" w:name="_Toc291089231"/>
      <w:r>
        <w:rPr>
          <w:rFonts w:hint="eastAsia" w:ascii="仿宋" w:hAnsi="仿宋" w:eastAsia="仿宋" w:cs="仿宋"/>
          <w:b/>
          <w:color w:val="auto"/>
          <w:sz w:val="21"/>
          <w:szCs w:val="21"/>
          <w:highlight w:val="none"/>
        </w:rPr>
        <w:t>9.4 对与评标活动有关的工作人员的纪律要求</w:t>
      </w:r>
      <w:bookmarkEnd w:id="241"/>
      <w:bookmarkEnd w:id="242"/>
      <w:bookmarkEnd w:id="243"/>
      <w:bookmarkEnd w:id="244"/>
    </w:p>
    <w:p w14:paraId="3B82F236">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B7DFC18">
      <w:pPr>
        <w:pStyle w:val="6"/>
        <w:keepNext w:val="0"/>
        <w:keepLines w:val="0"/>
        <w:pageBreakBefore w:val="0"/>
        <w:kinsoku/>
        <w:overflowPunct/>
        <w:bidi w:val="0"/>
        <w:adjustRightInd w:val="0"/>
        <w:snapToGrid w:val="0"/>
        <w:spacing w:line="360" w:lineRule="auto"/>
        <w:jc w:val="left"/>
        <w:rPr>
          <w:rFonts w:hint="eastAsia" w:ascii="仿宋" w:hAnsi="仿宋" w:eastAsia="仿宋" w:cs="仿宋"/>
          <w:b/>
          <w:color w:val="auto"/>
          <w:sz w:val="21"/>
          <w:szCs w:val="21"/>
          <w:highlight w:val="none"/>
        </w:rPr>
      </w:pPr>
      <w:bookmarkStart w:id="245" w:name="_Toc247639888"/>
      <w:bookmarkStart w:id="246" w:name="_Toc11772"/>
      <w:bookmarkStart w:id="247" w:name="_Toc291089232"/>
      <w:bookmarkStart w:id="248" w:name="_Toc30746"/>
      <w:r>
        <w:rPr>
          <w:rFonts w:hint="eastAsia" w:ascii="仿宋" w:hAnsi="仿宋" w:eastAsia="仿宋" w:cs="仿宋"/>
          <w:b/>
          <w:color w:val="auto"/>
          <w:sz w:val="21"/>
          <w:szCs w:val="21"/>
          <w:highlight w:val="none"/>
        </w:rPr>
        <w:t>9.5 投诉</w:t>
      </w:r>
      <w:bookmarkEnd w:id="245"/>
      <w:bookmarkEnd w:id="246"/>
      <w:bookmarkEnd w:id="247"/>
      <w:bookmarkEnd w:id="248"/>
    </w:p>
    <w:p w14:paraId="0BE7D0D6">
      <w:pPr>
        <w:keepNext w:val="0"/>
        <w:keepLines w:val="0"/>
        <w:pageBreakBefore w:val="0"/>
        <w:kinsoku/>
        <w:overflowPunct/>
        <w:bidi w:val="0"/>
        <w:adjustRightInd w:val="0"/>
        <w:snapToGrid w:val="0"/>
        <w:spacing w:line="360" w:lineRule="auto"/>
        <w:ind w:firstLine="539" w:firstLineChars="2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供应商和其他利害关系人认为本次招标活动违反法律、法规和规章规定的，有权向有关行政监督部门投诉。</w:t>
      </w:r>
    </w:p>
    <w:p w14:paraId="2EA15873">
      <w:pPr>
        <w:pStyle w:val="5"/>
        <w:keepNext w:val="0"/>
        <w:keepLines w:val="0"/>
        <w:pageBreakBefore w:val="0"/>
        <w:kinsoku/>
        <w:overflowPunct/>
        <w:bidi w:val="0"/>
        <w:adjustRightInd w:val="0"/>
        <w:snapToGrid w:val="0"/>
        <w:spacing w:before="0" w:line="360" w:lineRule="auto"/>
        <w:ind w:left="0"/>
        <w:jc w:val="left"/>
        <w:rPr>
          <w:rFonts w:hint="eastAsia" w:ascii="仿宋" w:hAnsi="仿宋" w:eastAsia="仿宋" w:cs="仿宋"/>
          <w:color w:val="auto"/>
          <w:highlight w:val="none"/>
        </w:rPr>
      </w:pPr>
      <w:bookmarkStart w:id="249" w:name="_Toc15186"/>
      <w:bookmarkStart w:id="250" w:name="_Toc291089233"/>
      <w:bookmarkStart w:id="251" w:name="_Toc13310"/>
      <w:bookmarkStart w:id="252" w:name="_Toc27831"/>
      <w:bookmarkStart w:id="253" w:name="_Toc6367"/>
      <w:bookmarkStart w:id="254" w:name="_Toc247639889"/>
      <w:r>
        <w:rPr>
          <w:rFonts w:hint="eastAsia" w:ascii="仿宋" w:hAnsi="仿宋" w:eastAsia="仿宋" w:cs="仿宋"/>
          <w:color w:val="auto"/>
          <w:highlight w:val="none"/>
        </w:rPr>
        <w:t>10. 需要补充的其他内容</w:t>
      </w:r>
      <w:bookmarkEnd w:id="249"/>
      <w:bookmarkEnd w:id="250"/>
      <w:bookmarkEnd w:id="251"/>
      <w:bookmarkEnd w:id="252"/>
      <w:bookmarkEnd w:id="253"/>
      <w:bookmarkEnd w:id="254"/>
    </w:p>
    <w:p w14:paraId="7C7BA532">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需要补充的其他内容：见供应商须知前附表。</w:t>
      </w:r>
      <w:bookmarkStart w:id="255" w:name="第四章__项目采购需求"/>
      <w:bookmarkEnd w:id="255"/>
      <w:bookmarkStart w:id="256" w:name="_bookmark3"/>
      <w:bookmarkEnd w:id="256"/>
      <w:bookmarkStart w:id="257" w:name="_bookmark14"/>
      <w:bookmarkEnd w:id="257"/>
      <w:bookmarkStart w:id="258" w:name="3._投标文件"/>
      <w:bookmarkEnd w:id="258"/>
    </w:p>
    <w:p w14:paraId="7EB46FA8">
      <w:pPr>
        <w:pStyle w:val="9"/>
        <w:keepNext w:val="0"/>
        <w:keepLines w:val="0"/>
        <w:pageBreakBefore w:val="0"/>
        <w:kinsoku/>
        <w:overflowPunct/>
        <w:bidi w:val="0"/>
        <w:snapToGrid w:val="0"/>
        <w:spacing w:line="360" w:lineRule="auto"/>
        <w:rPr>
          <w:rFonts w:hint="eastAsia" w:ascii="仿宋" w:hAnsi="仿宋" w:eastAsia="仿宋" w:cs="仿宋"/>
          <w:color w:val="auto"/>
          <w:highlight w:val="none"/>
        </w:rPr>
      </w:pPr>
    </w:p>
    <w:p w14:paraId="7A6AB981">
      <w:pPr>
        <w:pStyle w:val="9"/>
        <w:keepNext w:val="0"/>
        <w:keepLines w:val="0"/>
        <w:pageBreakBefore w:val="0"/>
        <w:kinsoku/>
        <w:overflowPunct/>
        <w:bidi w:val="0"/>
        <w:snapToGrid w:val="0"/>
        <w:spacing w:line="360" w:lineRule="auto"/>
        <w:rPr>
          <w:rFonts w:hint="eastAsia" w:ascii="仿宋" w:hAnsi="仿宋" w:eastAsia="仿宋" w:cs="仿宋"/>
          <w:color w:val="auto"/>
          <w:highlight w:val="none"/>
        </w:rPr>
      </w:pPr>
    </w:p>
    <w:p w14:paraId="25C51599">
      <w:pPr>
        <w:pStyle w:val="9"/>
        <w:keepNext w:val="0"/>
        <w:keepLines w:val="0"/>
        <w:pageBreakBefore w:val="0"/>
        <w:kinsoku/>
        <w:overflowPunct/>
        <w:bidi w:val="0"/>
        <w:snapToGrid w:val="0"/>
        <w:spacing w:line="360" w:lineRule="auto"/>
        <w:rPr>
          <w:rFonts w:hint="eastAsia" w:ascii="仿宋" w:hAnsi="仿宋" w:eastAsia="仿宋" w:cs="仿宋"/>
          <w:color w:val="auto"/>
          <w:highlight w:val="none"/>
        </w:rPr>
        <w:sectPr>
          <w:pgSz w:w="11910" w:h="16840"/>
          <w:pgMar w:top="1580" w:right="1000" w:bottom="1660" w:left="1580" w:header="907" w:footer="1469" w:gutter="0"/>
          <w:pgNumType w:fmt="decimal"/>
          <w:cols w:space="720" w:num="1"/>
        </w:sectPr>
      </w:pPr>
    </w:p>
    <w:p w14:paraId="5C9E0608">
      <w:pPr>
        <w:pStyle w:val="4"/>
        <w:keepNext w:val="0"/>
        <w:keepLines w:val="0"/>
        <w:pageBreakBefore w:val="0"/>
        <w:tabs>
          <w:tab w:val="left" w:pos="1766"/>
        </w:tabs>
        <w:kinsoku/>
        <w:overflowPunct/>
        <w:bidi w:val="0"/>
        <w:snapToGrid w:val="0"/>
        <w:spacing w:before="37" w:line="360" w:lineRule="auto"/>
        <w:rPr>
          <w:rFonts w:hint="eastAsia" w:ascii="仿宋" w:hAnsi="仿宋" w:eastAsia="仿宋" w:cs="仿宋"/>
          <w:color w:val="auto"/>
          <w:sz w:val="28"/>
          <w:szCs w:val="28"/>
          <w:highlight w:val="none"/>
        </w:rPr>
      </w:pPr>
      <w:bookmarkStart w:id="259" w:name="第五章__评审方法"/>
      <w:bookmarkEnd w:id="259"/>
      <w:bookmarkStart w:id="260" w:name="评审方法前附表"/>
      <w:bookmarkEnd w:id="260"/>
      <w:bookmarkStart w:id="261" w:name="_Toc25300"/>
      <w:bookmarkStart w:id="262" w:name="_Toc27607"/>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rPr>
        <w:t xml:space="preserve"> </w:t>
      </w:r>
      <w:r>
        <w:rPr>
          <w:rFonts w:hint="eastAsia" w:ascii="仿宋" w:hAnsi="仿宋" w:eastAsia="仿宋" w:cs="仿宋"/>
          <w:color w:val="auto"/>
          <w:sz w:val="28"/>
          <w:szCs w:val="28"/>
          <w:highlight w:val="none"/>
        </w:rPr>
        <w:t>评</w:t>
      </w:r>
      <w:r>
        <w:rPr>
          <w:rFonts w:hint="eastAsia" w:ascii="仿宋" w:hAnsi="仿宋" w:eastAsia="仿宋" w:cs="仿宋"/>
          <w:color w:val="auto"/>
          <w:sz w:val="28"/>
          <w:szCs w:val="28"/>
          <w:highlight w:val="none"/>
          <w:lang w:val="en-US"/>
        </w:rPr>
        <w:t>标</w:t>
      </w:r>
      <w:r>
        <w:rPr>
          <w:rFonts w:hint="eastAsia" w:ascii="仿宋" w:hAnsi="仿宋" w:eastAsia="仿宋" w:cs="仿宋"/>
          <w:color w:val="auto"/>
          <w:sz w:val="28"/>
          <w:szCs w:val="28"/>
          <w:highlight w:val="none"/>
        </w:rPr>
        <w:t>方法</w:t>
      </w:r>
      <w:bookmarkEnd w:id="261"/>
      <w:bookmarkEnd w:id="262"/>
    </w:p>
    <w:p w14:paraId="13AB428A">
      <w:pPr>
        <w:keepNext w:val="0"/>
        <w:keepLines w:val="0"/>
        <w:pageBreakBefore w:val="0"/>
        <w:kinsoku/>
        <w:overflowPunct/>
        <w:bidi w:val="0"/>
        <w:snapToGrid w:val="0"/>
        <w:spacing w:before="34" w:line="360" w:lineRule="auto"/>
        <w:ind w:right="576"/>
        <w:jc w:val="center"/>
        <w:outlineLvl w:val="1"/>
        <w:rPr>
          <w:rFonts w:hint="eastAsia" w:ascii="仿宋" w:hAnsi="仿宋" w:eastAsia="仿宋" w:cs="仿宋"/>
          <w:b/>
          <w:color w:val="auto"/>
          <w:sz w:val="28"/>
          <w:szCs w:val="28"/>
          <w:highlight w:val="none"/>
        </w:rPr>
      </w:pPr>
      <w:bookmarkStart w:id="263" w:name="_Toc20329"/>
      <w:bookmarkStart w:id="264" w:name="_Toc26904"/>
      <w:bookmarkStart w:id="265" w:name="_Toc4796"/>
      <w:bookmarkStart w:id="266" w:name="_Toc4600"/>
      <w:bookmarkStart w:id="267" w:name="_Toc17038"/>
      <w:bookmarkStart w:id="268" w:name="_Toc19235"/>
      <w:r>
        <w:rPr>
          <w:rFonts w:hint="eastAsia" w:ascii="仿宋" w:hAnsi="仿宋" w:eastAsia="仿宋" w:cs="仿宋"/>
          <w:b/>
          <w:color w:val="auto"/>
          <w:sz w:val="28"/>
          <w:szCs w:val="28"/>
          <w:highlight w:val="none"/>
        </w:rPr>
        <w:t>评标方法前附表</w:t>
      </w:r>
      <w:bookmarkEnd w:id="263"/>
      <w:bookmarkEnd w:id="264"/>
      <w:bookmarkEnd w:id="265"/>
      <w:bookmarkEnd w:id="266"/>
      <w:bookmarkEnd w:id="267"/>
      <w:bookmarkEnd w:id="268"/>
    </w:p>
    <w:p w14:paraId="1D4D84E1">
      <w:pPr>
        <w:pStyle w:val="2"/>
        <w:keepNext w:val="0"/>
        <w:keepLines w:val="0"/>
        <w:pageBreakBefore w:val="0"/>
        <w:kinsoku/>
        <w:overflowPunct/>
        <w:bidi w:val="0"/>
        <w:snapToGrid w:val="0"/>
        <w:spacing w:line="360" w:lineRule="auto"/>
        <w:rPr>
          <w:rFonts w:hint="eastAsia" w:ascii="仿宋" w:hAnsi="仿宋" w:eastAsia="仿宋" w:cs="仿宋"/>
          <w:b/>
          <w:color w:val="auto"/>
          <w:sz w:val="20"/>
          <w:highlight w:val="none"/>
        </w:rPr>
      </w:pPr>
    </w:p>
    <w:tbl>
      <w:tblPr>
        <w:tblStyle w:val="24"/>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088"/>
        <w:gridCol w:w="2359"/>
        <w:gridCol w:w="5333"/>
      </w:tblGrid>
      <w:tr w14:paraId="29D3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50" w:type="dxa"/>
            <w:gridSpan w:val="2"/>
            <w:tcBorders>
              <w:top w:val="single" w:color="auto" w:sz="4" w:space="0"/>
              <w:left w:val="single" w:color="auto" w:sz="4" w:space="0"/>
              <w:bottom w:val="single" w:color="auto" w:sz="4" w:space="0"/>
              <w:right w:val="single" w:color="auto" w:sz="4" w:space="0"/>
            </w:tcBorders>
            <w:vAlign w:val="center"/>
          </w:tcPr>
          <w:p w14:paraId="090E8EAA">
            <w:pPr>
              <w:keepNext w:val="0"/>
              <w:keepLines w:val="0"/>
              <w:pageBreakBefore w:val="0"/>
              <w:kinsoku/>
              <w:overflowPunct/>
              <w:bidi w:val="0"/>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w:t>
            </w:r>
          </w:p>
        </w:tc>
        <w:tc>
          <w:tcPr>
            <w:tcW w:w="2359" w:type="dxa"/>
            <w:tcBorders>
              <w:top w:val="single" w:color="auto" w:sz="4" w:space="0"/>
              <w:left w:val="single" w:color="auto" w:sz="4" w:space="0"/>
              <w:bottom w:val="single" w:color="auto" w:sz="4" w:space="0"/>
              <w:right w:val="single" w:color="auto" w:sz="4" w:space="0"/>
            </w:tcBorders>
            <w:vAlign w:val="center"/>
          </w:tcPr>
          <w:p w14:paraId="396979BB">
            <w:pPr>
              <w:keepNext w:val="0"/>
              <w:keepLines w:val="0"/>
              <w:pageBreakBefore w:val="0"/>
              <w:kinsoku/>
              <w:overflowPunct/>
              <w:bidi w:val="0"/>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评审因素</w:t>
            </w:r>
          </w:p>
        </w:tc>
        <w:tc>
          <w:tcPr>
            <w:tcW w:w="5333" w:type="dxa"/>
            <w:tcBorders>
              <w:top w:val="single" w:color="auto" w:sz="4" w:space="0"/>
              <w:left w:val="single" w:color="auto" w:sz="4" w:space="0"/>
              <w:bottom w:val="single" w:color="auto" w:sz="4" w:space="0"/>
              <w:right w:val="single" w:color="auto" w:sz="4" w:space="0"/>
            </w:tcBorders>
            <w:vAlign w:val="center"/>
          </w:tcPr>
          <w:p w14:paraId="2F124261">
            <w:pPr>
              <w:keepNext w:val="0"/>
              <w:keepLines w:val="0"/>
              <w:pageBreakBefore w:val="0"/>
              <w:kinsoku/>
              <w:overflowPunct/>
              <w:bidi w:val="0"/>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评审标准</w:t>
            </w:r>
          </w:p>
        </w:tc>
      </w:tr>
      <w:tr w14:paraId="1FD5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2" w:type="dxa"/>
            <w:vMerge w:val="restart"/>
            <w:tcBorders>
              <w:top w:val="single" w:color="auto" w:sz="4" w:space="0"/>
              <w:left w:val="single" w:color="auto" w:sz="4" w:space="0"/>
              <w:right w:val="single" w:color="auto" w:sz="4" w:space="0"/>
            </w:tcBorders>
            <w:vAlign w:val="center"/>
          </w:tcPr>
          <w:p w14:paraId="3563532B">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w:t>
            </w:r>
          </w:p>
        </w:tc>
        <w:tc>
          <w:tcPr>
            <w:tcW w:w="1088" w:type="dxa"/>
            <w:vMerge w:val="restart"/>
            <w:tcBorders>
              <w:top w:val="single" w:color="auto" w:sz="4" w:space="0"/>
              <w:left w:val="single" w:color="auto" w:sz="4" w:space="0"/>
              <w:right w:val="single" w:color="auto" w:sz="4" w:space="0"/>
            </w:tcBorders>
            <w:vAlign w:val="center"/>
          </w:tcPr>
          <w:p w14:paraId="5DFF12C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形式评审标准</w:t>
            </w:r>
          </w:p>
        </w:tc>
        <w:tc>
          <w:tcPr>
            <w:tcW w:w="2359" w:type="dxa"/>
            <w:tcBorders>
              <w:top w:val="single" w:color="auto" w:sz="4" w:space="0"/>
              <w:left w:val="single" w:color="auto" w:sz="4" w:space="0"/>
              <w:bottom w:val="single" w:color="auto" w:sz="4" w:space="0"/>
              <w:right w:val="single" w:color="auto" w:sz="4" w:space="0"/>
            </w:tcBorders>
            <w:vAlign w:val="center"/>
          </w:tcPr>
          <w:p w14:paraId="7A90EED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供应商名称</w:t>
            </w:r>
          </w:p>
        </w:tc>
        <w:tc>
          <w:tcPr>
            <w:tcW w:w="5333" w:type="dxa"/>
            <w:tcBorders>
              <w:top w:val="single" w:color="auto" w:sz="4" w:space="0"/>
              <w:left w:val="single" w:color="auto" w:sz="4" w:space="0"/>
              <w:bottom w:val="single" w:color="auto" w:sz="4" w:space="0"/>
              <w:right w:val="single" w:color="auto" w:sz="4" w:space="0"/>
            </w:tcBorders>
            <w:vAlign w:val="center"/>
          </w:tcPr>
          <w:p w14:paraId="39EEA62B">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与营业执照一致</w:t>
            </w:r>
          </w:p>
        </w:tc>
      </w:tr>
      <w:tr w14:paraId="50A1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862" w:type="dxa"/>
            <w:vMerge w:val="continue"/>
            <w:tcBorders>
              <w:left w:val="single" w:color="auto" w:sz="4" w:space="0"/>
              <w:right w:val="single" w:color="auto" w:sz="4" w:space="0"/>
            </w:tcBorders>
            <w:vAlign w:val="center"/>
          </w:tcPr>
          <w:p w14:paraId="50B071FE">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6AF83963">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76375E0F">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投标函签章</w:t>
            </w:r>
          </w:p>
        </w:tc>
        <w:tc>
          <w:tcPr>
            <w:tcW w:w="5333" w:type="dxa"/>
            <w:tcBorders>
              <w:top w:val="single" w:color="auto" w:sz="4" w:space="0"/>
              <w:left w:val="single" w:color="auto" w:sz="4" w:space="0"/>
              <w:bottom w:val="single" w:color="auto" w:sz="4" w:space="0"/>
              <w:right w:val="single" w:color="auto" w:sz="4" w:space="0"/>
            </w:tcBorders>
            <w:vAlign w:val="center"/>
          </w:tcPr>
          <w:p w14:paraId="04927854">
            <w:pPr>
              <w:keepNext w:val="0"/>
              <w:keepLines w:val="0"/>
              <w:pageBreakBefore w:val="0"/>
              <w:kinsoku/>
              <w:overflowPunct/>
              <w:bidi w:val="0"/>
              <w:snapToGrid w:val="0"/>
              <w:spacing w:line="360" w:lineRule="auto"/>
              <w:ind w:right="-229" w:rightChars="-104"/>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符合投标函格式要求，并在需要加盖电子章的地方加盖</w:t>
            </w:r>
          </w:p>
          <w:p w14:paraId="70E7DE1B">
            <w:pPr>
              <w:keepNext w:val="0"/>
              <w:keepLines w:val="0"/>
              <w:pageBreakBefore w:val="0"/>
              <w:kinsoku/>
              <w:overflowPunct/>
              <w:bidi w:val="0"/>
              <w:snapToGrid w:val="0"/>
              <w:spacing w:line="360" w:lineRule="auto"/>
              <w:ind w:right="-229" w:rightChars="-104"/>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电子章。</w:t>
            </w:r>
          </w:p>
        </w:tc>
      </w:tr>
      <w:tr w14:paraId="7723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2" w:type="dxa"/>
            <w:vMerge w:val="continue"/>
            <w:tcBorders>
              <w:left w:val="single" w:color="auto" w:sz="4" w:space="0"/>
              <w:right w:val="single" w:color="auto" w:sz="4" w:space="0"/>
            </w:tcBorders>
            <w:vAlign w:val="center"/>
          </w:tcPr>
          <w:p w14:paraId="4FB052A6">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7FF94EF4">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5972974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投标文件格式</w:t>
            </w:r>
          </w:p>
        </w:tc>
        <w:tc>
          <w:tcPr>
            <w:tcW w:w="5333" w:type="dxa"/>
            <w:tcBorders>
              <w:top w:val="single" w:color="auto" w:sz="4" w:space="0"/>
              <w:left w:val="single" w:color="auto" w:sz="4" w:space="0"/>
              <w:bottom w:val="single" w:color="auto" w:sz="4" w:space="0"/>
              <w:right w:val="single" w:color="auto" w:sz="4" w:space="0"/>
            </w:tcBorders>
            <w:vAlign w:val="center"/>
          </w:tcPr>
          <w:p w14:paraId="5F1CF17B">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符合第六章“投标文件格式”要求，签字或盖章齐全。</w:t>
            </w:r>
          </w:p>
        </w:tc>
      </w:tr>
      <w:tr w14:paraId="7C94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2" w:type="dxa"/>
            <w:vMerge w:val="continue"/>
            <w:tcBorders>
              <w:left w:val="single" w:color="auto" w:sz="4" w:space="0"/>
              <w:right w:val="single" w:color="auto" w:sz="4" w:space="0"/>
            </w:tcBorders>
            <w:vAlign w:val="center"/>
          </w:tcPr>
          <w:p w14:paraId="033C13BC">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7FA8B142">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0254A47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报价唯一</w:t>
            </w:r>
          </w:p>
        </w:tc>
        <w:tc>
          <w:tcPr>
            <w:tcW w:w="5333" w:type="dxa"/>
            <w:tcBorders>
              <w:top w:val="single" w:color="auto" w:sz="4" w:space="0"/>
              <w:left w:val="single" w:color="auto" w:sz="4" w:space="0"/>
              <w:bottom w:val="single" w:color="auto" w:sz="4" w:space="0"/>
              <w:right w:val="single" w:color="auto" w:sz="4" w:space="0"/>
            </w:tcBorders>
            <w:vAlign w:val="center"/>
          </w:tcPr>
          <w:p w14:paraId="4CBB9DB8">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各项报价只能有一个有效报价</w:t>
            </w:r>
          </w:p>
        </w:tc>
      </w:tr>
      <w:tr w14:paraId="7B5E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2" w:type="dxa"/>
            <w:vMerge w:val="restart"/>
            <w:tcBorders>
              <w:top w:val="single" w:color="auto" w:sz="4" w:space="0"/>
              <w:left w:val="single" w:color="auto" w:sz="4" w:space="0"/>
              <w:right w:val="single" w:color="auto" w:sz="4" w:space="0"/>
            </w:tcBorders>
            <w:vAlign w:val="center"/>
          </w:tcPr>
          <w:p w14:paraId="60A3742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w:t>
            </w:r>
          </w:p>
        </w:tc>
        <w:tc>
          <w:tcPr>
            <w:tcW w:w="1088" w:type="dxa"/>
            <w:vMerge w:val="restart"/>
            <w:tcBorders>
              <w:top w:val="single" w:color="auto" w:sz="4" w:space="0"/>
              <w:left w:val="single" w:color="auto" w:sz="4" w:space="0"/>
              <w:right w:val="single" w:color="auto" w:sz="4" w:space="0"/>
            </w:tcBorders>
            <w:vAlign w:val="center"/>
          </w:tcPr>
          <w:p w14:paraId="196C7BF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资格评审标准</w:t>
            </w:r>
          </w:p>
        </w:tc>
        <w:tc>
          <w:tcPr>
            <w:tcW w:w="2359" w:type="dxa"/>
            <w:tcBorders>
              <w:top w:val="single" w:color="auto" w:sz="4" w:space="0"/>
              <w:left w:val="single" w:color="auto" w:sz="4" w:space="0"/>
              <w:bottom w:val="single" w:color="auto" w:sz="4" w:space="0"/>
              <w:right w:val="single" w:color="auto" w:sz="4" w:space="0"/>
            </w:tcBorders>
            <w:vAlign w:val="center"/>
          </w:tcPr>
          <w:p w14:paraId="0F7A4CCB">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w:t>
            </w:r>
          </w:p>
        </w:tc>
        <w:tc>
          <w:tcPr>
            <w:tcW w:w="5333" w:type="dxa"/>
            <w:tcBorders>
              <w:top w:val="single" w:color="auto" w:sz="4" w:space="0"/>
              <w:left w:val="single" w:color="auto" w:sz="4" w:space="0"/>
              <w:right w:val="single" w:color="auto" w:sz="4" w:space="0"/>
            </w:tcBorders>
            <w:vAlign w:val="center"/>
          </w:tcPr>
          <w:p w14:paraId="6F28886E">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符合第二章“供应商须知前附表”第1.4.1项规定</w:t>
            </w:r>
          </w:p>
        </w:tc>
      </w:tr>
      <w:tr w14:paraId="7BB7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862" w:type="dxa"/>
            <w:vMerge w:val="continue"/>
            <w:tcBorders>
              <w:left w:val="single" w:color="auto" w:sz="4" w:space="0"/>
              <w:right w:val="single" w:color="auto" w:sz="4" w:space="0"/>
            </w:tcBorders>
            <w:vAlign w:val="center"/>
          </w:tcPr>
          <w:p w14:paraId="55531E30">
            <w:pPr>
              <w:keepNext w:val="0"/>
              <w:keepLines w:val="0"/>
              <w:pageBreakBefore w:val="0"/>
              <w:kinsoku/>
              <w:overflowPunct/>
              <w:bidi w:val="0"/>
              <w:snapToGrid w:val="0"/>
              <w:spacing w:line="360" w:lineRule="auto"/>
              <w:jc w:val="both"/>
              <w:rPr>
                <w:rFonts w:hint="eastAsia" w:ascii="仿宋" w:hAnsi="仿宋" w:eastAsia="仿宋" w:cs="仿宋"/>
                <w:color w:val="auto"/>
                <w:highlight w:val="none"/>
              </w:rPr>
            </w:pPr>
          </w:p>
        </w:tc>
        <w:tc>
          <w:tcPr>
            <w:tcW w:w="1088" w:type="dxa"/>
            <w:vMerge w:val="continue"/>
            <w:tcBorders>
              <w:left w:val="single" w:color="auto" w:sz="4" w:space="0"/>
              <w:right w:val="single" w:color="auto" w:sz="4" w:space="0"/>
            </w:tcBorders>
            <w:vAlign w:val="center"/>
          </w:tcPr>
          <w:p w14:paraId="29DF4505">
            <w:pPr>
              <w:keepNext w:val="0"/>
              <w:keepLines w:val="0"/>
              <w:pageBreakBefore w:val="0"/>
              <w:kinsoku/>
              <w:overflowPunct/>
              <w:bidi w:val="0"/>
              <w:snapToGrid w:val="0"/>
              <w:spacing w:line="360" w:lineRule="auto"/>
              <w:jc w:val="both"/>
              <w:rPr>
                <w:rFonts w:hint="eastAsia" w:ascii="仿宋" w:hAnsi="仿宋" w:eastAsia="仿宋" w:cs="仿宋"/>
                <w:color w:val="auto"/>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2701E86E">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财务状况</w:t>
            </w:r>
          </w:p>
        </w:tc>
        <w:tc>
          <w:tcPr>
            <w:tcW w:w="5333" w:type="dxa"/>
            <w:tcBorders>
              <w:left w:val="single" w:color="auto" w:sz="4" w:space="0"/>
              <w:right w:val="single" w:color="auto" w:sz="4" w:space="0"/>
            </w:tcBorders>
            <w:vAlign w:val="center"/>
          </w:tcPr>
          <w:p w14:paraId="01B37786">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符合第二章“供应商须知前附表”第1.4.1项规定</w:t>
            </w:r>
          </w:p>
        </w:tc>
      </w:tr>
      <w:tr w14:paraId="1643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jc w:val="center"/>
        </w:trPr>
        <w:tc>
          <w:tcPr>
            <w:tcW w:w="862" w:type="dxa"/>
            <w:vMerge w:val="continue"/>
            <w:tcBorders>
              <w:left w:val="single" w:color="auto" w:sz="4" w:space="0"/>
              <w:right w:val="single" w:color="auto" w:sz="4" w:space="0"/>
            </w:tcBorders>
            <w:vAlign w:val="center"/>
          </w:tcPr>
          <w:p w14:paraId="375BF7BA">
            <w:pPr>
              <w:keepNext w:val="0"/>
              <w:keepLines w:val="0"/>
              <w:pageBreakBefore w:val="0"/>
              <w:kinsoku/>
              <w:overflowPunct/>
              <w:bidi w:val="0"/>
              <w:snapToGrid w:val="0"/>
              <w:spacing w:line="360" w:lineRule="auto"/>
              <w:jc w:val="both"/>
              <w:rPr>
                <w:rFonts w:hint="eastAsia" w:ascii="仿宋" w:hAnsi="仿宋" w:eastAsia="仿宋" w:cs="仿宋"/>
                <w:color w:val="auto"/>
                <w:highlight w:val="none"/>
              </w:rPr>
            </w:pPr>
          </w:p>
        </w:tc>
        <w:tc>
          <w:tcPr>
            <w:tcW w:w="1088" w:type="dxa"/>
            <w:vMerge w:val="continue"/>
            <w:tcBorders>
              <w:left w:val="single" w:color="auto" w:sz="4" w:space="0"/>
              <w:right w:val="single" w:color="auto" w:sz="4" w:space="0"/>
            </w:tcBorders>
            <w:vAlign w:val="center"/>
          </w:tcPr>
          <w:p w14:paraId="183B802B">
            <w:pPr>
              <w:keepNext w:val="0"/>
              <w:keepLines w:val="0"/>
              <w:pageBreakBefore w:val="0"/>
              <w:kinsoku/>
              <w:overflowPunct/>
              <w:bidi w:val="0"/>
              <w:snapToGrid w:val="0"/>
              <w:spacing w:line="360" w:lineRule="auto"/>
              <w:jc w:val="both"/>
              <w:rPr>
                <w:rFonts w:hint="eastAsia" w:ascii="仿宋" w:hAnsi="仿宋" w:eastAsia="仿宋" w:cs="仿宋"/>
                <w:color w:val="auto"/>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36D3C49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highlight w:val="none"/>
                <w:lang w:val="en-US"/>
              </w:rPr>
              <w:t>具有履行合同所必需的设备和专业技术能力</w:t>
            </w:r>
          </w:p>
        </w:tc>
        <w:tc>
          <w:tcPr>
            <w:tcW w:w="5333" w:type="dxa"/>
            <w:tcBorders>
              <w:left w:val="single" w:color="auto" w:sz="4" w:space="0"/>
              <w:right w:val="single" w:color="auto" w:sz="4" w:space="0"/>
            </w:tcBorders>
            <w:vAlign w:val="center"/>
          </w:tcPr>
          <w:p w14:paraId="50DE7DA3">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符合第二章“供应商须知前附表”第1.4.1项规定</w:t>
            </w:r>
          </w:p>
        </w:tc>
      </w:tr>
      <w:tr w14:paraId="6FD7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jc w:val="center"/>
        </w:trPr>
        <w:tc>
          <w:tcPr>
            <w:tcW w:w="862" w:type="dxa"/>
            <w:vMerge w:val="continue"/>
            <w:tcBorders>
              <w:left w:val="single" w:color="auto" w:sz="4" w:space="0"/>
              <w:right w:val="single" w:color="auto" w:sz="4" w:space="0"/>
            </w:tcBorders>
            <w:vAlign w:val="center"/>
          </w:tcPr>
          <w:p w14:paraId="54AF2F35">
            <w:pPr>
              <w:keepNext w:val="0"/>
              <w:keepLines w:val="0"/>
              <w:pageBreakBefore w:val="0"/>
              <w:kinsoku/>
              <w:overflowPunct/>
              <w:bidi w:val="0"/>
              <w:snapToGrid w:val="0"/>
              <w:spacing w:line="360" w:lineRule="auto"/>
              <w:jc w:val="both"/>
              <w:rPr>
                <w:rFonts w:hint="eastAsia" w:ascii="仿宋" w:hAnsi="仿宋" w:eastAsia="仿宋" w:cs="仿宋"/>
                <w:color w:val="auto"/>
                <w:highlight w:val="none"/>
              </w:rPr>
            </w:pPr>
          </w:p>
        </w:tc>
        <w:tc>
          <w:tcPr>
            <w:tcW w:w="1088" w:type="dxa"/>
            <w:vMerge w:val="continue"/>
            <w:tcBorders>
              <w:left w:val="single" w:color="auto" w:sz="4" w:space="0"/>
              <w:right w:val="single" w:color="auto" w:sz="4" w:space="0"/>
            </w:tcBorders>
            <w:vAlign w:val="center"/>
          </w:tcPr>
          <w:p w14:paraId="1A8B10E3">
            <w:pPr>
              <w:keepNext w:val="0"/>
              <w:keepLines w:val="0"/>
              <w:pageBreakBefore w:val="0"/>
              <w:kinsoku/>
              <w:overflowPunct/>
              <w:bidi w:val="0"/>
              <w:snapToGrid w:val="0"/>
              <w:spacing w:line="360" w:lineRule="auto"/>
              <w:jc w:val="both"/>
              <w:rPr>
                <w:rFonts w:hint="eastAsia" w:ascii="仿宋" w:hAnsi="仿宋" w:eastAsia="仿宋" w:cs="仿宋"/>
                <w:color w:val="auto"/>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3248358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highlight w:val="none"/>
                <w:lang w:val="en-US"/>
              </w:rPr>
              <w:t>有依法缴纳税收和社会保障资金的良好记录</w:t>
            </w:r>
          </w:p>
        </w:tc>
        <w:tc>
          <w:tcPr>
            <w:tcW w:w="5333" w:type="dxa"/>
            <w:tcBorders>
              <w:left w:val="single" w:color="auto" w:sz="4" w:space="0"/>
              <w:right w:val="single" w:color="auto" w:sz="4" w:space="0"/>
            </w:tcBorders>
            <w:vAlign w:val="center"/>
          </w:tcPr>
          <w:p w14:paraId="6A327176">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符合第二章“供应商须知前附表”第1.4.1项规定</w:t>
            </w:r>
          </w:p>
        </w:tc>
      </w:tr>
      <w:tr w14:paraId="499B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jc w:val="center"/>
        </w:trPr>
        <w:tc>
          <w:tcPr>
            <w:tcW w:w="862" w:type="dxa"/>
            <w:vMerge w:val="continue"/>
            <w:tcBorders>
              <w:left w:val="single" w:color="auto" w:sz="4" w:space="0"/>
              <w:right w:val="single" w:color="auto" w:sz="4" w:space="0"/>
            </w:tcBorders>
            <w:vAlign w:val="center"/>
          </w:tcPr>
          <w:p w14:paraId="73F82785">
            <w:pPr>
              <w:keepNext w:val="0"/>
              <w:keepLines w:val="0"/>
              <w:pageBreakBefore w:val="0"/>
              <w:kinsoku/>
              <w:overflowPunct/>
              <w:bidi w:val="0"/>
              <w:snapToGrid w:val="0"/>
              <w:spacing w:line="360" w:lineRule="auto"/>
              <w:jc w:val="both"/>
              <w:rPr>
                <w:rFonts w:hint="eastAsia" w:ascii="仿宋" w:hAnsi="仿宋" w:eastAsia="仿宋" w:cs="仿宋"/>
                <w:color w:val="auto"/>
                <w:highlight w:val="none"/>
              </w:rPr>
            </w:pPr>
          </w:p>
        </w:tc>
        <w:tc>
          <w:tcPr>
            <w:tcW w:w="1088" w:type="dxa"/>
            <w:vMerge w:val="continue"/>
            <w:tcBorders>
              <w:left w:val="single" w:color="auto" w:sz="4" w:space="0"/>
              <w:right w:val="single" w:color="auto" w:sz="4" w:space="0"/>
            </w:tcBorders>
            <w:vAlign w:val="center"/>
          </w:tcPr>
          <w:p w14:paraId="664F7688">
            <w:pPr>
              <w:keepNext w:val="0"/>
              <w:keepLines w:val="0"/>
              <w:pageBreakBefore w:val="0"/>
              <w:kinsoku/>
              <w:overflowPunct/>
              <w:bidi w:val="0"/>
              <w:snapToGrid w:val="0"/>
              <w:spacing w:line="360" w:lineRule="auto"/>
              <w:jc w:val="both"/>
              <w:rPr>
                <w:rFonts w:hint="eastAsia" w:ascii="仿宋" w:hAnsi="仿宋" w:eastAsia="仿宋" w:cs="仿宋"/>
                <w:color w:val="auto"/>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33EE5B90">
            <w:pPr>
              <w:keepNext w:val="0"/>
              <w:keepLines w:val="0"/>
              <w:pageBreakBefore w:val="0"/>
              <w:kinsoku/>
              <w:overflowPunct/>
              <w:bidi w:val="0"/>
              <w:snapToGrid w:val="0"/>
              <w:spacing w:line="360" w:lineRule="auto"/>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参加政府采购活动前三年内，在经营活动中没有重大违法记录</w:t>
            </w:r>
          </w:p>
        </w:tc>
        <w:tc>
          <w:tcPr>
            <w:tcW w:w="5333" w:type="dxa"/>
            <w:tcBorders>
              <w:left w:val="single" w:color="auto" w:sz="4" w:space="0"/>
              <w:right w:val="single" w:color="auto" w:sz="4" w:space="0"/>
            </w:tcBorders>
            <w:vAlign w:val="center"/>
          </w:tcPr>
          <w:p w14:paraId="7B67E26E">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符合第二章“供应商须知前附表”第1.4.1项规定</w:t>
            </w:r>
          </w:p>
        </w:tc>
      </w:tr>
      <w:tr w14:paraId="3DEC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2" w:type="dxa"/>
            <w:vMerge w:val="continue"/>
            <w:tcBorders>
              <w:left w:val="single" w:color="auto" w:sz="4" w:space="0"/>
              <w:right w:val="single" w:color="auto" w:sz="4" w:space="0"/>
            </w:tcBorders>
            <w:vAlign w:val="center"/>
          </w:tcPr>
          <w:p w14:paraId="7815778B">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06A49636">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4931D08E">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信誉要求</w:t>
            </w:r>
          </w:p>
        </w:tc>
        <w:tc>
          <w:tcPr>
            <w:tcW w:w="5333" w:type="dxa"/>
            <w:tcBorders>
              <w:left w:val="single" w:color="auto" w:sz="4" w:space="0"/>
              <w:right w:val="single" w:color="auto" w:sz="4" w:space="0"/>
            </w:tcBorders>
            <w:vAlign w:val="center"/>
          </w:tcPr>
          <w:p w14:paraId="16427364">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符合第二章“供应商须知前附表”第1.4.1项规定</w:t>
            </w:r>
          </w:p>
        </w:tc>
      </w:tr>
      <w:tr w14:paraId="559B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2" w:type="dxa"/>
            <w:vMerge w:val="continue"/>
            <w:tcBorders>
              <w:left w:val="single" w:color="auto" w:sz="4" w:space="0"/>
              <w:bottom w:val="single" w:color="auto" w:sz="4" w:space="0"/>
              <w:right w:val="single" w:color="auto" w:sz="4" w:space="0"/>
            </w:tcBorders>
            <w:vAlign w:val="center"/>
          </w:tcPr>
          <w:p w14:paraId="633B362B">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rPr>
            </w:pPr>
          </w:p>
        </w:tc>
        <w:tc>
          <w:tcPr>
            <w:tcW w:w="1088" w:type="dxa"/>
            <w:vMerge w:val="continue"/>
            <w:tcBorders>
              <w:left w:val="single" w:color="auto" w:sz="4" w:space="0"/>
              <w:bottom w:val="single" w:color="auto" w:sz="4" w:space="0"/>
              <w:right w:val="single" w:color="auto" w:sz="4" w:space="0"/>
            </w:tcBorders>
            <w:vAlign w:val="center"/>
          </w:tcPr>
          <w:p w14:paraId="48B65DFC">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76216EC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其他要求</w:t>
            </w:r>
          </w:p>
        </w:tc>
        <w:tc>
          <w:tcPr>
            <w:tcW w:w="5333" w:type="dxa"/>
            <w:tcBorders>
              <w:left w:val="single" w:color="auto" w:sz="4" w:space="0"/>
              <w:bottom w:val="single" w:color="auto" w:sz="4" w:space="0"/>
              <w:right w:val="single" w:color="auto" w:sz="4" w:space="0"/>
            </w:tcBorders>
            <w:vAlign w:val="center"/>
          </w:tcPr>
          <w:p w14:paraId="10C9B236">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符合第二章“供应商须知前附表”第1.4.1项规定</w:t>
            </w:r>
          </w:p>
        </w:tc>
      </w:tr>
      <w:tr w14:paraId="5AC2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2" w:type="dxa"/>
            <w:vMerge w:val="restart"/>
            <w:tcBorders>
              <w:top w:val="single" w:color="auto" w:sz="4" w:space="0"/>
              <w:left w:val="single" w:color="auto" w:sz="4" w:space="0"/>
              <w:right w:val="single" w:color="auto" w:sz="4" w:space="0"/>
            </w:tcBorders>
            <w:vAlign w:val="center"/>
          </w:tcPr>
          <w:p w14:paraId="176DD44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w:t>
            </w:r>
          </w:p>
        </w:tc>
        <w:tc>
          <w:tcPr>
            <w:tcW w:w="1088" w:type="dxa"/>
            <w:vMerge w:val="restart"/>
            <w:tcBorders>
              <w:top w:val="single" w:color="auto" w:sz="4" w:space="0"/>
              <w:left w:val="single" w:color="auto" w:sz="4" w:space="0"/>
              <w:right w:val="single" w:color="auto" w:sz="4" w:space="0"/>
            </w:tcBorders>
            <w:vAlign w:val="center"/>
          </w:tcPr>
          <w:p w14:paraId="448764E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响应性评审标准</w:t>
            </w:r>
          </w:p>
        </w:tc>
        <w:tc>
          <w:tcPr>
            <w:tcW w:w="2359" w:type="dxa"/>
            <w:tcBorders>
              <w:top w:val="single" w:color="auto" w:sz="4" w:space="0"/>
              <w:left w:val="single" w:color="auto" w:sz="4" w:space="0"/>
              <w:bottom w:val="single" w:color="auto" w:sz="4" w:space="0"/>
              <w:right w:val="single" w:color="auto" w:sz="4" w:space="0"/>
            </w:tcBorders>
            <w:vAlign w:val="center"/>
          </w:tcPr>
          <w:p w14:paraId="7A4CBBB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投标范围</w:t>
            </w:r>
          </w:p>
        </w:tc>
        <w:tc>
          <w:tcPr>
            <w:tcW w:w="5333" w:type="dxa"/>
            <w:tcBorders>
              <w:top w:val="single" w:color="auto" w:sz="4" w:space="0"/>
              <w:left w:val="single" w:color="auto" w:sz="4" w:space="0"/>
              <w:bottom w:val="single" w:color="auto" w:sz="4" w:space="0"/>
              <w:right w:val="single" w:color="auto" w:sz="4" w:space="0"/>
            </w:tcBorders>
            <w:vAlign w:val="center"/>
          </w:tcPr>
          <w:p w14:paraId="4F0ABA06">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符合第二章“供应商须知”第1.3.</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项规定</w:t>
            </w:r>
          </w:p>
        </w:tc>
      </w:tr>
      <w:tr w14:paraId="114B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862" w:type="dxa"/>
            <w:vMerge w:val="continue"/>
            <w:tcBorders>
              <w:left w:val="single" w:color="auto" w:sz="4" w:space="0"/>
              <w:right w:val="single" w:color="auto" w:sz="4" w:space="0"/>
            </w:tcBorders>
            <w:vAlign w:val="center"/>
          </w:tcPr>
          <w:p w14:paraId="1020133B">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21321158">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2CC954A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合作期</w:t>
            </w:r>
            <w:r>
              <w:rPr>
                <w:rFonts w:hint="eastAsia" w:ascii="仿宋" w:hAnsi="仿宋" w:eastAsia="仿宋" w:cs="仿宋"/>
                <w:color w:val="auto"/>
                <w:sz w:val="21"/>
                <w:szCs w:val="21"/>
                <w:highlight w:val="none"/>
                <w:lang w:val="en-US"/>
              </w:rPr>
              <w:t>限</w:t>
            </w:r>
          </w:p>
        </w:tc>
        <w:tc>
          <w:tcPr>
            <w:tcW w:w="5333" w:type="dxa"/>
            <w:tcBorders>
              <w:top w:val="single" w:color="auto" w:sz="4" w:space="0"/>
              <w:left w:val="single" w:color="auto" w:sz="4" w:space="0"/>
              <w:bottom w:val="single" w:color="auto" w:sz="4" w:space="0"/>
              <w:right w:val="single" w:color="auto" w:sz="4" w:space="0"/>
            </w:tcBorders>
            <w:vAlign w:val="center"/>
          </w:tcPr>
          <w:p w14:paraId="02AFE8D6">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符合第二章“供应商须知”第1.3.2项规定</w:t>
            </w:r>
          </w:p>
        </w:tc>
      </w:tr>
      <w:tr w14:paraId="5681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2" w:type="dxa"/>
            <w:vMerge w:val="continue"/>
            <w:tcBorders>
              <w:left w:val="single" w:color="auto" w:sz="4" w:space="0"/>
              <w:right w:val="single" w:color="auto" w:sz="4" w:space="0"/>
            </w:tcBorders>
            <w:vAlign w:val="center"/>
          </w:tcPr>
          <w:p w14:paraId="72F98BBE">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7CB406CD">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13D4829E">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质量要求</w:t>
            </w:r>
          </w:p>
        </w:tc>
        <w:tc>
          <w:tcPr>
            <w:tcW w:w="5333" w:type="dxa"/>
            <w:tcBorders>
              <w:top w:val="single" w:color="auto" w:sz="4" w:space="0"/>
              <w:left w:val="single" w:color="auto" w:sz="4" w:space="0"/>
              <w:bottom w:val="single" w:color="auto" w:sz="4" w:space="0"/>
              <w:right w:val="single" w:color="auto" w:sz="4" w:space="0"/>
            </w:tcBorders>
            <w:vAlign w:val="center"/>
          </w:tcPr>
          <w:p w14:paraId="6D860B3C">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符合第二章“供应商须知”第1.3.3项规定</w:t>
            </w:r>
          </w:p>
        </w:tc>
      </w:tr>
      <w:tr w14:paraId="0E2B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2" w:type="dxa"/>
            <w:vMerge w:val="continue"/>
            <w:tcBorders>
              <w:left w:val="single" w:color="auto" w:sz="4" w:space="0"/>
              <w:right w:val="single" w:color="auto" w:sz="4" w:space="0"/>
            </w:tcBorders>
            <w:vAlign w:val="center"/>
          </w:tcPr>
          <w:p w14:paraId="17312285">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52408767">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6F7FC8A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运作模式</w:t>
            </w:r>
          </w:p>
        </w:tc>
        <w:tc>
          <w:tcPr>
            <w:tcW w:w="5333" w:type="dxa"/>
            <w:tcBorders>
              <w:top w:val="single" w:color="auto" w:sz="4" w:space="0"/>
              <w:left w:val="single" w:color="auto" w:sz="4" w:space="0"/>
              <w:bottom w:val="single" w:color="auto" w:sz="4" w:space="0"/>
              <w:right w:val="single" w:color="auto" w:sz="4" w:space="0"/>
            </w:tcBorders>
            <w:vAlign w:val="center"/>
          </w:tcPr>
          <w:p w14:paraId="25586DFC">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符合第二章“供应商须知”第1.3.</w:t>
            </w:r>
            <w:r>
              <w:rPr>
                <w:rFonts w:hint="eastAsia" w:ascii="仿宋" w:hAnsi="仿宋" w:eastAsia="仿宋" w:cs="仿宋"/>
                <w:color w:val="auto"/>
                <w:sz w:val="21"/>
                <w:szCs w:val="21"/>
                <w:highlight w:val="none"/>
                <w:lang w:val="en-US"/>
              </w:rPr>
              <w:t>4</w:t>
            </w:r>
            <w:r>
              <w:rPr>
                <w:rFonts w:hint="eastAsia" w:ascii="仿宋" w:hAnsi="仿宋" w:eastAsia="仿宋" w:cs="仿宋"/>
                <w:color w:val="auto"/>
                <w:sz w:val="21"/>
                <w:szCs w:val="21"/>
                <w:highlight w:val="none"/>
              </w:rPr>
              <w:t>项规定</w:t>
            </w:r>
          </w:p>
        </w:tc>
      </w:tr>
      <w:tr w14:paraId="6497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2" w:type="dxa"/>
            <w:vMerge w:val="continue"/>
            <w:tcBorders>
              <w:left w:val="single" w:color="auto" w:sz="4" w:space="0"/>
              <w:right w:val="single" w:color="auto" w:sz="4" w:space="0"/>
            </w:tcBorders>
            <w:vAlign w:val="center"/>
          </w:tcPr>
          <w:p w14:paraId="4F952B7E">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7B97545E">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26DF63A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回报机制</w:t>
            </w:r>
          </w:p>
        </w:tc>
        <w:tc>
          <w:tcPr>
            <w:tcW w:w="5333" w:type="dxa"/>
            <w:tcBorders>
              <w:top w:val="single" w:color="auto" w:sz="4" w:space="0"/>
              <w:left w:val="single" w:color="auto" w:sz="4" w:space="0"/>
              <w:bottom w:val="single" w:color="auto" w:sz="4" w:space="0"/>
              <w:right w:val="single" w:color="auto" w:sz="4" w:space="0"/>
            </w:tcBorders>
            <w:vAlign w:val="center"/>
          </w:tcPr>
          <w:p w14:paraId="65A3F538">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符合第二章“供应商须知”第1.3.</w:t>
            </w:r>
            <w:r>
              <w:rPr>
                <w:rFonts w:hint="eastAsia" w:ascii="仿宋" w:hAnsi="仿宋" w:eastAsia="仿宋" w:cs="仿宋"/>
                <w:color w:val="auto"/>
                <w:sz w:val="21"/>
                <w:szCs w:val="21"/>
                <w:highlight w:val="none"/>
                <w:lang w:val="en-US"/>
              </w:rPr>
              <w:t>5</w:t>
            </w:r>
            <w:r>
              <w:rPr>
                <w:rFonts w:hint="eastAsia" w:ascii="仿宋" w:hAnsi="仿宋" w:eastAsia="仿宋" w:cs="仿宋"/>
                <w:color w:val="auto"/>
                <w:sz w:val="21"/>
                <w:szCs w:val="21"/>
                <w:highlight w:val="none"/>
              </w:rPr>
              <w:t>项规定</w:t>
            </w:r>
          </w:p>
        </w:tc>
      </w:tr>
      <w:tr w14:paraId="0657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2" w:type="dxa"/>
            <w:vMerge w:val="continue"/>
            <w:tcBorders>
              <w:left w:val="single" w:color="auto" w:sz="4" w:space="0"/>
              <w:right w:val="single" w:color="auto" w:sz="4" w:space="0"/>
            </w:tcBorders>
            <w:vAlign w:val="center"/>
          </w:tcPr>
          <w:p w14:paraId="59DCF12D">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2396A145">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0DC881C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投标有效期</w:t>
            </w:r>
          </w:p>
        </w:tc>
        <w:tc>
          <w:tcPr>
            <w:tcW w:w="5333" w:type="dxa"/>
            <w:tcBorders>
              <w:top w:val="single" w:color="auto" w:sz="4" w:space="0"/>
              <w:left w:val="single" w:color="auto" w:sz="4" w:space="0"/>
              <w:bottom w:val="single" w:color="auto" w:sz="4" w:space="0"/>
              <w:right w:val="single" w:color="auto" w:sz="4" w:space="0"/>
            </w:tcBorders>
            <w:vAlign w:val="center"/>
          </w:tcPr>
          <w:p w14:paraId="28552BC8">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符合第二章“供应商须知”第3.3.1项规定</w:t>
            </w:r>
          </w:p>
        </w:tc>
      </w:tr>
      <w:tr w14:paraId="32C0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2" w:type="dxa"/>
            <w:vMerge w:val="continue"/>
            <w:tcBorders>
              <w:left w:val="single" w:color="auto" w:sz="4" w:space="0"/>
              <w:bottom w:val="single" w:color="auto" w:sz="4" w:space="0"/>
              <w:right w:val="single" w:color="auto" w:sz="4" w:space="0"/>
            </w:tcBorders>
            <w:vAlign w:val="center"/>
          </w:tcPr>
          <w:p w14:paraId="2AE200AE">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1088" w:type="dxa"/>
            <w:vMerge w:val="continue"/>
            <w:tcBorders>
              <w:left w:val="single" w:color="auto" w:sz="4" w:space="0"/>
              <w:bottom w:val="single" w:color="auto" w:sz="4" w:space="0"/>
              <w:right w:val="single" w:color="auto" w:sz="4" w:space="0"/>
            </w:tcBorders>
            <w:vAlign w:val="center"/>
          </w:tcPr>
          <w:p w14:paraId="6E936C31">
            <w:pPr>
              <w:keepNext w:val="0"/>
              <w:keepLines w:val="0"/>
              <w:pageBreakBefore w:val="0"/>
              <w:widowControl/>
              <w:kinsoku/>
              <w:overflowPunct/>
              <w:bidi w:val="0"/>
              <w:snapToGrid w:val="0"/>
              <w:spacing w:line="360" w:lineRule="auto"/>
              <w:rPr>
                <w:rFonts w:hint="eastAsia" w:ascii="仿宋" w:hAnsi="仿宋" w:eastAsia="仿宋" w:cs="仿宋"/>
                <w:color w:val="auto"/>
                <w:sz w:val="21"/>
                <w:szCs w:val="21"/>
                <w:highlight w:val="none"/>
              </w:rPr>
            </w:pPr>
          </w:p>
        </w:tc>
        <w:tc>
          <w:tcPr>
            <w:tcW w:w="2359" w:type="dxa"/>
            <w:tcBorders>
              <w:top w:val="single" w:color="auto" w:sz="4" w:space="0"/>
              <w:left w:val="single" w:color="auto" w:sz="4" w:space="0"/>
              <w:bottom w:val="single" w:color="auto" w:sz="4" w:space="0"/>
              <w:right w:val="single" w:color="auto" w:sz="4" w:space="0"/>
            </w:tcBorders>
            <w:vAlign w:val="center"/>
          </w:tcPr>
          <w:p w14:paraId="195C8F1A">
            <w:pPr>
              <w:pStyle w:val="43"/>
              <w:keepNext w:val="0"/>
              <w:keepLines w:val="0"/>
              <w:pageBreakBefore w:val="0"/>
              <w:kinsoku/>
              <w:overflowPunct/>
              <w:bidi w:val="0"/>
              <w:snapToGrid w:val="0"/>
              <w:spacing w:line="360" w:lineRule="auto"/>
              <w:ind w:left="57" w:right="57"/>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投标</w:t>
            </w:r>
            <w:r>
              <w:rPr>
                <w:rFonts w:hint="eastAsia" w:ascii="仿宋" w:hAnsi="仿宋" w:eastAsia="仿宋" w:cs="仿宋"/>
                <w:color w:val="auto"/>
                <w:sz w:val="21"/>
                <w:szCs w:val="21"/>
                <w:highlight w:val="none"/>
                <w:lang w:val="en-US"/>
              </w:rPr>
              <w:t>报价</w:t>
            </w:r>
          </w:p>
        </w:tc>
        <w:tc>
          <w:tcPr>
            <w:tcW w:w="5333" w:type="dxa"/>
            <w:tcBorders>
              <w:top w:val="single" w:color="auto" w:sz="4" w:space="0"/>
              <w:left w:val="single" w:color="auto" w:sz="4" w:space="0"/>
              <w:bottom w:val="single" w:color="auto" w:sz="4" w:space="0"/>
              <w:right w:val="single" w:color="auto" w:sz="4" w:space="0"/>
            </w:tcBorders>
            <w:vAlign w:val="center"/>
          </w:tcPr>
          <w:p w14:paraId="7955F06F">
            <w:pPr>
              <w:pStyle w:val="43"/>
              <w:keepNext w:val="0"/>
              <w:keepLines w:val="0"/>
              <w:pageBreakBefore w:val="0"/>
              <w:kinsoku/>
              <w:overflowPunct/>
              <w:bidi w:val="0"/>
              <w:snapToGrid w:val="0"/>
              <w:spacing w:line="360" w:lineRule="auto"/>
              <w:ind w:left="57" w:right="57"/>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高</w:t>
            </w:r>
            <w:r>
              <w:rPr>
                <w:rFonts w:hint="eastAsia" w:ascii="仿宋" w:hAnsi="仿宋" w:eastAsia="仿宋" w:cs="仿宋"/>
                <w:color w:val="auto"/>
                <w:sz w:val="21"/>
                <w:szCs w:val="21"/>
                <w:highlight w:val="none"/>
              </w:rPr>
              <w:t>于（含等于）本项目</w:t>
            </w:r>
            <w:r>
              <w:rPr>
                <w:rFonts w:hint="eastAsia" w:ascii="仿宋" w:hAnsi="仿宋" w:eastAsia="仿宋" w:cs="仿宋"/>
                <w:color w:val="auto"/>
                <w:sz w:val="21"/>
                <w:szCs w:val="21"/>
                <w:highlight w:val="none"/>
                <w:lang w:val="en-US"/>
              </w:rPr>
              <w:t>招标控制价</w:t>
            </w:r>
          </w:p>
        </w:tc>
      </w:tr>
      <w:tr w14:paraId="73A9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50" w:type="dxa"/>
            <w:gridSpan w:val="2"/>
            <w:tcBorders>
              <w:top w:val="single" w:color="auto" w:sz="4" w:space="0"/>
              <w:left w:val="single" w:color="auto" w:sz="4" w:space="0"/>
              <w:bottom w:val="single" w:color="auto" w:sz="4" w:space="0"/>
              <w:right w:val="single" w:color="auto" w:sz="4" w:space="0"/>
            </w:tcBorders>
            <w:vAlign w:val="bottom"/>
          </w:tcPr>
          <w:p w14:paraId="1E03027E">
            <w:pPr>
              <w:keepNext w:val="0"/>
              <w:keepLines w:val="0"/>
              <w:pageBreakBefore w:val="0"/>
              <w:kinsoku/>
              <w:overflowPunct/>
              <w:bidi w:val="0"/>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w:t>
            </w:r>
          </w:p>
        </w:tc>
        <w:tc>
          <w:tcPr>
            <w:tcW w:w="2359" w:type="dxa"/>
            <w:tcBorders>
              <w:top w:val="single" w:color="auto" w:sz="4" w:space="0"/>
              <w:left w:val="single" w:color="auto" w:sz="4" w:space="0"/>
              <w:bottom w:val="single" w:color="auto" w:sz="4" w:space="0"/>
              <w:right w:val="single" w:color="auto" w:sz="4" w:space="0"/>
            </w:tcBorders>
            <w:vAlign w:val="bottom"/>
          </w:tcPr>
          <w:p w14:paraId="511C3FD3">
            <w:pPr>
              <w:keepNext w:val="0"/>
              <w:keepLines w:val="0"/>
              <w:pageBreakBefore w:val="0"/>
              <w:kinsoku/>
              <w:overflowPunct/>
              <w:bidi w:val="0"/>
              <w:snapToGrid w:val="0"/>
              <w:spacing w:line="360" w:lineRule="auto"/>
              <w:ind w:firstLine="422" w:firstLineChars="20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tc>
        <w:tc>
          <w:tcPr>
            <w:tcW w:w="5333" w:type="dxa"/>
            <w:tcBorders>
              <w:top w:val="single" w:color="auto" w:sz="4" w:space="0"/>
              <w:left w:val="single" w:color="auto" w:sz="4" w:space="0"/>
              <w:bottom w:val="single" w:color="auto" w:sz="4" w:space="0"/>
              <w:right w:val="single" w:color="auto" w:sz="4" w:space="0"/>
            </w:tcBorders>
            <w:vAlign w:val="bottom"/>
          </w:tcPr>
          <w:p w14:paraId="61127E67">
            <w:pPr>
              <w:keepNext w:val="0"/>
              <w:keepLines w:val="0"/>
              <w:pageBreakBefore w:val="0"/>
              <w:kinsoku/>
              <w:overflowPunct/>
              <w:bidi w:val="0"/>
              <w:snapToGri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r>
      <w:tr w14:paraId="1307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950" w:type="dxa"/>
            <w:gridSpan w:val="2"/>
            <w:tcBorders>
              <w:top w:val="single" w:color="auto" w:sz="4" w:space="0"/>
              <w:left w:val="single" w:color="auto" w:sz="4" w:space="0"/>
              <w:bottom w:val="single" w:color="auto" w:sz="4" w:space="0"/>
              <w:right w:val="single" w:color="auto" w:sz="4" w:space="0"/>
            </w:tcBorders>
            <w:vAlign w:val="center"/>
          </w:tcPr>
          <w:p w14:paraId="1D674CA5">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2.2</w:t>
            </w:r>
            <w:r>
              <w:rPr>
                <w:rFonts w:hint="eastAsia" w:ascii="仿宋" w:hAnsi="仿宋" w:eastAsia="仿宋" w:cs="仿宋"/>
                <w:color w:val="auto"/>
                <w:sz w:val="21"/>
                <w:szCs w:val="21"/>
                <w:highlight w:val="none"/>
                <w:lang w:val="en-US"/>
              </w:rPr>
              <w:t>.1</w:t>
            </w:r>
          </w:p>
        </w:tc>
        <w:tc>
          <w:tcPr>
            <w:tcW w:w="2359" w:type="dxa"/>
            <w:tcBorders>
              <w:top w:val="single" w:color="auto" w:sz="4" w:space="0"/>
              <w:left w:val="single" w:color="auto" w:sz="4" w:space="0"/>
              <w:bottom w:val="single" w:color="auto" w:sz="4" w:space="0"/>
              <w:right w:val="single" w:color="auto" w:sz="4" w:space="0"/>
            </w:tcBorders>
            <w:vAlign w:val="center"/>
          </w:tcPr>
          <w:p w14:paraId="1C6AC874">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分值构成</w:t>
            </w:r>
          </w:p>
          <w:p w14:paraId="2959AADC">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总分100分</w:t>
            </w:r>
            <w:r>
              <w:rPr>
                <w:rFonts w:hint="eastAsia" w:ascii="仿宋" w:hAnsi="仿宋" w:eastAsia="仿宋" w:cs="仿宋"/>
                <w:color w:val="auto"/>
                <w:sz w:val="21"/>
                <w:szCs w:val="21"/>
                <w:highlight w:val="none"/>
                <w:lang w:eastAsia="zh-CN"/>
              </w:rPr>
              <w:t>）</w:t>
            </w:r>
          </w:p>
        </w:tc>
        <w:tc>
          <w:tcPr>
            <w:tcW w:w="5333" w:type="dxa"/>
            <w:tcBorders>
              <w:top w:val="single" w:color="auto" w:sz="4" w:space="0"/>
              <w:left w:val="single" w:color="auto" w:sz="4" w:space="0"/>
              <w:bottom w:val="single" w:color="auto" w:sz="4" w:space="0"/>
              <w:right w:val="single" w:color="auto" w:sz="4" w:space="0"/>
            </w:tcBorders>
            <w:vAlign w:val="center"/>
          </w:tcPr>
          <w:p w14:paraId="17FB8A2C">
            <w:pPr>
              <w:keepNext w:val="0"/>
              <w:keepLines w:val="0"/>
              <w:pageBreakBefore w:val="0"/>
              <w:kinsoku/>
              <w:overflowPunct/>
              <w:bidi w:val="0"/>
              <w:adjustRightInd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投标报价：</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u w:val="single"/>
                <w:lang w:val="en-US"/>
              </w:rPr>
              <w:t>0</w:t>
            </w:r>
            <w:r>
              <w:rPr>
                <w:rFonts w:hint="eastAsia" w:ascii="仿宋" w:hAnsi="仿宋" w:eastAsia="仿宋" w:cs="仿宋"/>
                <w:color w:val="auto"/>
                <w:sz w:val="21"/>
                <w:szCs w:val="21"/>
                <w:highlight w:val="none"/>
                <w:lang w:val="en-US"/>
              </w:rPr>
              <w:t>分</w:t>
            </w:r>
          </w:p>
          <w:p w14:paraId="5BA1AC86">
            <w:pPr>
              <w:keepNext w:val="0"/>
              <w:keepLines w:val="0"/>
              <w:pageBreakBefore w:val="0"/>
              <w:kinsoku/>
              <w:overflowPunct/>
              <w:bidi w:val="0"/>
              <w:adjustRightInd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技术部分：</w:t>
            </w:r>
            <w:r>
              <w:rPr>
                <w:rFonts w:hint="eastAsia" w:ascii="仿宋" w:hAnsi="仿宋" w:eastAsia="仿宋" w:cs="仿宋"/>
                <w:color w:val="auto"/>
                <w:sz w:val="21"/>
                <w:szCs w:val="21"/>
                <w:highlight w:val="none"/>
                <w:u w:val="single"/>
                <w:lang w:val="en-US" w:eastAsia="zh-CN"/>
              </w:rPr>
              <w:t>54</w:t>
            </w:r>
            <w:r>
              <w:rPr>
                <w:rFonts w:hint="eastAsia" w:ascii="仿宋" w:hAnsi="仿宋" w:eastAsia="仿宋" w:cs="仿宋"/>
                <w:color w:val="auto"/>
                <w:sz w:val="21"/>
                <w:szCs w:val="21"/>
                <w:highlight w:val="none"/>
                <w:lang w:val="en-US"/>
              </w:rPr>
              <w:t>分</w:t>
            </w:r>
          </w:p>
          <w:p w14:paraId="323C52D8">
            <w:pPr>
              <w:keepNext w:val="0"/>
              <w:keepLines w:val="0"/>
              <w:pageBreakBefore w:val="0"/>
              <w:kinsoku/>
              <w:overflowPunct/>
              <w:bidi w:val="0"/>
              <w:adjustRightInd w:val="0"/>
              <w:snapToGrid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rPr>
              <w:t>商务部分</w:t>
            </w: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u w:val="single"/>
                <w:lang w:val="en-US" w:eastAsia="zh-CN"/>
              </w:rPr>
              <w:t>6</w:t>
            </w:r>
            <w:r>
              <w:rPr>
                <w:rFonts w:hint="eastAsia" w:ascii="仿宋" w:hAnsi="仿宋" w:eastAsia="仿宋" w:cs="仿宋"/>
                <w:color w:val="auto"/>
                <w:sz w:val="21"/>
                <w:szCs w:val="21"/>
                <w:highlight w:val="none"/>
                <w:lang w:val="en-US"/>
              </w:rPr>
              <w:t>分</w:t>
            </w:r>
          </w:p>
        </w:tc>
      </w:tr>
      <w:tr w14:paraId="59E7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 w:type="dxa"/>
            <w:vMerge w:val="restart"/>
            <w:tcBorders>
              <w:top w:val="single" w:color="auto" w:sz="4" w:space="0"/>
              <w:left w:val="single" w:color="auto" w:sz="4" w:space="0"/>
              <w:right w:val="single" w:color="auto" w:sz="4" w:space="0"/>
            </w:tcBorders>
            <w:vAlign w:val="center"/>
          </w:tcPr>
          <w:p w14:paraId="2ABB2BF8">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2.2.2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p>
        </w:tc>
        <w:tc>
          <w:tcPr>
            <w:tcW w:w="1088" w:type="dxa"/>
            <w:vMerge w:val="restart"/>
            <w:tcBorders>
              <w:top w:val="single" w:color="auto" w:sz="4" w:space="0"/>
              <w:left w:val="single" w:color="auto" w:sz="4" w:space="0"/>
              <w:right w:val="single" w:color="auto" w:sz="4" w:space="0"/>
            </w:tcBorders>
            <w:vAlign w:val="center"/>
          </w:tcPr>
          <w:p w14:paraId="727737AF">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投标报价评分标准</w:t>
            </w:r>
          </w:p>
          <w:p w14:paraId="2A6330A4">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p>
        </w:tc>
        <w:tc>
          <w:tcPr>
            <w:tcW w:w="7692" w:type="dxa"/>
            <w:gridSpan w:val="2"/>
            <w:tcBorders>
              <w:top w:val="single" w:color="auto" w:sz="4" w:space="0"/>
              <w:left w:val="single" w:color="auto" w:sz="4" w:space="0"/>
              <w:right w:val="single" w:color="auto" w:sz="4" w:space="0"/>
            </w:tcBorders>
            <w:vAlign w:val="center"/>
          </w:tcPr>
          <w:p w14:paraId="452A0686">
            <w:pPr>
              <w:keepNext w:val="0"/>
              <w:keepLines w:val="0"/>
              <w:pageBreakBefore w:val="0"/>
              <w:kinsoku/>
              <w:overflowPunct/>
              <w:bidi w:val="0"/>
              <w:snapToGrid w:val="0"/>
              <w:spacing w:line="360" w:lineRule="auto"/>
              <w:ind w:firstLine="420" w:firstLineChars="20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通过初审的供应商且完全响应招标控制价的得20分，不响应不得分。</w:t>
            </w:r>
          </w:p>
        </w:tc>
      </w:tr>
      <w:tr w14:paraId="65BF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2" w:type="dxa"/>
            <w:vMerge w:val="restart"/>
            <w:tcBorders>
              <w:top w:val="single" w:color="auto" w:sz="4" w:space="0"/>
              <w:left w:val="single" w:color="auto" w:sz="4" w:space="0"/>
              <w:right w:val="single" w:color="auto" w:sz="4" w:space="0"/>
            </w:tcBorders>
            <w:vAlign w:val="center"/>
          </w:tcPr>
          <w:p w14:paraId="4EBFE89C">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r>
              <w:rPr>
                <w:rFonts w:hint="eastAsia" w:ascii="仿宋" w:hAnsi="仿宋" w:eastAsia="仿宋" w:cs="仿宋"/>
                <w:color w:val="auto"/>
                <w:sz w:val="21"/>
                <w:szCs w:val="21"/>
                <w:highlight w:val="none"/>
                <w:lang w:val="en-US"/>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rPr>
              <w:t>2</w:t>
            </w:r>
            <w:r>
              <w:rPr>
                <w:rFonts w:hint="eastAsia" w:ascii="仿宋" w:hAnsi="仿宋" w:eastAsia="仿宋" w:cs="仿宋"/>
                <w:color w:val="auto"/>
                <w:sz w:val="21"/>
                <w:szCs w:val="21"/>
                <w:highlight w:val="none"/>
                <w:lang w:val="en-US" w:eastAsia="zh-CN"/>
              </w:rPr>
              <w:t>)</w:t>
            </w:r>
          </w:p>
        </w:tc>
        <w:tc>
          <w:tcPr>
            <w:tcW w:w="1088" w:type="dxa"/>
            <w:vMerge w:val="restart"/>
            <w:tcBorders>
              <w:top w:val="single" w:color="auto" w:sz="4" w:space="0"/>
              <w:left w:val="single" w:color="auto" w:sz="4" w:space="0"/>
              <w:right w:val="single" w:color="auto" w:sz="4" w:space="0"/>
            </w:tcBorders>
            <w:vAlign w:val="center"/>
          </w:tcPr>
          <w:p w14:paraId="0384F61F">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p w14:paraId="110A5EFC">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p w14:paraId="612677BB">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p w14:paraId="6DE9AF1B">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技术部分</w:t>
            </w:r>
          </w:p>
          <w:p w14:paraId="1A1B0F10">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54</w:t>
            </w:r>
            <w:r>
              <w:rPr>
                <w:rFonts w:hint="eastAsia" w:ascii="仿宋" w:hAnsi="仿宋" w:eastAsia="仿宋" w:cs="仿宋"/>
                <w:color w:val="auto"/>
                <w:sz w:val="21"/>
                <w:szCs w:val="21"/>
                <w:highlight w:val="none"/>
              </w:rPr>
              <w:t>分）</w:t>
            </w:r>
          </w:p>
          <w:p w14:paraId="522A1346">
            <w:pPr>
              <w:keepNext w:val="0"/>
              <w:keepLines w:val="0"/>
              <w:pageBreakBefore w:val="0"/>
              <w:kinsoku/>
              <w:overflowPunct/>
              <w:bidi w:val="0"/>
              <w:adjustRightInd w:val="0"/>
              <w:snapToGrid w:val="0"/>
              <w:spacing w:line="360" w:lineRule="auto"/>
              <w:jc w:val="both"/>
              <w:rPr>
                <w:rFonts w:hint="eastAsia" w:ascii="仿宋" w:hAnsi="仿宋" w:eastAsia="仿宋" w:cs="仿宋"/>
                <w:color w:val="auto"/>
                <w:sz w:val="21"/>
                <w:szCs w:val="21"/>
                <w:highlight w:val="none"/>
              </w:rPr>
            </w:pPr>
          </w:p>
        </w:tc>
        <w:tc>
          <w:tcPr>
            <w:tcW w:w="2359" w:type="dxa"/>
            <w:vMerge w:val="restart"/>
            <w:tcBorders>
              <w:top w:val="single" w:color="auto" w:sz="4" w:space="0"/>
              <w:left w:val="single" w:color="auto" w:sz="4" w:space="0"/>
              <w:right w:val="single" w:color="auto" w:sz="4" w:space="0"/>
            </w:tcBorders>
            <w:vAlign w:val="center"/>
          </w:tcPr>
          <w:p w14:paraId="20247AEF">
            <w:pPr>
              <w:keepNext w:val="0"/>
              <w:keepLines w:val="0"/>
              <w:pageBreakBefore w:val="0"/>
              <w:kinsoku/>
              <w:overflowPunct/>
              <w:bidi w:val="0"/>
              <w:adjustRightInd w:val="0"/>
              <w:snapToGrid w:val="0"/>
              <w:spacing w:line="36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融资方案</w:t>
            </w:r>
          </w:p>
          <w:p w14:paraId="331DEF48">
            <w:pPr>
              <w:pStyle w:val="22"/>
              <w:keepNext w:val="0"/>
              <w:keepLines w:val="0"/>
              <w:pageBreakBefore w:val="0"/>
              <w:kinsoku/>
              <w:overflowPunct/>
              <w:bidi w:val="0"/>
              <w:snapToGrid w:val="0"/>
              <w:spacing w:line="360" w:lineRule="auto"/>
              <w:ind w:firstLine="0" w:firstLineChars="0"/>
              <w:jc w:val="center"/>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val="en-US"/>
              </w:rPr>
              <w:t>分）</w:t>
            </w:r>
          </w:p>
          <w:p w14:paraId="1CDF824E">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c>
          <w:tcPr>
            <w:tcW w:w="5333" w:type="dxa"/>
            <w:tcBorders>
              <w:top w:val="single" w:color="auto" w:sz="4" w:space="0"/>
              <w:left w:val="single" w:color="auto" w:sz="4" w:space="0"/>
              <w:bottom w:val="single" w:color="auto" w:sz="4" w:space="0"/>
              <w:right w:val="single" w:color="auto" w:sz="4" w:space="0"/>
            </w:tcBorders>
          </w:tcPr>
          <w:p w14:paraId="594A2B50">
            <w:pPr>
              <w:keepNext w:val="0"/>
              <w:keepLines w:val="0"/>
              <w:pageBreakBefore w:val="0"/>
              <w:numPr>
                <w:ilvl w:val="0"/>
                <w:numId w:val="1"/>
              </w:numPr>
              <w:kinsoku/>
              <w:overflowPunct/>
              <w:bidi w:val="0"/>
              <w:snapToGrid w:val="0"/>
              <w:spacing w:line="36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融资计划安排（</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p w14:paraId="50D2E485">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提供完整融资计划，融资金额及到位时间，酌情得1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分，否则不得分。</w:t>
            </w:r>
          </w:p>
        </w:tc>
      </w:tr>
      <w:tr w14:paraId="1358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2" w:type="dxa"/>
            <w:vMerge w:val="continue"/>
            <w:tcBorders>
              <w:left w:val="single" w:color="auto" w:sz="4" w:space="0"/>
              <w:right w:val="single" w:color="auto" w:sz="4" w:space="0"/>
            </w:tcBorders>
            <w:vAlign w:val="center"/>
          </w:tcPr>
          <w:p w14:paraId="207527CB">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lang w:val="en-US"/>
              </w:rPr>
            </w:pPr>
          </w:p>
        </w:tc>
        <w:tc>
          <w:tcPr>
            <w:tcW w:w="1088" w:type="dxa"/>
            <w:vMerge w:val="continue"/>
            <w:tcBorders>
              <w:left w:val="single" w:color="auto" w:sz="4" w:space="0"/>
              <w:right w:val="single" w:color="auto" w:sz="4" w:space="0"/>
            </w:tcBorders>
            <w:vAlign w:val="center"/>
          </w:tcPr>
          <w:p w14:paraId="7500439A">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c>
          <w:tcPr>
            <w:tcW w:w="2359" w:type="dxa"/>
            <w:vMerge w:val="continue"/>
            <w:tcBorders>
              <w:left w:val="single" w:color="auto" w:sz="4" w:space="0"/>
              <w:right w:val="single" w:color="auto" w:sz="4" w:space="0"/>
            </w:tcBorders>
            <w:vAlign w:val="center"/>
          </w:tcPr>
          <w:p w14:paraId="7457E15E">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c>
          <w:tcPr>
            <w:tcW w:w="5333" w:type="dxa"/>
            <w:tcBorders>
              <w:top w:val="single" w:color="auto" w:sz="4" w:space="0"/>
              <w:left w:val="single" w:color="auto" w:sz="4" w:space="0"/>
              <w:bottom w:val="single" w:color="auto" w:sz="4" w:space="0"/>
              <w:right w:val="single" w:color="auto" w:sz="4" w:space="0"/>
            </w:tcBorders>
          </w:tcPr>
          <w:p w14:paraId="3028BD76">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2、融资种类，风险及控制措施（</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en-US"/>
              </w:rPr>
              <w:t>分）</w:t>
            </w:r>
          </w:p>
          <w:p w14:paraId="5334AF20">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a.融资种类不明确，或无融资风险分析、对应的预案及措施的不得分；</w:t>
            </w:r>
          </w:p>
          <w:p w14:paraId="580CA254">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b.融资种类明确，有融资风险分析、对应的预案及措施的，酌情得 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en-US"/>
              </w:rPr>
              <w:t>分。</w:t>
            </w:r>
          </w:p>
        </w:tc>
      </w:tr>
      <w:tr w14:paraId="0FA1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62" w:type="dxa"/>
            <w:vMerge w:val="continue"/>
            <w:tcBorders>
              <w:left w:val="single" w:color="auto" w:sz="4" w:space="0"/>
              <w:right w:val="single" w:color="auto" w:sz="4" w:space="0"/>
            </w:tcBorders>
            <w:vAlign w:val="center"/>
          </w:tcPr>
          <w:p w14:paraId="7F1F809E">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lang w:val="en-US"/>
              </w:rPr>
            </w:pPr>
          </w:p>
        </w:tc>
        <w:tc>
          <w:tcPr>
            <w:tcW w:w="1088" w:type="dxa"/>
            <w:vMerge w:val="continue"/>
            <w:tcBorders>
              <w:left w:val="single" w:color="auto" w:sz="4" w:space="0"/>
              <w:right w:val="single" w:color="auto" w:sz="4" w:space="0"/>
            </w:tcBorders>
            <w:vAlign w:val="center"/>
          </w:tcPr>
          <w:p w14:paraId="095BCA95">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c>
          <w:tcPr>
            <w:tcW w:w="2359" w:type="dxa"/>
            <w:vMerge w:val="continue"/>
            <w:tcBorders>
              <w:left w:val="single" w:color="auto" w:sz="4" w:space="0"/>
              <w:right w:val="single" w:color="auto" w:sz="4" w:space="0"/>
            </w:tcBorders>
            <w:vAlign w:val="center"/>
          </w:tcPr>
          <w:p w14:paraId="64607C65">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c>
          <w:tcPr>
            <w:tcW w:w="5333" w:type="dxa"/>
            <w:tcBorders>
              <w:top w:val="single" w:color="auto" w:sz="4" w:space="0"/>
              <w:left w:val="single" w:color="auto" w:sz="4" w:space="0"/>
              <w:bottom w:val="single" w:color="auto" w:sz="4" w:space="0"/>
              <w:right w:val="single" w:color="auto" w:sz="4" w:space="0"/>
            </w:tcBorders>
          </w:tcPr>
          <w:p w14:paraId="5D9AE167">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3、融资结构、资金成本（</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en-US"/>
              </w:rPr>
              <w:t>分）</w:t>
            </w:r>
          </w:p>
          <w:p w14:paraId="014A1AEE">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rPr>
              <w:t>提供项目取得融资资金的构成、比重关系以及融资利率，根据方案的合理性、可行性酌情得1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en-US"/>
              </w:rPr>
              <w:t>分</w:t>
            </w:r>
            <w:r>
              <w:rPr>
                <w:rFonts w:hint="eastAsia" w:ascii="仿宋" w:hAnsi="仿宋" w:eastAsia="仿宋" w:cs="仿宋"/>
                <w:color w:val="auto"/>
                <w:sz w:val="21"/>
                <w:szCs w:val="21"/>
                <w:highlight w:val="none"/>
                <w:lang w:val="en-US" w:eastAsia="zh-CN"/>
              </w:rPr>
              <w:t>。</w:t>
            </w:r>
          </w:p>
        </w:tc>
      </w:tr>
      <w:tr w14:paraId="49CB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62" w:type="dxa"/>
            <w:vMerge w:val="continue"/>
            <w:tcBorders>
              <w:left w:val="single" w:color="auto" w:sz="4" w:space="0"/>
              <w:right w:val="single" w:color="auto" w:sz="4" w:space="0"/>
            </w:tcBorders>
            <w:vAlign w:val="center"/>
          </w:tcPr>
          <w:p w14:paraId="5A32A447">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lang w:val="en-US"/>
              </w:rPr>
            </w:pPr>
          </w:p>
        </w:tc>
        <w:tc>
          <w:tcPr>
            <w:tcW w:w="1088" w:type="dxa"/>
            <w:vMerge w:val="continue"/>
            <w:tcBorders>
              <w:left w:val="single" w:color="auto" w:sz="4" w:space="0"/>
              <w:right w:val="single" w:color="auto" w:sz="4" w:space="0"/>
            </w:tcBorders>
            <w:vAlign w:val="center"/>
          </w:tcPr>
          <w:p w14:paraId="5C60F376">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c>
          <w:tcPr>
            <w:tcW w:w="2359" w:type="dxa"/>
            <w:vMerge w:val="restart"/>
            <w:tcBorders>
              <w:left w:val="single" w:color="auto" w:sz="4" w:space="0"/>
              <w:right w:val="single" w:color="auto" w:sz="4" w:space="0"/>
            </w:tcBorders>
            <w:vAlign w:val="center"/>
          </w:tcPr>
          <w:p w14:paraId="4E11CD1F">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项目公司</w:t>
            </w:r>
            <w:r>
              <w:rPr>
                <w:rFonts w:hint="eastAsia" w:ascii="仿宋" w:hAnsi="仿宋" w:eastAsia="仿宋" w:cs="仿宋"/>
                <w:color w:val="auto"/>
                <w:sz w:val="21"/>
                <w:szCs w:val="21"/>
                <w:highlight w:val="none"/>
                <w:lang w:val="en-US" w:eastAsia="zh-CN"/>
              </w:rPr>
              <w:t>组建</w:t>
            </w:r>
            <w:r>
              <w:rPr>
                <w:rFonts w:hint="eastAsia" w:ascii="仿宋" w:hAnsi="仿宋" w:eastAsia="仿宋" w:cs="仿宋"/>
                <w:color w:val="auto"/>
                <w:sz w:val="21"/>
                <w:szCs w:val="21"/>
                <w:highlight w:val="none"/>
                <w:lang w:val="en-US"/>
              </w:rPr>
              <w:t>方案</w:t>
            </w:r>
          </w:p>
          <w:p w14:paraId="6437DB4E">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c>
          <w:tcPr>
            <w:tcW w:w="5333" w:type="dxa"/>
            <w:tcBorders>
              <w:top w:val="single" w:color="auto" w:sz="4" w:space="0"/>
              <w:left w:val="single" w:color="auto" w:sz="4" w:space="0"/>
              <w:bottom w:val="single" w:color="auto" w:sz="4" w:space="0"/>
              <w:right w:val="single" w:color="auto" w:sz="4" w:space="0"/>
            </w:tcBorders>
            <w:vAlign w:val="center"/>
          </w:tcPr>
          <w:p w14:paraId="69EAB9B9">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包括但不限于</w:t>
            </w: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lang w:val="en-US"/>
              </w:rPr>
              <w:t>公司组建时的前期工作、组织结构、人员配备、岗位职责等。（</w:t>
            </w:r>
            <w:r>
              <w:rPr>
                <w:rFonts w:hint="eastAsia" w:ascii="仿宋" w:hAnsi="仿宋" w:eastAsia="仿宋" w:cs="仿宋"/>
                <w:color w:val="auto"/>
                <w:sz w:val="21"/>
                <w:szCs w:val="21"/>
                <w:highlight w:val="none"/>
                <w:lang w:val="en-US" w:eastAsia="zh-CN"/>
              </w:rPr>
              <w:t>13</w:t>
            </w:r>
            <w:r>
              <w:rPr>
                <w:rFonts w:hint="eastAsia" w:ascii="仿宋" w:hAnsi="仿宋" w:eastAsia="仿宋" w:cs="仿宋"/>
                <w:color w:val="auto"/>
                <w:sz w:val="21"/>
                <w:szCs w:val="21"/>
                <w:highlight w:val="none"/>
                <w:lang w:val="en-US"/>
              </w:rPr>
              <w:t xml:space="preserve">分） </w:t>
            </w:r>
          </w:p>
          <w:p w14:paraId="613859CB">
            <w:pPr>
              <w:keepNext w:val="0"/>
              <w:keepLines w:val="0"/>
              <w:pageBreakBefore w:val="0"/>
              <w:numPr>
                <w:ilvl w:val="-1"/>
                <w:numId w:val="0"/>
              </w:numPr>
              <w:kinsoku/>
              <w:overflowPunct/>
              <w:bidi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rPr>
              <w:t>内容详实，方案科学、合理，考虑周全，针对性强得</w:t>
            </w:r>
            <w:r>
              <w:rPr>
                <w:rFonts w:hint="eastAsia" w:ascii="仿宋" w:hAnsi="仿宋" w:eastAsia="仿宋" w:cs="仿宋"/>
                <w:color w:val="auto"/>
                <w:sz w:val="21"/>
                <w:szCs w:val="21"/>
                <w:highlight w:val="none"/>
                <w:lang w:val="en-US" w:eastAsia="zh-CN"/>
              </w:rPr>
              <w:t>9～13分</w:t>
            </w:r>
            <w:r>
              <w:rPr>
                <w:rFonts w:hint="eastAsia" w:ascii="仿宋" w:hAnsi="仿宋" w:eastAsia="仿宋" w:cs="仿宋"/>
                <w:color w:val="auto"/>
                <w:sz w:val="21"/>
                <w:szCs w:val="21"/>
                <w:highlight w:val="none"/>
                <w:lang w:val="en-US"/>
              </w:rPr>
              <w:t xml:space="preserve">； </w:t>
            </w:r>
          </w:p>
          <w:p w14:paraId="1C195521">
            <w:pPr>
              <w:keepNext w:val="0"/>
              <w:keepLines w:val="0"/>
              <w:pageBreakBefore w:val="0"/>
              <w:numPr>
                <w:ilvl w:val="-1"/>
                <w:numId w:val="0"/>
              </w:numPr>
              <w:kinsoku/>
              <w:overflowPunct/>
              <w:bidi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2.内容完整，方案基本科学、合理，基本考虑周全，针对性较强得</w:t>
            </w:r>
            <w:r>
              <w:rPr>
                <w:rFonts w:hint="eastAsia" w:ascii="仿宋" w:hAnsi="仿宋" w:eastAsia="仿宋" w:cs="仿宋"/>
                <w:color w:val="auto"/>
                <w:sz w:val="21"/>
                <w:szCs w:val="21"/>
                <w:highlight w:val="none"/>
                <w:lang w:val="en-US" w:eastAsia="zh-CN"/>
              </w:rPr>
              <w:t>5～8</w:t>
            </w:r>
            <w:r>
              <w:rPr>
                <w:rFonts w:hint="eastAsia" w:ascii="仿宋" w:hAnsi="仿宋" w:eastAsia="仿宋" w:cs="仿宋"/>
                <w:color w:val="auto"/>
                <w:sz w:val="21"/>
                <w:szCs w:val="21"/>
                <w:highlight w:val="none"/>
                <w:lang w:val="en-US"/>
              </w:rPr>
              <w:t xml:space="preserve">分； </w:t>
            </w:r>
          </w:p>
          <w:p w14:paraId="11D843C9">
            <w:pPr>
              <w:keepNext w:val="0"/>
              <w:keepLines w:val="0"/>
              <w:pageBreakBefore w:val="0"/>
              <w:numPr>
                <w:ilvl w:val="-1"/>
                <w:numId w:val="0"/>
              </w:numPr>
              <w:kinsoku/>
              <w:overflowPunct/>
              <w:bidi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rPr>
              <w:t>内容基本完整，方案不科学、合理，基本考虑不周，针对性不强，但有很多方面需要进一步完善甚至重新考虑得</w:t>
            </w:r>
            <w:r>
              <w:rPr>
                <w:rFonts w:hint="eastAsia" w:ascii="仿宋" w:hAnsi="仿宋" w:eastAsia="仿宋" w:cs="仿宋"/>
                <w:color w:val="auto"/>
                <w:sz w:val="21"/>
                <w:szCs w:val="21"/>
                <w:highlight w:val="none"/>
                <w:lang w:val="en-US" w:eastAsia="zh-CN"/>
              </w:rPr>
              <w:t>1～4</w:t>
            </w:r>
            <w:r>
              <w:rPr>
                <w:rFonts w:hint="eastAsia" w:ascii="仿宋" w:hAnsi="仿宋" w:eastAsia="仿宋" w:cs="仿宋"/>
                <w:color w:val="auto"/>
                <w:sz w:val="21"/>
                <w:szCs w:val="21"/>
                <w:highlight w:val="none"/>
                <w:lang w:val="en-US"/>
              </w:rPr>
              <w:t>分。 未提供不得分</w:t>
            </w:r>
          </w:p>
        </w:tc>
      </w:tr>
      <w:tr w14:paraId="20EE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62" w:type="dxa"/>
            <w:vMerge w:val="continue"/>
            <w:tcBorders>
              <w:left w:val="single" w:color="auto" w:sz="4" w:space="0"/>
              <w:right w:val="single" w:color="auto" w:sz="4" w:space="0"/>
            </w:tcBorders>
            <w:vAlign w:val="center"/>
          </w:tcPr>
          <w:p w14:paraId="62830265">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bookmarkStart w:id="269" w:name="OLE_LINK1" w:colFirst="2" w:colLast="2"/>
            <w:bookmarkStart w:id="270" w:name="OLE_LINK2" w:colFirst="2" w:colLast="2"/>
          </w:p>
        </w:tc>
        <w:tc>
          <w:tcPr>
            <w:tcW w:w="1088" w:type="dxa"/>
            <w:vMerge w:val="continue"/>
            <w:tcBorders>
              <w:left w:val="single" w:color="auto" w:sz="4" w:space="0"/>
              <w:right w:val="single" w:color="auto" w:sz="4" w:space="0"/>
            </w:tcBorders>
            <w:vAlign w:val="center"/>
          </w:tcPr>
          <w:p w14:paraId="7467FEE4">
            <w:pPr>
              <w:keepNext w:val="0"/>
              <w:keepLines w:val="0"/>
              <w:pageBreakBefore w:val="0"/>
              <w:kinsoku/>
              <w:overflowPunct/>
              <w:bidi w:val="0"/>
              <w:adjustRightInd w:val="0"/>
              <w:snapToGrid w:val="0"/>
              <w:spacing w:line="360" w:lineRule="auto"/>
              <w:rPr>
                <w:rFonts w:hint="eastAsia" w:ascii="仿宋" w:hAnsi="仿宋" w:eastAsia="仿宋" w:cs="仿宋"/>
                <w:color w:val="auto"/>
                <w:sz w:val="21"/>
                <w:szCs w:val="21"/>
                <w:highlight w:val="none"/>
              </w:rPr>
            </w:pPr>
          </w:p>
        </w:tc>
        <w:tc>
          <w:tcPr>
            <w:tcW w:w="2359" w:type="dxa"/>
            <w:vMerge w:val="restart"/>
            <w:tcBorders>
              <w:top w:val="single" w:color="auto" w:sz="4" w:space="0"/>
              <w:left w:val="single" w:color="auto" w:sz="4" w:space="0"/>
              <w:right w:val="single" w:color="auto" w:sz="4" w:space="0"/>
            </w:tcBorders>
            <w:vAlign w:val="center"/>
          </w:tcPr>
          <w:p w14:paraId="5446DC9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运营</w:t>
            </w:r>
            <w:r>
              <w:rPr>
                <w:rFonts w:hint="eastAsia" w:ascii="仿宋" w:hAnsi="仿宋" w:eastAsia="仿宋" w:cs="仿宋"/>
                <w:color w:val="auto"/>
                <w:sz w:val="21"/>
                <w:szCs w:val="21"/>
                <w:highlight w:val="none"/>
              </w:rPr>
              <w:t>方案</w:t>
            </w:r>
          </w:p>
          <w:p w14:paraId="0E7AABE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rPr>
              <w:t>1</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tc>
        <w:tc>
          <w:tcPr>
            <w:tcW w:w="5333" w:type="dxa"/>
            <w:tcBorders>
              <w:top w:val="single" w:color="auto" w:sz="4" w:space="0"/>
              <w:left w:val="single" w:color="auto" w:sz="4" w:space="0"/>
              <w:bottom w:val="single" w:color="auto" w:sz="4" w:space="0"/>
              <w:right w:val="single" w:color="auto" w:sz="4" w:space="0"/>
            </w:tcBorders>
            <w:vAlign w:val="center"/>
          </w:tcPr>
          <w:p w14:paraId="3E6E77F0">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1、项目运营、管理方案（0</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en-US"/>
              </w:rPr>
              <w:t>分）（方案是否合理、科学、有效进行综合评定）。</w:t>
            </w:r>
          </w:p>
        </w:tc>
      </w:tr>
      <w:tr w14:paraId="0B89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62" w:type="dxa"/>
            <w:vMerge w:val="continue"/>
            <w:tcBorders>
              <w:left w:val="single" w:color="auto" w:sz="4" w:space="0"/>
              <w:right w:val="single" w:color="auto" w:sz="4" w:space="0"/>
            </w:tcBorders>
            <w:vAlign w:val="center"/>
          </w:tcPr>
          <w:p w14:paraId="7BBB950E">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3D54752F">
            <w:pPr>
              <w:keepNext w:val="0"/>
              <w:keepLines w:val="0"/>
              <w:pageBreakBefore w:val="0"/>
              <w:kinsoku/>
              <w:overflowPunct/>
              <w:bidi w:val="0"/>
              <w:adjustRightInd w:val="0"/>
              <w:snapToGrid w:val="0"/>
              <w:spacing w:line="360" w:lineRule="auto"/>
              <w:rPr>
                <w:rFonts w:hint="eastAsia" w:ascii="仿宋" w:hAnsi="仿宋" w:eastAsia="仿宋" w:cs="仿宋"/>
                <w:color w:val="auto"/>
                <w:sz w:val="21"/>
                <w:szCs w:val="21"/>
                <w:highlight w:val="none"/>
              </w:rPr>
            </w:pPr>
          </w:p>
        </w:tc>
        <w:tc>
          <w:tcPr>
            <w:tcW w:w="2359" w:type="dxa"/>
            <w:vMerge w:val="continue"/>
            <w:tcBorders>
              <w:left w:val="single" w:color="auto" w:sz="4" w:space="0"/>
              <w:right w:val="single" w:color="auto" w:sz="4" w:space="0"/>
            </w:tcBorders>
          </w:tcPr>
          <w:p w14:paraId="2E7DDABB">
            <w:pPr>
              <w:pStyle w:val="43"/>
              <w:keepNext w:val="0"/>
              <w:keepLines w:val="0"/>
              <w:pageBreakBefore w:val="0"/>
              <w:kinsoku/>
              <w:overflowPunct/>
              <w:bidi w:val="0"/>
              <w:snapToGrid w:val="0"/>
              <w:spacing w:before="155" w:line="360" w:lineRule="auto"/>
              <w:ind w:left="78" w:right="72"/>
              <w:jc w:val="center"/>
              <w:rPr>
                <w:rFonts w:hint="eastAsia" w:ascii="仿宋" w:hAnsi="仿宋" w:eastAsia="仿宋" w:cs="仿宋"/>
                <w:color w:val="auto"/>
                <w:sz w:val="21"/>
                <w:szCs w:val="21"/>
                <w:highlight w:val="none"/>
              </w:rPr>
            </w:pPr>
          </w:p>
        </w:tc>
        <w:tc>
          <w:tcPr>
            <w:tcW w:w="5333" w:type="dxa"/>
            <w:tcBorders>
              <w:top w:val="single" w:color="auto" w:sz="4" w:space="0"/>
              <w:left w:val="single" w:color="auto" w:sz="4" w:space="0"/>
              <w:bottom w:val="single" w:color="auto" w:sz="4" w:space="0"/>
              <w:right w:val="single" w:color="auto" w:sz="4" w:space="0"/>
            </w:tcBorders>
            <w:vAlign w:val="center"/>
          </w:tcPr>
          <w:p w14:paraId="555AEF67">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2、项目管理机构设置方案（0</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en-US"/>
              </w:rPr>
              <w:t>分）（项目管理机构设置是否合理分工是否明确、责任是否清晰进行综合评定。）</w:t>
            </w:r>
          </w:p>
        </w:tc>
      </w:tr>
      <w:tr w14:paraId="58A7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62" w:type="dxa"/>
            <w:vMerge w:val="continue"/>
            <w:tcBorders>
              <w:left w:val="single" w:color="auto" w:sz="4" w:space="0"/>
              <w:right w:val="single" w:color="auto" w:sz="4" w:space="0"/>
            </w:tcBorders>
            <w:vAlign w:val="center"/>
          </w:tcPr>
          <w:p w14:paraId="4DD4435C">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63A95DAD">
            <w:pPr>
              <w:keepNext w:val="0"/>
              <w:keepLines w:val="0"/>
              <w:pageBreakBefore w:val="0"/>
              <w:kinsoku/>
              <w:overflowPunct/>
              <w:bidi w:val="0"/>
              <w:adjustRightInd w:val="0"/>
              <w:snapToGrid w:val="0"/>
              <w:spacing w:line="360" w:lineRule="auto"/>
              <w:rPr>
                <w:rFonts w:hint="eastAsia" w:ascii="仿宋" w:hAnsi="仿宋" w:eastAsia="仿宋" w:cs="仿宋"/>
                <w:color w:val="auto"/>
                <w:sz w:val="21"/>
                <w:szCs w:val="21"/>
                <w:highlight w:val="none"/>
              </w:rPr>
            </w:pPr>
          </w:p>
        </w:tc>
        <w:tc>
          <w:tcPr>
            <w:tcW w:w="2359" w:type="dxa"/>
            <w:vMerge w:val="continue"/>
            <w:tcBorders>
              <w:left w:val="single" w:color="auto" w:sz="4" w:space="0"/>
              <w:bottom w:val="single" w:color="auto" w:sz="4" w:space="0"/>
              <w:right w:val="single" w:color="auto" w:sz="4" w:space="0"/>
            </w:tcBorders>
            <w:vAlign w:val="center"/>
          </w:tcPr>
          <w:p w14:paraId="3B754D6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5333" w:type="dxa"/>
            <w:tcBorders>
              <w:top w:val="single" w:color="auto" w:sz="4" w:space="0"/>
              <w:left w:val="single" w:color="auto" w:sz="4" w:space="0"/>
              <w:bottom w:val="single" w:color="auto" w:sz="4" w:space="0"/>
              <w:right w:val="single" w:color="auto" w:sz="4" w:space="0"/>
            </w:tcBorders>
            <w:vAlign w:val="center"/>
          </w:tcPr>
          <w:p w14:paraId="3F370279">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3、突发事件应急预案（0</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en-US"/>
              </w:rPr>
              <w:t>分）（针对突发紧急情况有完整的应急预案，并根据应急预案的合理性和完整性）。</w:t>
            </w:r>
          </w:p>
        </w:tc>
      </w:tr>
      <w:tr w14:paraId="3B4B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62" w:type="dxa"/>
            <w:vMerge w:val="continue"/>
            <w:tcBorders>
              <w:left w:val="single" w:color="auto" w:sz="4" w:space="0"/>
              <w:right w:val="single" w:color="auto" w:sz="4" w:space="0"/>
            </w:tcBorders>
            <w:vAlign w:val="center"/>
          </w:tcPr>
          <w:p w14:paraId="0166A864">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2F032F44">
            <w:pPr>
              <w:keepNext w:val="0"/>
              <w:keepLines w:val="0"/>
              <w:pageBreakBefore w:val="0"/>
              <w:kinsoku/>
              <w:overflowPunct/>
              <w:bidi w:val="0"/>
              <w:adjustRightInd w:val="0"/>
              <w:snapToGrid w:val="0"/>
              <w:spacing w:line="360" w:lineRule="auto"/>
              <w:rPr>
                <w:rFonts w:hint="eastAsia" w:ascii="仿宋" w:hAnsi="仿宋" w:eastAsia="仿宋" w:cs="仿宋"/>
                <w:color w:val="auto"/>
                <w:sz w:val="21"/>
                <w:szCs w:val="21"/>
                <w:highlight w:val="none"/>
              </w:rPr>
            </w:pPr>
          </w:p>
        </w:tc>
        <w:tc>
          <w:tcPr>
            <w:tcW w:w="2359" w:type="dxa"/>
            <w:tcBorders>
              <w:left w:val="single" w:color="auto" w:sz="4" w:space="0"/>
              <w:bottom w:val="single" w:color="auto" w:sz="4" w:space="0"/>
              <w:right w:val="single" w:color="auto" w:sz="4" w:space="0"/>
            </w:tcBorders>
            <w:vAlign w:val="center"/>
          </w:tcPr>
          <w:p w14:paraId="68B6C09B">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移交方案</w:t>
            </w:r>
          </w:p>
          <w:p w14:paraId="14DB31FC">
            <w:pPr>
              <w:keepNext w:val="0"/>
              <w:keepLines w:val="0"/>
              <w:pageBreakBefore w:val="0"/>
              <w:kinsoku/>
              <w:overflowPunct/>
              <w:bidi w:val="0"/>
              <w:snapToGrid w:val="0"/>
              <w:spacing w:line="360" w:lineRule="auto"/>
              <w:jc w:val="center"/>
              <w:rPr>
                <w:rFonts w:hint="eastAsia" w:ascii="仿宋" w:hAnsi="仿宋" w:eastAsia="仿宋" w:cs="仿宋"/>
                <w:color w:val="auto"/>
                <w:highlight w:val="none"/>
                <w:lang w:val="en-US"/>
              </w:rPr>
            </w:pP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val="en-US"/>
              </w:rPr>
              <w:t>分）</w:t>
            </w:r>
          </w:p>
        </w:tc>
        <w:tc>
          <w:tcPr>
            <w:tcW w:w="5333" w:type="dxa"/>
            <w:tcBorders>
              <w:top w:val="single" w:color="auto" w:sz="4" w:space="0"/>
              <w:left w:val="single" w:color="auto" w:sz="4" w:space="0"/>
              <w:bottom w:val="single" w:color="auto" w:sz="4" w:space="0"/>
              <w:right w:val="single" w:color="auto" w:sz="4" w:space="0"/>
            </w:tcBorders>
          </w:tcPr>
          <w:p w14:paraId="751A7B9A">
            <w:pPr>
              <w:keepNext w:val="0"/>
              <w:keepLines w:val="0"/>
              <w:pageBreakBefore w:val="0"/>
              <w:kinsoku/>
              <w:overflowPunct/>
              <w:bidi w:val="0"/>
              <w:snapToGrid w:val="0"/>
              <w:spacing w:line="360" w:lineRule="auto"/>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最后恢复性大修方案和移交方案是否合理，可操作性强，性能保证值满足要求，移交测试程序可操作性强；分档打分，优：</w:t>
            </w:r>
            <w:r>
              <w:rPr>
                <w:rFonts w:hint="eastAsia" w:ascii="仿宋" w:hAnsi="仿宋" w:eastAsia="仿宋" w:cs="仿宋"/>
                <w:color w:val="auto"/>
                <w:sz w:val="21"/>
                <w:szCs w:val="21"/>
                <w:highlight w:val="none"/>
                <w:lang w:val="en-US" w:eastAsia="zh-CN"/>
              </w:rPr>
              <w:t>6～8</w:t>
            </w:r>
            <w:r>
              <w:rPr>
                <w:rFonts w:hint="eastAsia" w:ascii="仿宋" w:hAnsi="仿宋" w:eastAsia="仿宋" w:cs="仿宋"/>
                <w:color w:val="auto"/>
                <w:sz w:val="21"/>
                <w:szCs w:val="21"/>
                <w:highlight w:val="none"/>
                <w:lang w:val="en-US"/>
              </w:rPr>
              <w:t>分；良：3</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en-US"/>
              </w:rPr>
              <w:t>分；一般：1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rPr>
              <w:t>2分，缺项不得分</w:t>
            </w:r>
          </w:p>
        </w:tc>
      </w:tr>
      <w:tr w14:paraId="6267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62" w:type="dxa"/>
            <w:vMerge w:val="restart"/>
            <w:tcBorders>
              <w:left w:val="single" w:color="auto" w:sz="4" w:space="0"/>
              <w:right w:val="single" w:color="auto" w:sz="4" w:space="0"/>
            </w:tcBorders>
            <w:vAlign w:val="center"/>
          </w:tcPr>
          <w:p w14:paraId="78DB3915">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r>
              <w:rPr>
                <w:rFonts w:hint="eastAsia" w:ascii="仿宋" w:hAnsi="仿宋" w:eastAsia="仿宋" w:cs="仿宋"/>
                <w:color w:val="auto"/>
                <w:sz w:val="21"/>
                <w:szCs w:val="21"/>
                <w:highlight w:val="none"/>
                <w:lang w:val="en-US"/>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rPr>
              <w:t>3</w:t>
            </w:r>
            <w:r>
              <w:rPr>
                <w:rFonts w:hint="eastAsia" w:ascii="仿宋" w:hAnsi="仿宋" w:eastAsia="仿宋" w:cs="仿宋"/>
                <w:color w:val="auto"/>
                <w:sz w:val="21"/>
                <w:szCs w:val="21"/>
                <w:highlight w:val="none"/>
                <w:lang w:val="en-US" w:eastAsia="zh-CN"/>
              </w:rPr>
              <w:t>)</w:t>
            </w:r>
          </w:p>
        </w:tc>
        <w:tc>
          <w:tcPr>
            <w:tcW w:w="1088" w:type="dxa"/>
            <w:vMerge w:val="restart"/>
            <w:tcBorders>
              <w:left w:val="single" w:color="auto" w:sz="4" w:space="0"/>
              <w:right w:val="single" w:color="auto" w:sz="4" w:space="0"/>
            </w:tcBorders>
            <w:vAlign w:val="center"/>
          </w:tcPr>
          <w:p w14:paraId="6B121CAF">
            <w:pPr>
              <w:keepNext w:val="0"/>
              <w:keepLines w:val="0"/>
              <w:pageBreakBefore w:val="0"/>
              <w:kinsoku/>
              <w:overflowPunct/>
              <w:bidi w:val="0"/>
              <w:adjustRightInd w:val="0"/>
              <w:snapToGrid w:val="0"/>
              <w:spacing w:line="360" w:lineRule="auto"/>
              <w:jc w:val="center"/>
              <w:rPr>
                <w:rFonts w:hint="eastAsia" w:ascii="仿宋" w:hAnsi="仿宋" w:eastAsia="仿宋" w:cs="仿宋"/>
                <w:bCs/>
                <w:color w:val="auto"/>
                <w:sz w:val="21"/>
                <w:szCs w:val="21"/>
                <w:highlight w:val="none"/>
                <w:lang w:val="en-US"/>
              </w:rPr>
            </w:pPr>
            <w:r>
              <w:rPr>
                <w:rFonts w:hint="eastAsia" w:ascii="仿宋" w:hAnsi="仿宋" w:eastAsia="仿宋" w:cs="仿宋"/>
                <w:bCs/>
                <w:color w:val="auto"/>
                <w:sz w:val="21"/>
                <w:szCs w:val="21"/>
                <w:highlight w:val="none"/>
                <w:lang w:val="en-US"/>
              </w:rPr>
              <w:t>商务部分</w:t>
            </w:r>
          </w:p>
          <w:p w14:paraId="4C299EE9">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bCs/>
                <w:color w:val="auto"/>
                <w:sz w:val="21"/>
                <w:szCs w:val="21"/>
                <w:highlight w:val="none"/>
                <w:lang w:val="en-US"/>
              </w:rPr>
              <w:t>（</w:t>
            </w:r>
            <w:r>
              <w:rPr>
                <w:rFonts w:hint="eastAsia" w:ascii="仿宋" w:hAnsi="仿宋" w:eastAsia="仿宋" w:cs="仿宋"/>
                <w:bCs/>
                <w:color w:val="auto"/>
                <w:sz w:val="21"/>
                <w:szCs w:val="21"/>
                <w:highlight w:val="none"/>
                <w:lang w:val="en-US" w:eastAsia="zh-CN"/>
              </w:rPr>
              <w:t>26</w:t>
            </w:r>
            <w:r>
              <w:rPr>
                <w:rFonts w:hint="eastAsia" w:ascii="仿宋" w:hAnsi="仿宋" w:eastAsia="仿宋" w:cs="仿宋"/>
                <w:bCs/>
                <w:color w:val="auto"/>
                <w:sz w:val="21"/>
                <w:szCs w:val="21"/>
                <w:highlight w:val="none"/>
                <w:lang w:val="en-US"/>
              </w:rPr>
              <w:t>分）</w:t>
            </w:r>
          </w:p>
        </w:tc>
        <w:tc>
          <w:tcPr>
            <w:tcW w:w="2359" w:type="dxa"/>
            <w:tcBorders>
              <w:top w:val="single" w:color="auto" w:sz="4" w:space="0"/>
              <w:left w:val="single" w:color="auto" w:sz="4" w:space="0"/>
              <w:bottom w:val="single" w:color="auto" w:sz="4" w:space="0"/>
              <w:right w:val="single" w:color="auto" w:sz="4" w:space="0"/>
            </w:tcBorders>
            <w:vAlign w:val="center"/>
          </w:tcPr>
          <w:p w14:paraId="745D361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信誉</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rPr>
              <w:t>3</w:t>
            </w:r>
            <w:r>
              <w:rPr>
                <w:rFonts w:hint="eastAsia" w:ascii="仿宋" w:hAnsi="仿宋" w:eastAsia="仿宋" w:cs="仿宋"/>
                <w:color w:val="auto"/>
                <w:sz w:val="21"/>
                <w:szCs w:val="21"/>
                <w:highlight w:val="none"/>
              </w:rPr>
              <w:t>分）</w:t>
            </w:r>
          </w:p>
        </w:tc>
        <w:tc>
          <w:tcPr>
            <w:tcW w:w="5333" w:type="dxa"/>
            <w:tcBorders>
              <w:top w:val="single" w:color="auto" w:sz="4" w:space="0"/>
              <w:left w:val="single" w:color="auto" w:sz="4" w:space="0"/>
              <w:bottom w:val="single" w:color="auto" w:sz="4" w:space="0"/>
              <w:right w:val="single" w:color="auto" w:sz="4" w:space="0"/>
            </w:tcBorders>
            <w:vAlign w:val="center"/>
          </w:tcPr>
          <w:p w14:paraId="2247D175">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供应商通过ISO9001质量管理体系认证、ISO14001环境管理体系认证、ISO45001职业健康安全管理体系认证，并均在有效期内的，每个得1分，最高得3分。</w:t>
            </w:r>
          </w:p>
        </w:tc>
      </w:tr>
      <w:tr w14:paraId="76E9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62" w:type="dxa"/>
            <w:vMerge w:val="continue"/>
            <w:tcBorders>
              <w:left w:val="single" w:color="auto" w:sz="4" w:space="0"/>
              <w:right w:val="single" w:color="auto" w:sz="4" w:space="0"/>
            </w:tcBorders>
            <w:vAlign w:val="center"/>
          </w:tcPr>
          <w:p w14:paraId="3FCA8C2B">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48F75E02">
            <w:pPr>
              <w:keepNext w:val="0"/>
              <w:keepLines w:val="0"/>
              <w:pageBreakBefore w:val="0"/>
              <w:kinsoku/>
              <w:overflowPunct/>
              <w:bidi w:val="0"/>
              <w:adjustRightInd w:val="0"/>
              <w:snapToGrid w:val="0"/>
              <w:spacing w:line="360" w:lineRule="auto"/>
              <w:jc w:val="center"/>
              <w:rPr>
                <w:rFonts w:hint="eastAsia" w:ascii="仿宋" w:hAnsi="仿宋" w:eastAsia="仿宋" w:cs="仿宋"/>
                <w:bCs/>
                <w:color w:val="auto"/>
                <w:sz w:val="21"/>
                <w:szCs w:val="21"/>
                <w:highlight w:val="none"/>
                <w:lang w:val="en-US"/>
              </w:rPr>
            </w:pPr>
          </w:p>
        </w:tc>
        <w:tc>
          <w:tcPr>
            <w:tcW w:w="2359" w:type="dxa"/>
            <w:tcBorders>
              <w:top w:val="single" w:color="auto" w:sz="4" w:space="0"/>
              <w:left w:val="single" w:color="auto" w:sz="4" w:space="0"/>
              <w:bottom w:val="single" w:color="auto" w:sz="4" w:space="0"/>
              <w:right w:val="single" w:color="auto" w:sz="4" w:space="0"/>
            </w:tcBorders>
            <w:vAlign w:val="center"/>
          </w:tcPr>
          <w:p w14:paraId="6E83474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业绩</w:t>
            </w:r>
          </w:p>
          <w:p w14:paraId="015BB2A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en-US"/>
              </w:rPr>
              <w:t>分）</w:t>
            </w:r>
          </w:p>
          <w:p w14:paraId="365BCA84">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lang w:val="en-US"/>
              </w:rPr>
            </w:pPr>
          </w:p>
        </w:tc>
        <w:tc>
          <w:tcPr>
            <w:tcW w:w="5333" w:type="dxa"/>
            <w:tcBorders>
              <w:top w:val="single" w:color="auto" w:sz="4" w:space="0"/>
              <w:left w:val="single" w:color="auto" w:sz="4" w:space="0"/>
              <w:bottom w:val="single" w:color="auto" w:sz="4" w:space="0"/>
              <w:right w:val="single" w:color="auto" w:sz="4" w:space="0"/>
            </w:tcBorders>
            <w:vAlign w:val="center"/>
          </w:tcPr>
          <w:p w14:paraId="21FAAFDA">
            <w:pPr>
              <w:keepNext w:val="0"/>
              <w:keepLines w:val="0"/>
              <w:pageBreakBefore w:val="0"/>
              <w:numPr>
                <w:ilvl w:val="0"/>
                <w:numId w:val="0"/>
              </w:numPr>
              <w:kinsoku/>
              <w:overflowPunct/>
              <w:bidi w:val="0"/>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供应商自202</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rPr>
              <w:t>年1月1日至投标截止日，供应商签订的</w:t>
            </w:r>
            <w:r>
              <w:rPr>
                <w:rFonts w:hint="eastAsia" w:ascii="仿宋" w:hAnsi="仿宋" w:eastAsia="仿宋" w:cs="仿宋"/>
                <w:color w:val="auto"/>
                <w:sz w:val="21"/>
                <w:szCs w:val="21"/>
                <w:highlight w:val="none"/>
                <w:lang w:val="en-US" w:eastAsia="zh-CN"/>
              </w:rPr>
              <w:t>类似项目</w:t>
            </w:r>
            <w:r>
              <w:rPr>
                <w:rFonts w:hint="eastAsia" w:ascii="仿宋" w:hAnsi="仿宋" w:eastAsia="仿宋" w:cs="仿宋"/>
                <w:color w:val="auto"/>
                <w:sz w:val="21"/>
                <w:szCs w:val="21"/>
                <w:highlight w:val="none"/>
                <w:lang w:val="en-US"/>
              </w:rPr>
              <w:t>特许经营合同的，每个项目得3分，最高得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en-US"/>
              </w:rPr>
              <w:t>分。</w:t>
            </w:r>
          </w:p>
          <w:p w14:paraId="0C838F2E">
            <w:pPr>
              <w:pStyle w:val="23"/>
              <w:keepNext w:val="0"/>
              <w:keepLines w:val="0"/>
              <w:pageBreakBefore w:val="0"/>
              <w:kinsoku/>
              <w:overflowPunct/>
              <w:bidi w:val="0"/>
              <w:snapToGrid w:val="0"/>
              <w:spacing w:line="360" w:lineRule="auto"/>
              <w:ind w:left="0" w:leftChars="0" w:firstLine="0" w:firstLineChars="0"/>
              <w:rPr>
                <w:rFonts w:hint="eastAsia" w:ascii="仿宋" w:hAnsi="仿宋" w:eastAsia="仿宋" w:cs="仿宋"/>
                <w:color w:val="auto"/>
                <w:highlight w:val="none"/>
                <w:lang w:val="en-US"/>
              </w:rPr>
            </w:pPr>
            <w:r>
              <w:rPr>
                <w:rFonts w:hint="eastAsia" w:ascii="仿宋" w:hAnsi="仿宋" w:eastAsia="仿宋" w:cs="仿宋"/>
                <w:b/>
                <w:bCs/>
                <w:color w:val="auto"/>
                <w:sz w:val="21"/>
                <w:szCs w:val="21"/>
                <w:highlight w:val="none"/>
                <w:lang w:val="en-US"/>
              </w:rPr>
              <w:t>注：1）以上均须提供成交通知书及合同协议书原件的扫描件，扫描件清晰可见，否则不得分；2）以合同协议书签订时间为准。</w:t>
            </w:r>
          </w:p>
        </w:tc>
      </w:tr>
      <w:tr w14:paraId="14B3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62" w:type="dxa"/>
            <w:vMerge w:val="continue"/>
            <w:tcBorders>
              <w:left w:val="single" w:color="auto" w:sz="4" w:space="0"/>
              <w:right w:val="single" w:color="auto" w:sz="4" w:space="0"/>
            </w:tcBorders>
            <w:vAlign w:val="center"/>
          </w:tcPr>
          <w:p w14:paraId="122301DB">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1B4D854A">
            <w:pPr>
              <w:keepNext w:val="0"/>
              <w:keepLines w:val="0"/>
              <w:pageBreakBefore w:val="0"/>
              <w:kinsoku/>
              <w:overflowPunct/>
              <w:bidi w:val="0"/>
              <w:adjustRightInd w:val="0"/>
              <w:snapToGrid w:val="0"/>
              <w:spacing w:line="360" w:lineRule="auto"/>
              <w:jc w:val="center"/>
              <w:rPr>
                <w:rFonts w:hint="eastAsia" w:ascii="仿宋" w:hAnsi="仿宋" w:eastAsia="仿宋" w:cs="仿宋"/>
                <w:bCs/>
                <w:color w:val="auto"/>
                <w:sz w:val="21"/>
                <w:szCs w:val="21"/>
                <w:highlight w:val="none"/>
                <w:lang w:val="en-US"/>
              </w:rPr>
            </w:pPr>
          </w:p>
        </w:tc>
        <w:tc>
          <w:tcPr>
            <w:tcW w:w="2359" w:type="dxa"/>
            <w:tcBorders>
              <w:top w:val="single" w:color="auto" w:sz="4" w:space="0"/>
              <w:left w:val="single" w:color="auto" w:sz="4" w:space="0"/>
              <w:bottom w:val="single" w:color="auto" w:sz="4" w:space="0"/>
              <w:right w:val="single" w:color="auto" w:sz="4" w:space="0"/>
            </w:tcBorders>
            <w:vAlign w:val="center"/>
          </w:tcPr>
          <w:p w14:paraId="65EB8B3F">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项目人员实力水平</w:t>
            </w:r>
          </w:p>
          <w:p w14:paraId="119E6E9B">
            <w:pPr>
              <w:keepNext w:val="0"/>
              <w:keepLines w:val="0"/>
              <w:pageBreakBefore w:val="0"/>
              <w:kinsoku/>
              <w:overflowPunct/>
              <w:bidi w:val="0"/>
              <w:snapToGrid w:val="0"/>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c>
          <w:tcPr>
            <w:tcW w:w="5333" w:type="dxa"/>
            <w:tcBorders>
              <w:top w:val="single" w:color="auto" w:sz="4" w:space="0"/>
              <w:left w:val="single" w:color="auto" w:sz="4" w:space="0"/>
              <w:bottom w:val="single" w:color="auto" w:sz="4" w:space="0"/>
              <w:right w:val="single" w:color="auto" w:sz="4" w:space="0"/>
            </w:tcBorders>
            <w:vAlign w:val="center"/>
          </w:tcPr>
          <w:p w14:paraId="24709A05">
            <w:pPr>
              <w:keepNext w:val="0"/>
              <w:keepLines w:val="0"/>
              <w:pageBreakBefore w:val="0"/>
              <w:kinsoku/>
              <w:overflowPunct/>
              <w:bidi w:val="0"/>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lang w:val="en-US"/>
              </w:rPr>
              <w:t>每提供一个市政</w:t>
            </w:r>
            <w:r>
              <w:rPr>
                <w:rFonts w:hint="eastAsia" w:ascii="仿宋" w:hAnsi="仿宋" w:eastAsia="仿宋" w:cs="仿宋"/>
                <w:color w:val="auto"/>
                <w:highlight w:val="none"/>
                <w:lang w:val="en-US" w:eastAsia="zh-CN"/>
              </w:rPr>
              <w:t>工程</w:t>
            </w:r>
            <w:r>
              <w:rPr>
                <w:rFonts w:hint="eastAsia" w:ascii="仿宋" w:hAnsi="仿宋" w:eastAsia="仿宋" w:cs="仿宋"/>
                <w:color w:val="auto"/>
                <w:highlight w:val="none"/>
                <w:lang w:val="en-US"/>
              </w:rPr>
              <w:t>专业中级工程师得1分，每提供一个市政</w:t>
            </w:r>
            <w:r>
              <w:rPr>
                <w:rFonts w:hint="eastAsia" w:ascii="仿宋" w:hAnsi="仿宋" w:eastAsia="仿宋" w:cs="仿宋"/>
                <w:color w:val="auto"/>
                <w:highlight w:val="none"/>
                <w:lang w:val="en-US" w:eastAsia="zh-CN"/>
              </w:rPr>
              <w:t>工程</w:t>
            </w:r>
            <w:r>
              <w:rPr>
                <w:rFonts w:hint="eastAsia" w:ascii="仿宋" w:hAnsi="仿宋" w:eastAsia="仿宋" w:cs="仿宋"/>
                <w:color w:val="auto"/>
                <w:highlight w:val="none"/>
                <w:lang w:val="en-US"/>
              </w:rPr>
              <w:t>专业高级工程师得2分，最高得6分。提供职称证书原件的扫描件和2024年1月1日以来</w:t>
            </w:r>
            <w:r>
              <w:rPr>
                <w:rFonts w:hint="eastAsia" w:ascii="仿宋" w:hAnsi="仿宋" w:eastAsia="仿宋" w:cs="仿宋"/>
                <w:color w:val="auto"/>
                <w:highlight w:val="none"/>
                <w:lang w:val="en-US" w:eastAsia="zh-CN"/>
              </w:rPr>
              <w:t>本单位</w:t>
            </w:r>
            <w:r>
              <w:rPr>
                <w:rFonts w:hint="eastAsia" w:ascii="仿宋" w:hAnsi="仿宋" w:eastAsia="仿宋" w:cs="仿宋"/>
                <w:color w:val="auto"/>
                <w:highlight w:val="none"/>
                <w:lang w:val="en-US"/>
              </w:rPr>
              <w:t>连续三个月</w:t>
            </w:r>
            <w:r>
              <w:rPr>
                <w:rFonts w:hint="eastAsia" w:ascii="仿宋" w:hAnsi="仿宋" w:eastAsia="仿宋" w:cs="仿宋"/>
                <w:color w:val="auto"/>
                <w:highlight w:val="none"/>
                <w:lang w:val="en-US" w:eastAsia="zh-CN"/>
              </w:rPr>
              <w:t>为其缴纳</w:t>
            </w:r>
            <w:r>
              <w:rPr>
                <w:rFonts w:hint="eastAsia" w:ascii="仿宋" w:hAnsi="仿宋" w:eastAsia="仿宋" w:cs="仿宋"/>
                <w:color w:val="auto"/>
                <w:highlight w:val="none"/>
                <w:lang w:val="en-US"/>
              </w:rPr>
              <w:t>的社保缴纳证明扫描件，不提供不得分。</w:t>
            </w:r>
          </w:p>
        </w:tc>
      </w:tr>
      <w:tr w14:paraId="5E1E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62" w:type="dxa"/>
            <w:vMerge w:val="continue"/>
            <w:tcBorders>
              <w:left w:val="single" w:color="auto" w:sz="4" w:space="0"/>
              <w:right w:val="single" w:color="auto" w:sz="4" w:space="0"/>
            </w:tcBorders>
            <w:vAlign w:val="center"/>
          </w:tcPr>
          <w:p w14:paraId="52608F65">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3FDF35E0">
            <w:pPr>
              <w:keepNext w:val="0"/>
              <w:keepLines w:val="0"/>
              <w:pageBreakBefore w:val="0"/>
              <w:kinsoku/>
              <w:overflowPunct/>
              <w:bidi w:val="0"/>
              <w:adjustRightInd w:val="0"/>
              <w:snapToGrid w:val="0"/>
              <w:spacing w:line="360" w:lineRule="auto"/>
              <w:jc w:val="center"/>
              <w:rPr>
                <w:rFonts w:hint="eastAsia" w:ascii="仿宋" w:hAnsi="仿宋" w:eastAsia="仿宋" w:cs="仿宋"/>
                <w:bCs/>
                <w:color w:val="auto"/>
                <w:sz w:val="21"/>
                <w:szCs w:val="21"/>
                <w:highlight w:val="none"/>
                <w:lang w:val="en-US"/>
              </w:rPr>
            </w:pPr>
          </w:p>
        </w:tc>
        <w:tc>
          <w:tcPr>
            <w:tcW w:w="2359" w:type="dxa"/>
            <w:tcBorders>
              <w:top w:val="single" w:color="auto" w:sz="4" w:space="0"/>
              <w:left w:val="single" w:color="auto" w:sz="4" w:space="0"/>
              <w:bottom w:val="single" w:color="auto" w:sz="4" w:space="0"/>
              <w:right w:val="single" w:color="auto" w:sz="4" w:space="0"/>
            </w:tcBorders>
            <w:vAlign w:val="center"/>
          </w:tcPr>
          <w:p w14:paraId="4D6A09D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融资能力</w:t>
            </w: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US"/>
              </w:rPr>
              <w:t>分）</w:t>
            </w:r>
          </w:p>
        </w:tc>
        <w:tc>
          <w:tcPr>
            <w:tcW w:w="5333" w:type="dxa"/>
            <w:tcBorders>
              <w:top w:val="single" w:color="auto" w:sz="4" w:space="0"/>
              <w:left w:val="single" w:color="auto" w:sz="4" w:space="0"/>
              <w:bottom w:val="single" w:color="auto" w:sz="4" w:space="0"/>
              <w:right w:val="single" w:color="auto" w:sz="4" w:space="0"/>
            </w:tcBorders>
            <w:vAlign w:val="center"/>
          </w:tcPr>
          <w:p w14:paraId="49632E00">
            <w:pPr>
              <w:keepNext w:val="0"/>
              <w:keepLines w:val="0"/>
              <w:pageBreakBefore w:val="0"/>
              <w:kinsoku/>
              <w:overflowPunct/>
              <w:bidi w:val="0"/>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供应商具有不低于8</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en-US"/>
              </w:rPr>
              <w:t>00.00万元的资金实力或融资能力，以提供银行出具的自有资金证明或授信额度证明或金融机构出具的贷款或融资意向书/函/合同为准。得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en-US"/>
              </w:rPr>
              <w:t>分。</w:t>
            </w:r>
          </w:p>
        </w:tc>
      </w:tr>
      <w:tr w14:paraId="1222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62" w:type="dxa"/>
            <w:vMerge w:val="continue"/>
            <w:tcBorders>
              <w:left w:val="single" w:color="auto" w:sz="4" w:space="0"/>
              <w:right w:val="single" w:color="auto" w:sz="4" w:space="0"/>
            </w:tcBorders>
            <w:vAlign w:val="center"/>
          </w:tcPr>
          <w:p w14:paraId="404B02E5">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57A6EC39">
            <w:pPr>
              <w:keepNext w:val="0"/>
              <w:keepLines w:val="0"/>
              <w:pageBreakBefore w:val="0"/>
              <w:kinsoku/>
              <w:overflowPunct/>
              <w:bidi w:val="0"/>
              <w:adjustRightInd w:val="0"/>
              <w:snapToGrid w:val="0"/>
              <w:spacing w:line="360" w:lineRule="auto"/>
              <w:jc w:val="center"/>
              <w:rPr>
                <w:rFonts w:hint="eastAsia" w:ascii="仿宋" w:hAnsi="仿宋" w:eastAsia="仿宋" w:cs="仿宋"/>
                <w:bCs/>
                <w:color w:val="auto"/>
                <w:sz w:val="21"/>
                <w:szCs w:val="21"/>
                <w:highlight w:val="none"/>
                <w:lang w:val="en-US"/>
              </w:rPr>
            </w:pPr>
          </w:p>
        </w:tc>
        <w:tc>
          <w:tcPr>
            <w:tcW w:w="2359" w:type="dxa"/>
            <w:vMerge w:val="restart"/>
            <w:tcBorders>
              <w:top w:val="single" w:color="auto" w:sz="4" w:space="0"/>
              <w:left w:val="single" w:color="auto" w:sz="4" w:space="0"/>
              <w:right w:val="single" w:color="auto" w:sz="4" w:space="0"/>
            </w:tcBorders>
            <w:vAlign w:val="center"/>
          </w:tcPr>
          <w:p w14:paraId="73E4D2A4">
            <w:pPr>
              <w:pStyle w:val="43"/>
              <w:keepNext w:val="0"/>
              <w:keepLines w:val="0"/>
              <w:pageBreakBefore w:val="0"/>
              <w:kinsoku/>
              <w:overflowPunct/>
              <w:bidi w:val="0"/>
              <w:snapToGrid w:val="0"/>
              <w:spacing w:before="5" w:line="360" w:lineRule="auto"/>
              <w:jc w:val="center"/>
              <w:rPr>
                <w:rFonts w:hint="eastAsia" w:ascii="仿宋" w:hAnsi="仿宋" w:eastAsia="仿宋" w:cs="仿宋"/>
                <w:color w:val="auto"/>
                <w:sz w:val="21"/>
                <w:szCs w:val="21"/>
                <w:highlight w:val="none"/>
              </w:rPr>
            </w:pPr>
          </w:p>
          <w:p w14:paraId="13E1C0BE">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服务承诺</w:t>
            </w:r>
          </w:p>
          <w:p w14:paraId="64F5E5B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val="en-US"/>
              </w:rPr>
              <w:t>分）</w:t>
            </w:r>
          </w:p>
          <w:p w14:paraId="033226AA">
            <w:pPr>
              <w:pStyle w:val="43"/>
              <w:keepNext w:val="0"/>
              <w:keepLines w:val="0"/>
              <w:pageBreakBefore w:val="0"/>
              <w:kinsoku/>
              <w:overflowPunct/>
              <w:bidi w:val="0"/>
              <w:snapToGrid w:val="0"/>
              <w:spacing w:before="7" w:line="360" w:lineRule="auto"/>
              <w:jc w:val="center"/>
              <w:rPr>
                <w:rFonts w:hint="eastAsia" w:ascii="仿宋" w:hAnsi="仿宋" w:eastAsia="仿宋" w:cs="仿宋"/>
                <w:color w:val="auto"/>
                <w:sz w:val="21"/>
                <w:szCs w:val="21"/>
                <w:highlight w:val="none"/>
              </w:rPr>
            </w:pPr>
          </w:p>
          <w:p w14:paraId="7BFE72A2">
            <w:pPr>
              <w:pStyle w:val="43"/>
              <w:keepNext w:val="0"/>
              <w:keepLines w:val="0"/>
              <w:pageBreakBefore w:val="0"/>
              <w:kinsoku/>
              <w:overflowPunct/>
              <w:bidi w:val="0"/>
              <w:snapToGrid w:val="0"/>
              <w:spacing w:before="1" w:line="360" w:lineRule="auto"/>
              <w:ind w:left="59" w:right="55"/>
              <w:jc w:val="center"/>
              <w:rPr>
                <w:rFonts w:hint="eastAsia" w:ascii="仿宋" w:hAnsi="仿宋" w:eastAsia="仿宋" w:cs="仿宋"/>
                <w:color w:val="auto"/>
                <w:sz w:val="21"/>
                <w:szCs w:val="21"/>
                <w:highlight w:val="none"/>
                <w:lang w:val="en-US"/>
              </w:rPr>
            </w:pPr>
          </w:p>
        </w:tc>
        <w:tc>
          <w:tcPr>
            <w:tcW w:w="5333" w:type="dxa"/>
            <w:tcBorders>
              <w:top w:val="single" w:color="auto" w:sz="4" w:space="0"/>
              <w:left w:val="single" w:color="auto" w:sz="4" w:space="0"/>
              <w:bottom w:val="single" w:color="auto" w:sz="4" w:space="0"/>
              <w:right w:val="single" w:color="auto" w:sz="4" w:space="0"/>
            </w:tcBorders>
            <w:vAlign w:val="center"/>
          </w:tcPr>
          <w:p w14:paraId="0920AD83">
            <w:pPr>
              <w:keepNext w:val="0"/>
              <w:keepLines w:val="0"/>
              <w:pageBreakBefore w:val="0"/>
              <w:kinsoku/>
              <w:overflowPunct/>
              <w:bidi w:val="0"/>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根据供应商的服务承诺、技术支持能力、技术培训优劣进行综合比较</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en-US"/>
              </w:rPr>
              <w:t>分</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val="en-US"/>
              </w:rPr>
              <w:t xml:space="preserve">； </w:t>
            </w:r>
          </w:p>
          <w:p w14:paraId="21DA79A5">
            <w:pPr>
              <w:keepNext w:val="0"/>
              <w:keepLines w:val="0"/>
              <w:pageBreakBefore w:val="0"/>
              <w:kinsoku/>
              <w:overflowPunct/>
              <w:bidi w:val="0"/>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内容合理、详细，完整，针对性强得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en-US"/>
              </w:rPr>
              <w:t xml:space="preserve">分； </w:t>
            </w:r>
          </w:p>
          <w:p w14:paraId="6FDB5E72">
            <w:pPr>
              <w:keepNext w:val="0"/>
              <w:keepLines w:val="0"/>
              <w:pageBreakBefore w:val="0"/>
              <w:kinsoku/>
              <w:overflowPunct/>
              <w:bidi w:val="0"/>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内容详实、基本完整，针对性较强得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en-US"/>
              </w:rPr>
              <w:t xml:space="preserve">分； </w:t>
            </w:r>
          </w:p>
          <w:p w14:paraId="03EAA518">
            <w:pPr>
              <w:keepNext w:val="0"/>
              <w:keepLines w:val="0"/>
              <w:pageBreakBefore w:val="0"/>
              <w:kinsoku/>
              <w:overflowPunct/>
              <w:bidi w:val="0"/>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内容不完整得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en-US"/>
              </w:rPr>
              <w:t xml:space="preserve">分； </w:t>
            </w:r>
          </w:p>
          <w:p w14:paraId="09DF16EB">
            <w:pPr>
              <w:keepNext w:val="0"/>
              <w:keepLines w:val="0"/>
              <w:pageBreakBefore w:val="0"/>
              <w:kinsoku/>
              <w:overflowPunct/>
              <w:bidi w:val="0"/>
              <w:snapToGrid w:val="0"/>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rPr>
              <w:t>没有不得分</w:t>
            </w:r>
            <w:r>
              <w:rPr>
                <w:rFonts w:hint="eastAsia" w:ascii="仿宋" w:hAnsi="仿宋" w:eastAsia="仿宋" w:cs="仿宋"/>
                <w:color w:val="auto"/>
                <w:highlight w:val="none"/>
                <w:lang w:val="en-US" w:eastAsia="zh-CN"/>
              </w:rPr>
              <w:t>。</w:t>
            </w:r>
          </w:p>
        </w:tc>
      </w:tr>
      <w:tr w14:paraId="4E0F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62" w:type="dxa"/>
            <w:vMerge w:val="continue"/>
            <w:tcBorders>
              <w:left w:val="single" w:color="auto" w:sz="4" w:space="0"/>
              <w:right w:val="single" w:color="auto" w:sz="4" w:space="0"/>
            </w:tcBorders>
            <w:vAlign w:val="center"/>
          </w:tcPr>
          <w:p w14:paraId="08868F90">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45D145D6">
            <w:pPr>
              <w:keepNext w:val="0"/>
              <w:keepLines w:val="0"/>
              <w:pageBreakBefore w:val="0"/>
              <w:kinsoku/>
              <w:overflowPunct/>
              <w:bidi w:val="0"/>
              <w:adjustRightInd w:val="0"/>
              <w:snapToGrid w:val="0"/>
              <w:spacing w:line="360" w:lineRule="auto"/>
              <w:jc w:val="center"/>
              <w:rPr>
                <w:rFonts w:hint="eastAsia" w:ascii="仿宋" w:hAnsi="仿宋" w:eastAsia="仿宋" w:cs="仿宋"/>
                <w:bCs/>
                <w:color w:val="auto"/>
                <w:sz w:val="21"/>
                <w:szCs w:val="21"/>
                <w:highlight w:val="none"/>
                <w:lang w:val="en-US"/>
              </w:rPr>
            </w:pPr>
          </w:p>
        </w:tc>
        <w:tc>
          <w:tcPr>
            <w:tcW w:w="2359" w:type="dxa"/>
            <w:vMerge w:val="continue"/>
            <w:tcBorders>
              <w:left w:val="single" w:color="auto" w:sz="4" w:space="0"/>
              <w:right w:val="single" w:color="auto" w:sz="4" w:space="0"/>
            </w:tcBorders>
            <w:vAlign w:val="center"/>
          </w:tcPr>
          <w:p w14:paraId="528F853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p>
        </w:tc>
        <w:tc>
          <w:tcPr>
            <w:tcW w:w="5333" w:type="dxa"/>
            <w:tcBorders>
              <w:top w:val="single" w:color="auto" w:sz="4" w:space="0"/>
              <w:left w:val="single" w:color="auto" w:sz="4" w:space="0"/>
              <w:bottom w:val="single" w:color="auto" w:sz="4" w:space="0"/>
              <w:right w:val="single" w:color="auto" w:sz="4" w:space="0"/>
            </w:tcBorders>
            <w:vAlign w:val="center"/>
          </w:tcPr>
          <w:p w14:paraId="4C2CDB6B">
            <w:pPr>
              <w:keepNext w:val="0"/>
              <w:keepLines w:val="0"/>
              <w:pageBreakBefore w:val="0"/>
              <w:kinsoku/>
              <w:overflowPunct/>
              <w:bidi w:val="0"/>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积极配合主管部门各项工作的保证措施和承诺，</w:t>
            </w:r>
            <w:r>
              <w:rPr>
                <w:rFonts w:hint="eastAsia" w:ascii="仿宋" w:hAnsi="仿宋" w:eastAsia="仿宋" w:cs="仿宋"/>
                <w:color w:val="auto"/>
                <w:highlight w:val="none"/>
                <w:lang w:val="en-US" w:eastAsia="zh-CN"/>
              </w:rPr>
              <w:t>（3分）</w:t>
            </w:r>
            <w:r>
              <w:rPr>
                <w:rFonts w:hint="eastAsia" w:ascii="仿宋" w:hAnsi="仿宋" w:eastAsia="仿宋" w:cs="仿宋"/>
                <w:color w:val="auto"/>
                <w:highlight w:val="none"/>
                <w:lang w:val="en-US"/>
              </w:rPr>
              <w:t xml:space="preserve">； </w:t>
            </w:r>
          </w:p>
          <w:p w14:paraId="664A3283">
            <w:pPr>
              <w:keepNext w:val="0"/>
              <w:keepLines w:val="0"/>
              <w:pageBreakBefore w:val="0"/>
              <w:kinsoku/>
              <w:overflowPunct/>
              <w:bidi w:val="0"/>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内容合理、详细，完整，针对性强得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en-US"/>
              </w:rPr>
              <w:t xml:space="preserve">分； </w:t>
            </w:r>
          </w:p>
          <w:p w14:paraId="02998B63">
            <w:pPr>
              <w:keepNext w:val="0"/>
              <w:keepLines w:val="0"/>
              <w:pageBreakBefore w:val="0"/>
              <w:kinsoku/>
              <w:overflowPunct/>
              <w:bidi w:val="0"/>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内容详实、基本完整，针对性较强得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en-US"/>
              </w:rPr>
              <w:t xml:space="preserve">分； </w:t>
            </w:r>
          </w:p>
          <w:p w14:paraId="0E06F0C3">
            <w:pPr>
              <w:keepNext w:val="0"/>
              <w:keepLines w:val="0"/>
              <w:pageBreakBefore w:val="0"/>
              <w:kinsoku/>
              <w:overflowPunct/>
              <w:bidi w:val="0"/>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内容不完整得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en-US"/>
              </w:rPr>
              <w:t xml:space="preserve">分； </w:t>
            </w:r>
          </w:p>
          <w:p w14:paraId="2CF2C1C2">
            <w:pPr>
              <w:keepNext w:val="0"/>
              <w:keepLines w:val="0"/>
              <w:pageBreakBefore w:val="0"/>
              <w:kinsoku/>
              <w:overflowPunct/>
              <w:bidi w:val="0"/>
              <w:snapToGrid w:val="0"/>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rPr>
              <w:t>没有不得分</w:t>
            </w:r>
            <w:r>
              <w:rPr>
                <w:rFonts w:hint="eastAsia" w:ascii="仿宋" w:hAnsi="仿宋" w:eastAsia="仿宋" w:cs="仿宋"/>
                <w:color w:val="auto"/>
                <w:highlight w:val="none"/>
                <w:lang w:val="en-US" w:eastAsia="zh-CN"/>
              </w:rPr>
              <w:t>。</w:t>
            </w:r>
          </w:p>
        </w:tc>
      </w:tr>
      <w:bookmarkEnd w:id="269"/>
      <w:bookmarkEnd w:id="270"/>
      <w:tr w14:paraId="5D17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62" w:type="dxa"/>
            <w:vMerge w:val="continue"/>
            <w:tcBorders>
              <w:left w:val="single" w:color="auto" w:sz="4" w:space="0"/>
              <w:right w:val="single" w:color="auto" w:sz="4" w:space="0"/>
            </w:tcBorders>
            <w:vAlign w:val="center"/>
          </w:tcPr>
          <w:p w14:paraId="30485F8C">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c>
          <w:tcPr>
            <w:tcW w:w="1088" w:type="dxa"/>
            <w:vMerge w:val="continue"/>
            <w:tcBorders>
              <w:left w:val="single" w:color="auto" w:sz="4" w:space="0"/>
              <w:right w:val="single" w:color="auto" w:sz="4" w:space="0"/>
            </w:tcBorders>
            <w:vAlign w:val="center"/>
          </w:tcPr>
          <w:p w14:paraId="55B38949">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c>
          <w:tcPr>
            <w:tcW w:w="2359" w:type="dxa"/>
            <w:vMerge w:val="continue"/>
            <w:tcBorders>
              <w:left w:val="single" w:color="auto" w:sz="4" w:space="0"/>
              <w:right w:val="single" w:color="auto" w:sz="4" w:space="0"/>
            </w:tcBorders>
            <w:vAlign w:val="center"/>
          </w:tcPr>
          <w:p w14:paraId="2EFFA142">
            <w:pPr>
              <w:pStyle w:val="43"/>
              <w:keepNext w:val="0"/>
              <w:keepLines w:val="0"/>
              <w:pageBreakBefore w:val="0"/>
              <w:kinsoku/>
              <w:overflowPunct/>
              <w:bidi w:val="0"/>
              <w:snapToGrid w:val="0"/>
              <w:spacing w:before="1" w:line="360" w:lineRule="auto"/>
              <w:ind w:left="59" w:right="55"/>
              <w:jc w:val="center"/>
              <w:rPr>
                <w:rFonts w:hint="eastAsia" w:ascii="仿宋" w:hAnsi="仿宋" w:eastAsia="仿宋" w:cs="仿宋"/>
                <w:color w:val="auto"/>
                <w:sz w:val="21"/>
                <w:szCs w:val="21"/>
                <w:highlight w:val="none"/>
                <w:lang w:val="en-US"/>
              </w:rPr>
            </w:pPr>
          </w:p>
        </w:tc>
        <w:tc>
          <w:tcPr>
            <w:tcW w:w="5333" w:type="dxa"/>
            <w:tcBorders>
              <w:top w:val="single" w:color="auto" w:sz="4" w:space="0"/>
              <w:left w:val="single" w:color="auto" w:sz="4" w:space="0"/>
              <w:bottom w:val="single" w:color="auto" w:sz="4" w:space="0"/>
              <w:right w:val="single" w:color="auto" w:sz="4" w:space="0"/>
            </w:tcBorders>
          </w:tcPr>
          <w:p w14:paraId="0AC86EA2">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其他服务承诺</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rPr>
              <w:t>分</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rPr>
              <w:t xml:space="preserve">。 </w:t>
            </w:r>
          </w:p>
          <w:p w14:paraId="17971B11">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内容合理、详细，完整，针对性强得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rPr>
              <w:t xml:space="preserve">分； </w:t>
            </w:r>
          </w:p>
          <w:p w14:paraId="3E9C311E">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内容详实、基本完整，针对性较强得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rPr>
              <w:t xml:space="preserve">分； </w:t>
            </w:r>
          </w:p>
          <w:p w14:paraId="1F619C94">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rPr>
              <w:t>没有不得分</w:t>
            </w:r>
            <w:r>
              <w:rPr>
                <w:rFonts w:hint="eastAsia" w:ascii="仿宋" w:hAnsi="仿宋" w:eastAsia="仿宋" w:cs="仿宋"/>
                <w:color w:val="auto"/>
                <w:sz w:val="21"/>
                <w:szCs w:val="21"/>
                <w:highlight w:val="none"/>
                <w:lang w:val="en-US" w:eastAsia="zh-CN"/>
              </w:rPr>
              <w:t>。</w:t>
            </w:r>
          </w:p>
        </w:tc>
      </w:tr>
    </w:tbl>
    <w:p w14:paraId="204DEB00">
      <w:pPr>
        <w:pStyle w:val="47"/>
        <w:keepNext w:val="0"/>
        <w:keepLines w:val="0"/>
        <w:pageBreakBefore w:val="0"/>
        <w:kinsoku/>
        <w:overflowPunct/>
        <w:autoSpaceDE/>
        <w:autoSpaceDN/>
        <w:bidi w:val="0"/>
        <w:snapToGrid w:val="0"/>
        <w:spacing w:before="0" w:line="360" w:lineRule="auto"/>
        <w:jc w:val="left"/>
        <w:rPr>
          <w:rFonts w:hint="eastAsia" w:ascii="仿宋" w:hAnsi="仿宋" w:eastAsia="仿宋" w:cs="仿宋"/>
          <w:color w:val="auto"/>
          <w:sz w:val="21"/>
          <w:szCs w:val="21"/>
          <w:highlight w:val="none"/>
        </w:rPr>
      </w:pPr>
      <w:bookmarkStart w:id="271" w:name="_Toc24266"/>
      <w:bookmarkStart w:id="272" w:name="_Toc17554"/>
      <w:bookmarkStart w:id="273" w:name="_Toc3308"/>
      <w:bookmarkStart w:id="274" w:name="_Toc257"/>
      <w:r>
        <w:rPr>
          <w:rFonts w:hint="eastAsia" w:ascii="仿宋" w:hAnsi="仿宋" w:eastAsia="仿宋" w:cs="仿宋"/>
          <w:color w:val="auto"/>
          <w:sz w:val="21"/>
          <w:szCs w:val="21"/>
          <w:highlight w:val="none"/>
        </w:rPr>
        <w:t>1. 评标方法</w:t>
      </w:r>
      <w:bookmarkEnd w:id="271"/>
      <w:bookmarkEnd w:id="272"/>
      <w:bookmarkEnd w:id="273"/>
      <w:bookmarkEnd w:id="274"/>
    </w:p>
    <w:p w14:paraId="22D03761">
      <w:pPr>
        <w:keepNext w:val="0"/>
        <w:keepLines w:val="0"/>
        <w:pageBreakBefore w:val="0"/>
        <w:kinsoku/>
        <w:overflowPunct/>
        <w:bidi w:val="0"/>
        <w:snapToGrid w:val="0"/>
        <w:spacing w:line="360" w:lineRule="auto"/>
        <w:ind w:firstLine="420" w:firstLineChars="200"/>
        <w:rPr>
          <w:rFonts w:hint="eastAsia" w:ascii="仿宋" w:hAnsi="仿宋" w:eastAsia="仿宋" w:cs="仿宋"/>
          <w:bCs/>
          <w:color w:val="auto"/>
          <w:sz w:val="21"/>
          <w:szCs w:val="21"/>
          <w:highlight w:val="none"/>
        </w:rPr>
      </w:pPr>
      <w:bookmarkStart w:id="275" w:name="_Toc152045601"/>
      <w:bookmarkStart w:id="276" w:name="_Toc528500650"/>
      <w:bookmarkStart w:id="277" w:name="_Toc144974568"/>
      <w:bookmarkStart w:id="278" w:name="_Toc152042378"/>
      <w:bookmarkStart w:id="279" w:name="_Toc480962507"/>
      <w:r>
        <w:rPr>
          <w:rFonts w:hint="eastAsia" w:ascii="仿宋" w:hAnsi="仿宋" w:eastAsia="仿宋" w:cs="仿宋"/>
          <w:bCs/>
          <w:color w:val="auto"/>
          <w:sz w:val="21"/>
          <w:szCs w:val="21"/>
          <w:highlight w:val="none"/>
        </w:rPr>
        <w:t>本次评标采用综合评估法。评标委员会对满足招标文件实质性要求的投标文件，按照本章第2.2款规定的评分标准进行打分，并按得分由高到低顺序推荐中标候选人，或根据采购人授权直接确定成交人，但投标报价低于其成本的除外。综合评分相等时，以投标报价低的优先；投标报价也相等的，由采购人或其授权的评标委员会自行确定。</w:t>
      </w:r>
    </w:p>
    <w:p w14:paraId="1DB59323">
      <w:pPr>
        <w:pStyle w:val="47"/>
        <w:keepNext w:val="0"/>
        <w:keepLines w:val="0"/>
        <w:pageBreakBefore w:val="0"/>
        <w:kinsoku/>
        <w:overflowPunct/>
        <w:autoSpaceDE/>
        <w:autoSpaceDN/>
        <w:bidi w:val="0"/>
        <w:snapToGrid w:val="0"/>
        <w:spacing w:before="0" w:line="360" w:lineRule="auto"/>
        <w:jc w:val="left"/>
        <w:rPr>
          <w:rFonts w:hint="eastAsia" w:ascii="仿宋" w:hAnsi="仿宋" w:eastAsia="仿宋" w:cs="仿宋"/>
          <w:color w:val="auto"/>
          <w:sz w:val="21"/>
          <w:szCs w:val="21"/>
          <w:highlight w:val="none"/>
        </w:rPr>
      </w:pPr>
      <w:bookmarkStart w:id="280" w:name="_Toc32671"/>
      <w:bookmarkStart w:id="281" w:name="_Toc20488"/>
      <w:bookmarkStart w:id="282" w:name="_Toc3026"/>
      <w:bookmarkStart w:id="283" w:name="_Toc20232"/>
      <w:bookmarkStart w:id="284" w:name="_Toc21271"/>
      <w:bookmarkStart w:id="285" w:name="_Toc17776"/>
      <w:bookmarkStart w:id="286" w:name="_Toc32112"/>
      <w:r>
        <w:rPr>
          <w:rFonts w:hint="eastAsia" w:ascii="仿宋" w:hAnsi="仿宋" w:eastAsia="仿宋" w:cs="仿宋"/>
          <w:color w:val="auto"/>
          <w:sz w:val="21"/>
          <w:szCs w:val="21"/>
          <w:highlight w:val="none"/>
        </w:rPr>
        <w:t>2. 评审标准</w:t>
      </w:r>
      <w:bookmarkEnd w:id="275"/>
      <w:bookmarkEnd w:id="276"/>
      <w:bookmarkEnd w:id="277"/>
      <w:bookmarkEnd w:id="278"/>
      <w:bookmarkEnd w:id="279"/>
      <w:bookmarkEnd w:id="280"/>
      <w:bookmarkEnd w:id="281"/>
      <w:bookmarkEnd w:id="282"/>
      <w:bookmarkEnd w:id="283"/>
      <w:bookmarkEnd w:id="284"/>
      <w:bookmarkEnd w:id="285"/>
      <w:bookmarkEnd w:id="286"/>
    </w:p>
    <w:p w14:paraId="00817056">
      <w:pPr>
        <w:pStyle w:val="44"/>
        <w:keepNext w:val="0"/>
        <w:keepLines w:val="0"/>
        <w:pageBreakBefore w:val="0"/>
        <w:kinsoku/>
        <w:overflowPunct/>
        <w:autoSpaceDE/>
        <w:autoSpaceDN/>
        <w:bidi w:val="0"/>
        <w:snapToGrid w:val="0"/>
        <w:spacing w:line="360" w:lineRule="auto"/>
        <w:jc w:val="left"/>
        <w:rPr>
          <w:rFonts w:hint="eastAsia" w:ascii="仿宋" w:hAnsi="仿宋" w:eastAsia="仿宋" w:cs="仿宋"/>
          <w:color w:val="auto"/>
          <w:sz w:val="21"/>
          <w:szCs w:val="21"/>
          <w:highlight w:val="none"/>
        </w:rPr>
      </w:pPr>
      <w:bookmarkStart w:id="287" w:name="_Toc25950"/>
      <w:bookmarkStart w:id="288" w:name="_Toc217"/>
      <w:bookmarkStart w:id="289" w:name="_Toc152042379"/>
      <w:bookmarkStart w:id="290" w:name="_Toc480962508"/>
      <w:bookmarkStart w:id="291" w:name="_Toc10199"/>
      <w:bookmarkStart w:id="292" w:name="_Toc11842"/>
      <w:bookmarkStart w:id="293" w:name="_Toc152045602"/>
      <w:bookmarkStart w:id="294" w:name="_Toc15089"/>
      <w:bookmarkStart w:id="295" w:name="_Toc144974569"/>
      <w:r>
        <w:rPr>
          <w:rFonts w:hint="eastAsia" w:ascii="仿宋" w:hAnsi="仿宋" w:eastAsia="仿宋" w:cs="仿宋"/>
          <w:color w:val="auto"/>
          <w:sz w:val="21"/>
          <w:szCs w:val="21"/>
          <w:highlight w:val="none"/>
        </w:rPr>
        <w:t>2.1 初步评审标准</w:t>
      </w:r>
      <w:bookmarkEnd w:id="287"/>
      <w:bookmarkEnd w:id="288"/>
      <w:bookmarkEnd w:id="289"/>
      <w:bookmarkEnd w:id="290"/>
      <w:bookmarkEnd w:id="291"/>
      <w:bookmarkEnd w:id="292"/>
      <w:bookmarkEnd w:id="293"/>
      <w:bookmarkEnd w:id="294"/>
      <w:bookmarkEnd w:id="295"/>
    </w:p>
    <w:p w14:paraId="3971AFA0">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 形式评审标准：见评标办法前附表。</w:t>
      </w:r>
    </w:p>
    <w:p w14:paraId="37F06667">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 资格评审标准：见评标办法前附表。</w:t>
      </w:r>
    </w:p>
    <w:p w14:paraId="3B6BE57F">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 响应性评审标准：见评标办法前附表。</w:t>
      </w:r>
    </w:p>
    <w:p w14:paraId="1143A9E7">
      <w:pPr>
        <w:pStyle w:val="44"/>
        <w:keepNext w:val="0"/>
        <w:keepLines w:val="0"/>
        <w:pageBreakBefore w:val="0"/>
        <w:kinsoku/>
        <w:overflowPunct/>
        <w:autoSpaceDE/>
        <w:autoSpaceDN/>
        <w:bidi w:val="0"/>
        <w:snapToGrid w:val="0"/>
        <w:spacing w:line="360" w:lineRule="auto"/>
        <w:jc w:val="left"/>
        <w:rPr>
          <w:rFonts w:hint="eastAsia" w:ascii="仿宋" w:hAnsi="仿宋" w:eastAsia="仿宋" w:cs="仿宋"/>
          <w:color w:val="auto"/>
          <w:sz w:val="21"/>
          <w:szCs w:val="21"/>
          <w:highlight w:val="none"/>
        </w:rPr>
      </w:pPr>
      <w:bookmarkStart w:id="296" w:name="_Toc31991"/>
      <w:bookmarkStart w:id="297" w:name="_Toc480962509"/>
      <w:bookmarkStart w:id="298" w:name="_Toc13413"/>
      <w:bookmarkStart w:id="299" w:name="_Toc152045603"/>
      <w:bookmarkStart w:id="300" w:name="_Toc32155"/>
      <w:bookmarkStart w:id="301" w:name="_Toc144974570"/>
      <w:bookmarkStart w:id="302" w:name="_Toc152042380"/>
      <w:bookmarkStart w:id="303" w:name="_Toc2573"/>
      <w:bookmarkStart w:id="304" w:name="_Toc19950"/>
      <w:r>
        <w:rPr>
          <w:rFonts w:hint="eastAsia" w:ascii="仿宋" w:hAnsi="仿宋" w:eastAsia="仿宋" w:cs="仿宋"/>
          <w:color w:val="auto"/>
          <w:sz w:val="21"/>
          <w:szCs w:val="21"/>
          <w:highlight w:val="none"/>
        </w:rPr>
        <w:t>2.2 分值构成与评分标准</w:t>
      </w:r>
      <w:bookmarkEnd w:id="296"/>
      <w:bookmarkEnd w:id="297"/>
      <w:bookmarkEnd w:id="298"/>
      <w:bookmarkEnd w:id="299"/>
      <w:bookmarkEnd w:id="300"/>
      <w:bookmarkEnd w:id="301"/>
      <w:bookmarkEnd w:id="302"/>
      <w:bookmarkEnd w:id="303"/>
      <w:bookmarkEnd w:id="304"/>
    </w:p>
    <w:p w14:paraId="4724B17E">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 分值构成</w:t>
      </w:r>
    </w:p>
    <w:p w14:paraId="589DAAA3">
      <w:pPr>
        <w:keepNext w:val="0"/>
        <w:keepLines w:val="0"/>
        <w:pageBreakBefore w:val="0"/>
        <w:kinsoku/>
        <w:overflowPunct/>
        <w:autoSpaceDE/>
        <w:autoSpaceDN/>
        <w:bidi w:val="0"/>
        <w:snapToGrid w:val="0"/>
        <w:spacing w:line="360" w:lineRule="auto"/>
        <w:ind w:firstLine="718" w:firstLineChars="342"/>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（1）投标报价：见评标办法前附表；</w:t>
      </w:r>
    </w:p>
    <w:p w14:paraId="5E903485">
      <w:pPr>
        <w:keepNext w:val="0"/>
        <w:keepLines w:val="0"/>
        <w:pageBreakBefore w:val="0"/>
        <w:kinsoku/>
        <w:overflowPunct/>
        <w:autoSpaceDE/>
        <w:autoSpaceDN/>
        <w:bidi w:val="0"/>
        <w:snapToGrid w:val="0"/>
        <w:spacing w:line="360" w:lineRule="auto"/>
        <w:ind w:firstLine="718" w:firstLineChars="342"/>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（2）技术部分：见评标办法前附表；</w:t>
      </w:r>
    </w:p>
    <w:p w14:paraId="462DCC8D">
      <w:pPr>
        <w:keepNext w:val="0"/>
        <w:keepLines w:val="0"/>
        <w:pageBreakBefore w:val="0"/>
        <w:kinsoku/>
        <w:overflowPunct/>
        <w:autoSpaceDE/>
        <w:autoSpaceDN/>
        <w:bidi w:val="0"/>
        <w:snapToGrid w:val="0"/>
        <w:spacing w:line="360" w:lineRule="auto"/>
        <w:ind w:firstLine="718" w:firstLineChars="342"/>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（3）商务部分：见评标办法前附表；</w:t>
      </w:r>
    </w:p>
    <w:p w14:paraId="53BE99EE">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 xml:space="preserve"> 评分标准</w:t>
      </w:r>
    </w:p>
    <w:p w14:paraId="678CEA4D">
      <w:pPr>
        <w:keepNext w:val="0"/>
        <w:keepLines w:val="0"/>
        <w:pageBreakBefore w:val="0"/>
        <w:kinsoku/>
        <w:overflowPunct/>
        <w:autoSpaceDE/>
        <w:autoSpaceDN/>
        <w:bidi w:val="0"/>
        <w:snapToGrid w:val="0"/>
        <w:spacing w:line="360" w:lineRule="auto"/>
        <w:ind w:firstLine="718" w:firstLineChars="342"/>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（1）投标报价评分标准：见评标办法前附表；</w:t>
      </w:r>
    </w:p>
    <w:p w14:paraId="1CD441AE">
      <w:pPr>
        <w:keepNext w:val="0"/>
        <w:keepLines w:val="0"/>
        <w:pageBreakBefore w:val="0"/>
        <w:kinsoku/>
        <w:overflowPunct/>
        <w:autoSpaceDE/>
        <w:autoSpaceDN/>
        <w:bidi w:val="0"/>
        <w:snapToGrid w:val="0"/>
        <w:spacing w:line="360" w:lineRule="auto"/>
        <w:ind w:firstLine="718" w:firstLineChars="342"/>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（2）技术部分评分标准：见评标办法前附表；</w:t>
      </w:r>
    </w:p>
    <w:p w14:paraId="43431E57">
      <w:pPr>
        <w:keepNext w:val="0"/>
        <w:keepLines w:val="0"/>
        <w:pageBreakBefore w:val="0"/>
        <w:kinsoku/>
        <w:overflowPunct/>
        <w:autoSpaceDE/>
        <w:autoSpaceDN/>
        <w:bidi w:val="0"/>
        <w:snapToGrid w:val="0"/>
        <w:spacing w:line="360" w:lineRule="auto"/>
        <w:ind w:firstLine="718" w:firstLineChars="342"/>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（3）商务部分评分标准：见评标办法前附表；</w:t>
      </w:r>
    </w:p>
    <w:p w14:paraId="607BE063">
      <w:pPr>
        <w:pStyle w:val="47"/>
        <w:keepNext w:val="0"/>
        <w:keepLines w:val="0"/>
        <w:pageBreakBefore w:val="0"/>
        <w:kinsoku/>
        <w:overflowPunct/>
        <w:autoSpaceDE/>
        <w:autoSpaceDN/>
        <w:bidi w:val="0"/>
        <w:snapToGrid w:val="0"/>
        <w:spacing w:before="0" w:line="360" w:lineRule="auto"/>
        <w:jc w:val="left"/>
        <w:rPr>
          <w:rFonts w:hint="eastAsia" w:ascii="仿宋" w:hAnsi="仿宋" w:eastAsia="仿宋" w:cs="仿宋"/>
          <w:color w:val="auto"/>
          <w:sz w:val="21"/>
          <w:szCs w:val="21"/>
          <w:highlight w:val="none"/>
        </w:rPr>
      </w:pPr>
      <w:bookmarkStart w:id="305" w:name="_Toc25085"/>
      <w:bookmarkStart w:id="306" w:name="_Toc480962510"/>
      <w:bookmarkStart w:id="307" w:name="_Toc25906"/>
      <w:bookmarkStart w:id="308" w:name="_Toc3754"/>
      <w:bookmarkStart w:id="309" w:name="_Toc12757"/>
      <w:bookmarkStart w:id="310" w:name="_Toc27163"/>
      <w:bookmarkStart w:id="311" w:name="_Toc528500651"/>
      <w:bookmarkStart w:id="312" w:name="_Toc3527"/>
      <w:bookmarkStart w:id="313" w:name="_Toc144974571"/>
      <w:bookmarkStart w:id="314" w:name="_Toc152045604"/>
      <w:bookmarkStart w:id="315" w:name="_Toc8694"/>
      <w:bookmarkStart w:id="316" w:name="_Toc152042381"/>
      <w:r>
        <w:rPr>
          <w:rFonts w:hint="eastAsia" w:ascii="仿宋" w:hAnsi="仿宋" w:eastAsia="仿宋" w:cs="仿宋"/>
          <w:color w:val="auto"/>
          <w:sz w:val="21"/>
          <w:szCs w:val="21"/>
          <w:highlight w:val="none"/>
        </w:rPr>
        <w:t>3. 评标程序</w:t>
      </w:r>
      <w:bookmarkEnd w:id="305"/>
      <w:bookmarkEnd w:id="306"/>
      <w:bookmarkEnd w:id="307"/>
      <w:bookmarkEnd w:id="308"/>
      <w:bookmarkEnd w:id="309"/>
      <w:bookmarkEnd w:id="310"/>
      <w:bookmarkEnd w:id="311"/>
      <w:bookmarkEnd w:id="312"/>
      <w:bookmarkEnd w:id="313"/>
      <w:bookmarkEnd w:id="314"/>
      <w:bookmarkEnd w:id="315"/>
      <w:bookmarkEnd w:id="316"/>
    </w:p>
    <w:p w14:paraId="2BCB0638">
      <w:pPr>
        <w:pStyle w:val="44"/>
        <w:keepNext w:val="0"/>
        <w:keepLines w:val="0"/>
        <w:pageBreakBefore w:val="0"/>
        <w:kinsoku/>
        <w:overflowPunct/>
        <w:autoSpaceDE/>
        <w:autoSpaceDN/>
        <w:bidi w:val="0"/>
        <w:snapToGrid w:val="0"/>
        <w:spacing w:line="360" w:lineRule="auto"/>
        <w:jc w:val="left"/>
        <w:rPr>
          <w:rFonts w:hint="eastAsia" w:ascii="仿宋" w:hAnsi="仿宋" w:eastAsia="仿宋" w:cs="仿宋"/>
          <w:color w:val="auto"/>
          <w:sz w:val="21"/>
          <w:szCs w:val="21"/>
          <w:highlight w:val="none"/>
        </w:rPr>
      </w:pPr>
      <w:bookmarkStart w:id="317" w:name="_Toc11020"/>
      <w:bookmarkStart w:id="318" w:name="_Toc22299"/>
      <w:bookmarkStart w:id="319" w:name="_Toc152042382"/>
      <w:bookmarkStart w:id="320" w:name="_Toc144974572"/>
      <w:bookmarkStart w:id="321" w:name="_Toc480962511"/>
      <w:bookmarkStart w:id="322" w:name="_Toc27525"/>
      <w:bookmarkStart w:id="323" w:name="_Toc31246"/>
      <w:bookmarkStart w:id="324" w:name="_Toc152045605"/>
      <w:bookmarkStart w:id="325" w:name="_Toc23357"/>
      <w:r>
        <w:rPr>
          <w:rFonts w:hint="eastAsia" w:ascii="仿宋" w:hAnsi="仿宋" w:eastAsia="仿宋" w:cs="仿宋"/>
          <w:color w:val="auto"/>
          <w:sz w:val="21"/>
          <w:szCs w:val="21"/>
          <w:highlight w:val="none"/>
        </w:rPr>
        <w:t>3.1 初步评审</w:t>
      </w:r>
      <w:bookmarkEnd w:id="317"/>
      <w:bookmarkEnd w:id="318"/>
      <w:bookmarkEnd w:id="319"/>
      <w:bookmarkEnd w:id="320"/>
      <w:bookmarkEnd w:id="321"/>
      <w:bookmarkEnd w:id="322"/>
      <w:bookmarkEnd w:id="323"/>
      <w:bookmarkEnd w:id="324"/>
      <w:bookmarkEnd w:id="325"/>
    </w:p>
    <w:p w14:paraId="651BEF32">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3.1.1 </w:t>
      </w:r>
      <w:r>
        <w:rPr>
          <w:rFonts w:hint="eastAsia" w:ascii="仿宋" w:hAnsi="仿宋" w:eastAsia="仿宋" w:cs="仿宋"/>
          <w:bCs/>
          <w:color w:val="auto"/>
          <w:sz w:val="21"/>
          <w:szCs w:val="21"/>
          <w:highlight w:val="none"/>
        </w:rPr>
        <w:t>评标委员会依据评标办法前附表第2.1.1 项至第2.1.3 项规定的评审标准对投标文件进行初步评审。有一项不符合评审标准的，其投标</w:t>
      </w:r>
      <w:r>
        <w:rPr>
          <w:rFonts w:hint="eastAsia" w:ascii="仿宋" w:hAnsi="仿宋" w:eastAsia="仿宋" w:cs="仿宋"/>
          <w:bCs/>
          <w:color w:val="auto"/>
          <w:sz w:val="21"/>
          <w:szCs w:val="21"/>
          <w:highlight w:val="none"/>
          <w:lang w:val="en-US"/>
        </w:rPr>
        <w:t>将被</w:t>
      </w:r>
      <w:r>
        <w:rPr>
          <w:rFonts w:hint="eastAsia" w:ascii="仿宋" w:hAnsi="仿宋" w:eastAsia="仿宋" w:cs="仿宋"/>
          <w:bCs/>
          <w:color w:val="auto"/>
          <w:sz w:val="21"/>
          <w:szCs w:val="21"/>
          <w:highlight w:val="none"/>
        </w:rPr>
        <w:t>否决。</w:t>
      </w:r>
    </w:p>
    <w:p w14:paraId="3086850D">
      <w:pPr>
        <w:keepNext w:val="0"/>
        <w:keepLines w:val="0"/>
        <w:pageBreakBefore w:val="0"/>
        <w:kinsoku/>
        <w:overflowPunct/>
        <w:autoSpaceDE/>
        <w:autoSpaceDN/>
        <w:bidi w:val="0"/>
        <w:snapToGrid w:val="0"/>
        <w:spacing w:line="360" w:lineRule="auto"/>
        <w:ind w:firstLine="630" w:firstLineChars="3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（1）串通投标或弄虚作假或有其他违法行为的；</w:t>
      </w:r>
    </w:p>
    <w:p w14:paraId="1616AFC4">
      <w:pPr>
        <w:keepNext w:val="0"/>
        <w:keepLines w:val="0"/>
        <w:pageBreakBefore w:val="0"/>
        <w:kinsoku/>
        <w:overflowPunct/>
        <w:autoSpaceDE/>
        <w:autoSpaceDN/>
        <w:bidi w:val="0"/>
        <w:snapToGrid w:val="0"/>
        <w:spacing w:line="360" w:lineRule="auto"/>
        <w:ind w:firstLine="630" w:firstLineChars="3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（2）不按评标委员会要求澄清、说明或补正的。</w:t>
      </w:r>
    </w:p>
    <w:p w14:paraId="480787A5">
      <w:pPr>
        <w:pStyle w:val="44"/>
        <w:keepNext w:val="0"/>
        <w:keepLines w:val="0"/>
        <w:pageBreakBefore w:val="0"/>
        <w:kinsoku/>
        <w:overflowPunct/>
        <w:autoSpaceDE/>
        <w:autoSpaceDN/>
        <w:bidi w:val="0"/>
        <w:snapToGrid w:val="0"/>
        <w:spacing w:line="360" w:lineRule="auto"/>
        <w:jc w:val="left"/>
        <w:rPr>
          <w:rFonts w:hint="eastAsia" w:ascii="仿宋" w:hAnsi="仿宋" w:eastAsia="仿宋" w:cs="仿宋"/>
          <w:color w:val="auto"/>
          <w:sz w:val="21"/>
          <w:szCs w:val="21"/>
          <w:highlight w:val="none"/>
        </w:rPr>
      </w:pPr>
      <w:bookmarkStart w:id="326" w:name="_Toc4938"/>
      <w:bookmarkStart w:id="327" w:name="_Toc15062"/>
      <w:bookmarkStart w:id="328" w:name="_Toc480962512"/>
      <w:bookmarkStart w:id="329" w:name="_Toc152045606"/>
      <w:bookmarkStart w:id="330" w:name="_Toc8773"/>
      <w:bookmarkStart w:id="331" w:name="_Toc152042384"/>
      <w:bookmarkStart w:id="332" w:name="_Toc20247"/>
      <w:bookmarkStart w:id="333" w:name="_Toc8855"/>
      <w:bookmarkStart w:id="334" w:name="_Toc144974573"/>
      <w:r>
        <w:rPr>
          <w:rFonts w:hint="eastAsia" w:ascii="仿宋" w:hAnsi="仿宋" w:eastAsia="仿宋" w:cs="仿宋"/>
          <w:color w:val="auto"/>
          <w:sz w:val="21"/>
          <w:szCs w:val="21"/>
          <w:highlight w:val="none"/>
        </w:rPr>
        <w:t>3.2 详细评审</w:t>
      </w:r>
      <w:bookmarkEnd w:id="326"/>
      <w:bookmarkEnd w:id="327"/>
      <w:bookmarkEnd w:id="328"/>
      <w:bookmarkEnd w:id="329"/>
      <w:bookmarkEnd w:id="330"/>
      <w:bookmarkEnd w:id="331"/>
      <w:bookmarkEnd w:id="332"/>
      <w:bookmarkEnd w:id="333"/>
      <w:bookmarkEnd w:id="334"/>
    </w:p>
    <w:p w14:paraId="66F99F39">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3.2.1 评标委员会按本章第2.2款规定的量化因素和分值进行打分，并计算出综合评估得分。</w:t>
      </w:r>
    </w:p>
    <w:p w14:paraId="2839F831">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（1）按本章第2.2.</w:t>
      </w:r>
      <w:r>
        <w:rPr>
          <w:rFonts w:hint="eastAsia" w:ascii="仿宋" w:hAnsi="仿宋" w:eastAsia="仿宋" w:cs="仿宋"/>
          <w:color w:val="auto"/>
          <w:sz w:val="21"/>
          <w:szCs w:val="21"/>
          <w:highlight w:val="none"/>
          <w:lang w:val="en-US"/>
        </w:rPr>
        <w:t>2</w:t>
      </w:r>
      <w:r>
        <w:rPr>
          <w:rFonts w:hint="eastAsia" w:ascii="仿宋" w:hAnsi="仿宋" w:eastAsia="仿宋" w:cs="仿宋"/>
          <w:color w:val="auto"/>
          <w:sz w:val="21"/>
          <w:szCs w:val="21"/>
          <w:highlight w:val="none"/>
        </w:rPr>
        <w:t>（1）目规定的评审因素和分值对</w:t>
      </w:r>
      <w:r>
        <w:rPr>
          <w:rFonts w:hint="eastAsia" w:ascii="仿宋" w:hAnsi="仿宋" w:eastAsia="仿宋" w:cs="仿宋"/>
          <w:color w:val="auto"/>
          <w:sz w:val="21"/>
          <w:szCs w:val="21"/>
          <w:highlight w:val="none"/>
          <w:lang w:val="en-US"/>
        </w:rPr>
        <w:t>投标报价</w:t>
      </w:r>
      <w:r>
        <w:rPr>
          <w:rFonts w:hint="eastAsia" w:ascii="仿宋" w:hAnsi="仿宋" w:eastAsia="仿宋" w:cs="仿宋"/>
          <w:color w:val="auto"/>
          <w:sz w:val="21"/>
          <w:szCs w:val="21"/>
          <w:highlight w:val="none"/>
        </w:rPr>
        <w:t>计算出得分A；</w:t>
      </w:r>
    </w:p>
    <w:p w14:paraId="10FA89F3">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（2）按本章第2.2.</w:t>
      </w:r>
      <w:r>
        <w:rPr>
          <w:rFonts w:hint="eastAsia" w:ascii="仿宋" w:hAnsi="仿宋" w:eastAsia="仿宋" w:cs="仿宋"/>
          <w:color w:val="auto"/>
          <w:sz w:val="21"/>
          <w:szCs w:val="21"/>
          <w:highlight w:val="none"/>
          <w:lang w:val="en-US"/>
        </w:rPr>
        <w:t>2</w:t>
      </w:r>
      <w:r>
        <w:rPr>
          <w:rFonts w:hint="eastAsia" w:ascii="仿宋" w:hAnsi="仿宋" w:eastAsia="仿宋" w:cs="仿宋"/>
          <w:color w:val="auto"/>
          <w:sz w:val="21"/>
          <w:szCs w:val="21"/>
          <w:highlight w:val="none"/>
        </w:rPr>
        <w:t>（2）目规定的评审因素和分值对</w:t>
      </w:r>
      <w:r>
        <w:rPr>
          <w:rFonts w:hint="eastAsia" w:ascii="仿宋" w:hAnsi="仿宋" w:eastAsia="仿宋" w:cs="仿宋"/>
          <w:color w:val="auto"/>
          <w:sz w:val="21"/>
          <w:szCs w:val="21"/>
          <w:highlight w:val="none"/>
          <w:lang w:val="en-US"/>
        </w:rPr>
        <w:t>技术部分</w:t>
      </w:r>
      <w:r>
        <w:rPr>
          <w:rFonts w:hint="eastAsia" w:ascii="仿宋" w:hAnsi="仿宋" w:eastAsia="仿宋" w:cs="仿宋"/>
          <w:color w:val="auto"/>
          <w:sz w:val="21"/>
          <w:szCs w:val="21"/>
          <w:highlight w:val="none"/>
        </w:rPr>
        <w:t>计算出得分B；</w:t>
      </w:r>
    </w:p>
    <w:p w14:paraId="0ED9C23B">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（3）按本章第2.2.</w:t>
      </w:r>
      <w:r>
        <w:rPr>
          <w:rFonts w:hint="eastAsia" w:ascii="仿宋" w:hAnsi="仿宋" w:eastAsia="仿宋" w:cs="仿宋"/>
          <w:color w:val="auto"/>
          <w:sz w:val="21"/>
          <w:szCs w:val="21"/>
          <w:highlight w:val="none"/>
          <w:lang w:val="en-US"/>
        </w:rPr>
        <w:t>2</w:t>
      </w:r>
      <w:r>
        <w:rPr>
          <w:rFonts w:hint="eastAsia" w:ascii="仿宋" w:hAnsi="仿宋" w:eastAsia="仿宋" w:cs="仿宋"/>
          <w:color w:val="auto"/>
          <w:sz w:val="21"/>
          <w:szCs w:val="21"/>
          <w:highlight w:val="none"/>
        </w:rPr>
        <w:t>（3）目规定的评审因素和分值对</w:t>
      </w:r>
      <w:r>
        <w:rPr>
          <w:rFonts w:hint="eastAsia" w:ascii="仿宋" w:hAnsi="仿宋" w:eastAsia="仿宋" w:cs="仿宋"/>
          <w:color w:val="auto"/>
          <w:sz w:val="21"/>
          <w:szCs w:val="21"/>
          <w:highlight w:val="none"/>
          <w:lang w:val="en-US"/>
        </w:rPr>
        <w:t>商务部分</w:t>
      </w:r>
      <w:r>
        <w:rPr>
          <w:rFonts w:hint="eastAsia" w:ascii="仿宋" w:hAnsi="仿宋" w:eastAsia="仿宋" w:cs="仿宋"/>
          <w:color w:val="auto"/>
          <w:sz w:val="21"/>
          <w:szCs w:val="21"/>
          <w:highlight w:val="none"/>
        </w:rPr>
        <w:t>计算出得分C；</w:t>
      </w:r>
    </w:p>
    <w:p w14:paraId="041A6F8B">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3.2.2 评分分值计算保留小数点后两位，小数点后第三位“四舍五入”。</w:t>
      </w:r>
    </w:p>
    <w:p w14:paraId="793C066F">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3.2.3 供应商得分=A+B+C</w:t>
      </w:r>
    </w:p>
    <w:p w14:paraId="626E528F">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3.2.4 评标委员会发现供应商的报价明显低于其他投标报价，使得其投标报价可能低于其个别成本的，应当要求该供应商做出书面说明并提供相应的证明材料。供应商不能合理说明或者不能提供相应证明材料的，由评标委员会认定该供应商以低于成本报价竞标，其投标</w:t>
      </w:r>
      <w:r>
        <w:rPr>
          <w:rFonts w:hint="eastAsia" w:ascii="仿宋" w:hAnsi="仿宋" w:eastAsia="仿宋" w:cs="仿宋"/>
          <w:color w:val="auto"/>
          <w:sz w:val="21"/>
          <w:szCs w:val="21"/>
          <w:highlight w:val="none"/>
          <w:lang w:val="en-US"/>
        </w:rPr>
        <w:t>将被否决</w:t>
      </w:r>
      <w:r>
        <w:rPr>
          <w:rFonts w:hint="eastAsia" w:ascii="仿宋" w:hAnsi="仿宋" w:eastAsia="仿宋" w:cs="仿宋"/>
          <w:color w:val="auto"/>
          <w:sz w:val="21"/>
          <w:szCs w:val="21"/>
          <w:highlight w:val="none"/>
        </w:rPr>
        <w:t>。</w:t>
      </w:r>
    </w:p>
    <w:p w14:paraId="4E734CF6">
      <w:pPr>
        <w:pStyle w:val="44"/>
        <w:keepNext w:val="0"/>
        <w:keepLines w:val="0"/>
        <w:pageBreakBefore w:val="0"/>
        <w:kinsoku/>
        <w:overflowPunct/>
        <w:autoSpaceDE/>
        <w:autoSpaceDN/>
        <w:bidi w:val="0"/>
        <w:snapToGrid w:val="0"/>
        <w:spacing w:line="360" w:lineRule="auto"/>
        <w:jc w:val="left"/>
        <w:rPr>
          <w:rFonts w:hint="eastAsia" w:ascii="仿宋" w:hAnsi="仿宋" w:eastAsia="仿宋" w:cs="仿宋"/>
          <w:color w:val="auto"/>
          <w:sz w:val="21"/>
          <w:szCs w:val="21"/>
          <w:highlight w:val="none"/>
        </w:rPr>
      </w:pPr>
      <w:bookmarkStart w:id="335" w:name="_Toc144974575"/>
      <w:bookmarkStart w:id="336" w:name="_Toc152045607"/>
      <w:bookmarkStart w:id="337" w:name="_Toc2818"/>
      <w:bookmarkStart w:id="338" w:name="_Toc21931"/>
      <w:bookmarkStart w:id="339" w:name="_Toc480962513"/>
      <w:bookmarkStart w:id="340" w:name="_Toc20503"/>
      <w:bookmarkStart w:id="341" w:name="_Toc13263"/>
      <w:bookmarkStart w:id="342" w:name="_Toc152042385"/>
      <w:bookmarkStart w:id="343" w:name="_Toc20715"/>
      <w:r>
        <w:rPr>
          <w:rFonts w:hint="eastAsia" w:ascii="仿宋" w:hAnsi="仿宋" w:eastAsia="仿宋" w:cs="仿宋"/>
          <w:color w:val="auto"/>
          <w:sz w:val="21"/>
          <w:szCs w:val="21"/>
          <w:highlight w:val="none"/>
        </w:rPr>
        <w:t>3.3 投标文件的澄清</w:t>
      </w:r>
      <w:bookmarkEnd w:id="335"/>
      <w:r>
        <w:rPr>
          <w:rFonts w:hint="eastAsia" w:ascii="仿宋" w:hAnsi="仿宋" w:eastAsia="仿宋" w:cs="仿宋"/>
          <w:color w:val="auto"/>
          <w:sz w:val="21"/>
          <w:szCs w:val="21"/>
          <w:highlight w:val="none"/>
        </w:rPr>
        <w:t>和补正</w:t>
      </w:r>
      <w:bookmarkEnd w:id="336"/>
      <w:bookmarkEnd w:id="337"/>
      <w:bookmarkEnd w:id="338"/>
      <w:bookmarkEnd w:id="339"/>
      <w:bookmarkEnd w:id="340"/>
      <w:bookmarkEnd w:id="341"/>
      <w:bookmarkEnd w:id="342"/>
      <w:bookmarkEnd w:id="343"/>
    </w:p>
    <w:p w14:paraId="20E32109">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3.3.1在评标过程中，评标委员会可以书面形式要求供应商对所提交投标文件中不明确的内容进行书面澄清或说明，或者对细微偏差进行补正。评标委员会不接受供应商主动提出的澄清、说明或补正。</w:t>
      </w:r>
    </w:p>
    <w:p w14:paraId="7AAD400C">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3.3.2 澄清、说明和补正不得改变投标文件的实质性内容（算术性错误修正的除外）。供应商的书面澄清、说明和补正属于投标文件的组成部分。</w:t>
      </w:r>
    </w:p>
    <w:p w14:paraId="138CDE14">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3.3.3 评标委员会对供应商提交的澄清、说明或补正有疑问的，可以要求供应商进一步澄清、说明或补正，直至满足评标委员会的要求。</w:t>
      </w:r>
    </w:p>
    <w:p w14:paraId="4FFC52DF">
      <w:pPr>
        <w:pStyle w:val="44"/>
        <w:keepNext w:val="0"/>
        <w:keepLines w:val="0"/>
        <w:pageBreakBefore w:val="0"/>
        <w:kinsoku/>
        <w:overflowPunct/>
        <w:autoSpaceDE/>
        <w:autoSpaceDN/>
        <w:bidi w:val="0"/>
        <w:snapToGrid w:val="0"/>
        <w:spacing w:line="360" w:lineRule="auto"/>
        <w:jc w:val="left"/>
        <w:rPr>
          <w:rFonts w:hint="eastAsia" w:ascii="仿宋" w:hAnsi="仿宋" w:eastAsia="仿宋" w:cs="仿宋"/>
          <w:color w:val="auto"/>
          <w:sz w:val="21"/>
          <w:szCs w:val="21"/>
          <w:highlight w:val="none"/>
        </w:rPr>
      </w:pPr>
      <w:bookmarkStart w:id="344" w:name="_Toc152045608"/>
      <w:bookmarkStart w:id="345" w:name="_Toc12586"/>
      <w:bookmarkStart w:id="346" w:name="_Toc144974576"/>
      <w:bookmarkStart w:id="347" w:name="_Toc17256"/>
      <w:bookmarkStart w:id="348" w:name="_Toc4424"/>
      <w:bookmarkStart w:id="349" w:name="_Toc19530"/>
      <w:bookmarkStart w:id="350" w:name="_Toc152042386"/>
      <w:bookmarkStart w:id="351" w:name="_Toc25549"/>
      <w:bookmarkStart w:id="352" w:name="_Toc480962514"/>
      <w:r>
        <w:rPr>
          <w:rFonts w:hint="eastAsia" w:ascii="仿宋" w:hAnsi="仿宋" w:eastAsia="仿宋" w:cs="仿宋"/>
          <w:color w:val="auto"/>
          <w:sz w:val="21"/>
          <w:szCs w:val="21"/>
          <w:highlight w:val="none"/>
        </w:rPr>
        <w:t>3.4 评标结果</w:t>
      </w:r>
      <w:bookmarkEnd w:id="344"/>
      <w:bookmarkEnd w:id="345"/>
      <w:bookmarkEnd w:id="346"/>
      <w:bookmarkEnd w:id="347"/>
      <w:bookmarkEnd w:id="348"/>
      <w:bookmarkEnd w:id="349"/>
      <w:bookmarkEnd w:id="350"/>
      <w:bookmarkEnd w:id="351"/>
      <w:bookmarkEnd w:id="352"/>
    </w:p>
    <w:p w14:paraId="60D52433">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3.4.1评标委员会按照得分由高到低的顺序推荐中标候选人1-3名。</w:t>
      </w:r>
    </w:p>
    <w:p w14:paraId="24B46716">
      <w:pPr>
        <w:keepNext w:val="0"/>
        <w:keepLines w:val="0"/>
        <w:pageBreakBefore w:val="0"/>
        <w:kinsoku/>
        <w:overflowPunct/>
        <w:autoSpaceDE/>
        <w:autoSpaceDN/>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3.4.2 评标委员会完成评标后，应当向采购人提交书面评标报告。</w:t>
      </w:r>
    </w:p>
    <w:p w14:paraId="5C72DC09">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sectPr>
          <w:pgSz w:w="11910" w:h="16840"/>
          <w:pgMar w:top="1420" w:right="1000" w:bottom="1580" w:left="1580" w:header="850" w:footer="1394" w:gutter="0"/>
          <w:pgNumType w:fmt="decimal"/>
          <w:cols w:space="720" w:num="1"/>
        </w:sectPr>
      </w:pPr>
    </w:p>
    <w:p w14:paraId="3831930A">
      <w:pPr>
        <w:pStyle w:val="4"/>
        <w:keepNext w:val="0"/>
        <w:keepLines w:val="0"/>
        <w:pageBreakBefore w:val="0"/>
        <w:kinsoku/>
        <w:overflowPunct/>
        <w:bidi w:val="0"/>
        <w:snapToGrid w:val="0"/>
        <w:spacing w:before="0" w:line="360" w:lineRule="auto"/>
        <w:rPr>
          <w:rFonts w:hint="eastAsia" w:ascii="仿宋" w:hAnsi="仿宋" w:eastAsia="仿宋" w:cs="仿宋"/>
          <w:color w:val="auto"/>
          <w:highlight w:val="none"/>
          <w:lang w:val="en-US"/>
        </w:rPr>
      </w:pPr>
      <w:bookmarkStart w:id="353" w:name="_Toc15952"/>
      <w:bookmarkStart w:id="354" w:name="_Toc15244"/>
      <w:r>
        <w:rPr>
          <w:rFonts w:hint="eastAsia" w:ascii="仿宋" w:hAnsi="仿宋" w:eastAsia="仿宋" w:cs="仿宋"/>
          <w:color w:val="auto"/>
          <w:sz w:val="28"/>
          <w:szCs w:val="28"/>
          <w:highlight w:val="none"/>
          <w:lang w:val="en-US"/>
        </w:rPr>
        <w:t>第四章 合同条款及格式</w:t>
      </w:r>
      <w:bookmarkEnd w:id="353"/>
      <w:bookmarkEnd w:id="354"/>
    </w:p>
    <w:p w14:paraId="3B88D271">
      <w:pPr>
        <w:keepNext w:val="0"/>
        <w:keepLines w:val="0"/>
        <w:pageBreakBefore w:val="0"/>
        <w:kinsoku/>
        <w:overflowPunct/>
        <w:bidi w:val="0"/>
        <w:snapToGrid w:val="0"/>
        <w:spacing w:line="360" w:lineRule="auto"/>
        <w:jc w:val="center"/>
        <w:rPr>
          <w:rFonts w:hint="eastAsia" w:ascii="仿宋" w:hAnsi="仿宋" w:eastAsia="仿宋" w:cs="仿宋"/>
          <w:b/>
          <w:bCs/>
          <w:color w:val="auto"/>
          <w:highlight w:val="none"/>
        </w:rPr>
      </w:pPr>
    </w:p>
    <w:p w14:paraId="3DEE12E3">
      <w:pPr>
        <w:keepNext w:val="0"/>
        <w:keepLines w:val="0"/>
        <w:pageBreakBefore w:val="0"/>
        <w:kinsoku/>
        <w:overflowPunct/>
        <w:bidi w:val="0"/>
        <w:snapToGrid w:val="0"/>
        <w:spacing w:line="360" w:lineRule="auto"/>
        <w:jc w:val="center"/>
        <w:outlineLvl w:val="1"/>
        <w:rPr>
          <w:rFonts w:hint="eastAsia" w:ascii="仿宋" w:hAnsi="仿宋" w:eastAsia="仿宋" w:cs="仿宋"/>
          <w:b/>
          <w:bCs/>
          <w:color w:val="auto"/>
          <w:sz w:val="24"/>
          <w:szCs w:val="24"/>
          <w:highlight w:val="none"/>
        </w:rPr>
      </w:pPr>
      <w:bookmarkStart w:id="355" w:name="_Toc9493"/>
      <w:bookmarkStart w:id="356" w:name="_Toc23117"/>
      <w:bookmarkStart w:id="357" w:name="_Toc24392"/>
      <w:bookmarkStart w:id="358" w:name="_Toc30655"/>
      <w:bookmarkStart w:id="359" w:name="_Toc8955"/>
      <w:r>
        <w:rPr>
          <w:rFonts w:hint="eastAsia" w:ascii="仿宋" w:hAnsi="仿宋" w:eastAsia="仿宋" w:cs="仿宋"/>
          <w:b/>
          <w:bCs/>
          <w:color w:val="auto"/>
          <w:sz w:val="24"/>
          <w:szCs w:val="24"/>
          <w:highlight w:val="none"/>
        </w:rPr>
        <w:t>（按照新的特许经营协议范本（2024 年试行版），采购人需与成交人签订特许经营初步协议。项目公司成立后，采购人需与项目公司签署特许经营协议。）</w:t>
      </w:r>
      <w:bookmarkEnd w:id="355"/>
      <w:bookmarkEnd w:id="356"/>
      <w:bookmarkEnd w:id="357"/>
      <w:bookmarkEnd w:id="358"/>
      <w:bookmarkEnd w:id="359"/>
    </w:p>
    <w:p w14:paraId="3D6AE92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p w14:paraId="101FEE97">
      <w:pPr>
        <w:pStyle w:val="9"/>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sectPr>
          <w:pgSz w:w="11910" w:h="16840"/>
          <w:pgMar w:top="1580" w:right="1000" w:bottom="1660" w:left="1580" w:header="850" w:footer="1469" w:gutter="0"/>
          <w:pgNumType w:fmt="decimal"/>
          <w:cols w:space="720" w:num="1"/>
        </w:sectPr>
      </w:pPr>
    </w:p>
    <w:p w14:paraId="4D010852">
      <w:pPr>
        <w:pStyle w:val="4"/>
        <w:keepNext w:val="0"/>
        <w:keepLines w:val="0"/>
        <w:pageBreakBefore w:val="0"/>
        <w:tabs>
          <w:tab w:val="left" w:pos="1766"/>
        </w:tabs>
        <w:kinsoku/>
        <w:overflowPunct/>
        <w:bidi w:val="0"/>
        <w:snapToGrid w:val="0"/>
        <w:spacing w:line="360" w:lineRule="auto"/>
        <w:rPr>
          <w:rFonts w:hint="eastAsia" w:ascii="仿宋" w:hAnsi="仿宋" w:eastAsia="仿宋" w:cs="仿宋"/>
          <w:color w:val="auto"/>
          <w:sz w:val="21"/>
          <w:highlight w:val="none"/>
        </w:rPr>
      </w:pPr>
      <w:bookmarkStart w:id="360" w:name="_Toc14184"/>
      <w:bookmarkStart w:id="361" w:name="_Toc28790"/>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rPr>
        <w:t>五</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rPr>
        <w:t xml:space="preserve"> </w:t>
      </w:r>
      <w:r>
        <w:rPr>
          <w:rFonts w:hint="eastAsia" w:ascii="仿宋" w:hAnsi="仿宋" w:eastAsia="仿宋" w:cs="仿宋"/>
          <w:color w:val="auto"/>
          <w:sz w:val="28"/>
          <w:szCs w:val="28"/>
          <w:highlight w:val="none"/>
        </w:rPr>
        <w:t>项目招标需求</w:t>
      </w:r>
      <w:bookmarkEnd w:id="360"/>
      <w:bookmarkEnd w:id="361"/>
    </w:p>
    <w:p w14:paraId="4F9F70F8">
      <w:pPr>
        <w:pStyle w:val="5"/>
        <w:keepNext w:val="0"/>
        <w:keepLines w:val="0"/>
        <w:pageBreakBefore w:val="0"/>
        <w:kinsoku/>
        <w:overflowPunct/>
        <w:bidi w:val="0"/>
        <w:snapToGrid w:val="0"/>
        <w:spacing w:line="360" w:lineRule="auto"/>
        <w:ind w:left="0"/>
        <w:jc w:val="both"/>
        <w:rPr>
          <w:rFonts w:hint="eastAsia" w:ascii="仿宋" w:hAnsi="仿宋" w:eastAsia="仿宋" w:cs="仿宋"/>
          <w:color w:val="auto"/>
          <w:sz w:val="21"/>
          <w:szCs w:val="21"/>
          <w:highlight w:val="none"/>
          <w:lang w:val="en-US"/>
        </w:rPr>
      </w:pPr>
      <w:bookmarkStart w:id="362" w:name="_Toc13961"/>
      <w:bookmarkStart w:id="363" w:name="_Toc15204"/>
      <w:bookmarkStart w:id="364" w:name="_Toc112857287"/>
      <w:r>
        <w:rPr>
          <w:rFonts w:hint="eastAsia" w:ascii="仿宋" w:hAnsi="仿宋" w:eastAsia="仿宋" w:cs="仿宋"/>
          <w:color w:val="auto"/>
          <w:sz w:val="21"/>
          <w:szCs w:val="21"/>
          <w:highlight w:val="none"/>
          <w:lang w:val="en-US"/>
        </w:rPr>
        <w:t>（一）项目名称</w:t>
      </w:r>
      <w:bookmarkEnd w:id="362"/>
      <w:bookmarkEnd w:id="363"/>
      <w:bookmarkEnd w:id="364"/>
    </w:p>
    <w:p w14:paraId="4F83893B">
      <w:pPr>
        <w:pStyle w:val="2"/>
        <w:keepNext w:val="0"/>
        <w:keepLines w:val="0"/>
        <w:pageBreakBefore w:val="0"/>
        <w:kinsoku/>
        <w:overflowPunct/>
        <w:bidi w:val="0"/>
        <w:snapToGrid w:val="0"/>
        <w:spacing w:line="360" w:lineRule="auto"/>
        <w:ind w:firstLine="420" w:firstLineChars="200"/>
        <w:rPr>
          <w:rFonts w:hint="eastAsia" w:ascii="仿宋" w:hAnsi="仿宋" w:eastAsia="仿宋" w:cs="仿宋"/>
          <w:color w:val="auto"/>
          <w:highlight w:val="none"/>
          <w:lang w:val="en-US" w:eastAsia="zh-CN"/>
        </w:rPr>
      </w:pPr>
      <w:bookmarkStart w:id="365" w:name="_bookmark7"/>
      <w:bookmarkEnd w:id="365"/>
      <w:bookmarkStart w:id="366" w:name="_Toc112857289"/>
      <w:r>
        <w:rPr>
          <w:rFonts w:hint="eastAsia" w:ascii="仿宋" w:hAnsi="仿宋" w:eastAsia="仿宋" w:cs="仿宋"/>
          <w:color w:val="auto"/>
          <w:highlight w:val="none"/>
          <w:lang w:val="en-US" w:eastAsia="zh-CN"/>
        </w:rPr>
        <w:t>睢县城乡供排水一体化项目（一期）</w:t>
      </w:r>
    </w:p>
    <w:p w14:paraId="384747B3">
      <w:pPr>
        <w:pStyle w:val="5"/>
        <w:keepNext w:val="0"/>
        <w:keepLines w:val="0"/>
        <w:pageBreakBefore w:val="0"/>
        <w:kinsoku/>
        <w:overflowPunct/>
        <w:bidi w:val="0"/>
        <w:snapToGrid w:val="0"/>
        <w:spacing w:line="360" w:lineRule="auto"/>
        <w:ind w:left="0"/>
        <w:jc w:val="both"/>
        <w:rPr>
          <w:rFonts w:hint="eastAsia" w:ascii="仿宋" w:hAnsi="仿宋" w:eastAsia="仿宋" w:cs="仿宋"/>
          <w:color w:val="auto"/>
          <w:sz w:val="21"/>
          <w:szCs w:val="21"/>
          <w:highlight w:val="none"/>
          <w:lang w:val="en-US"/>
        </w:rPr>
      </w:pPr>
      <w:bookmarkStart w:id="367" w:name="_Toc16508"/>
      <w:bookmarkStart w:id="368" w:name="_Toc18264"/>
      <w:r>
        <w:rPr>
          <w:rFonts w:hint="eastAsia" w:ascii="仿宋" w:hAnsi="仿宋" w:eastAsia="仿宋" w:cs="仿宋"/>
          <w:color w:val="auto"/>
          <w:sz w:val="21"/>
          <w:szCs w:val="21"/>
          <w:highlight w:val="none"/>
          <w:lang w:val="en-US"/>
        </w:rPr>
        <w:t>（二）</w:t>
      </w:r>
      <w:bookmarkEnd w:id="366"/>
      <w:r>
        <w:rPr>
          <w:rFonts w:hint="eastAsia" w:ascii="仿宋" w:hAnsi="仿宋" w:eastAsia="仿宋" w:cs="仿宋"/>
          <w:color w:val="auto"/>
          <w:sz w:val="21"/>
          <w:szCs w:val="21"/>
          <w:highlight w:val="none"/>
          <w:lang w:val="en-US" w:eastAsia="zh-CN"/>
        </w:rPr>
        <w:t>项目类型</w:t>
      </w:r>
      <w:bookmarkEnd w:id="367"/>
      <w:bookmarkEnd w:id="368"/>
    </w:p>
    <w:p w14:paraId="7CF704C6">
      <w:pPr>
        <w:pStyle w:val="2"/>
        <w:keepNext w:val="0"/>
        <w:keepLines w:val="0"/>
        <w:pageBreakBefore w:val="0"/>
        <w:kinsoku/>
        <w:overflowPunct/>
        <w:bidi w:val="0"/>
        <w:snapToGrid w:val="0"/>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存量</w:t>
      </w:r>
    </w:p>
    <w:p w14:paraId="0B6CEF0F">
      <w:pPr>
        <w:pStyle w:val="5"/>
        <w:keepNext w:val="0"/>
        <w:keepLines w:val="0"/>
        <w:pageBreakBefore w:val="0"/>
        <w:kinsoku/>
        <w:overflowPunct/>
        <w:bidi w:val="0"/>
        <w:snapToGrid w:val="0"/>
        <w:spacing w:line="360" w:lineRule="auto"/>
        <w:ind w:left="0"/>
        <w:jc w:val="both"/>
        <w:rPr>
          <w:rFonts w:hint="eastAsia" w:ascii="仿宋" w:hAnsi="仿宋" w:eastAsia="仿宋" w:cs="仿宋"/>
          <w:color w:val="auto"/>
          <w:sz w:val="21"/>
          <w:szCs w:val="21"/>
          <w:highlight w:val="none"/>
          <w:lang w:val="en-US" w:eastAsia="zh-CN"/>
        </w:rPr>
      </w:pPr>
      <w:bookmarkStart w:id="369" w:name="_Toc112857290"/>
      <w:bookmarkStart w:id="370" w:name="_Toc2232"/>
      <w:bookmarkStart w:id="371" w:name="_Toc27706"/>
      <w:r>
        <w:rPr>
          <w:rFonts w:hint="eastAsia" w:ascii="仿宋" w:hAnsi="仿宋" w:eastAsia="仿宋" w:cs="仿宋"/>
          <w:color w:val="auto"/>
          <w:sz w:val="21"/>
          <w:szCs w:val="21"/>
          <w:highlight w:val="none"/>
          <w:lang w:val="en-US"/>
        </w:rPr>
        <w:t>（三）</w:t>
      </w:r>
      <w:bookmarkEnd w:id="369"/>
      <w:r>
        <w:rPr>
          <w:rFonts w:hint="eastAsia" w:ascii="仿宋" w:hAnsi="仿宋" w:eastAsia="仿宋" w:cs="仿宋"/>
          <w:color w:val="auto"/>
          <w:sz w:val="21"/>
          <w:szCs w:val="21"/>
          <w:highlight w:val="none"/>
          <w:lang w:val="en-US" w:eastAsia="zh-CN"/>
        </w:rPr>
        <w:t>所属行业</w:t>
      </w:r>
      <w:bookmarkEnd w:id="370"/>
      <w:bookmarkEnd w:id="371"/>
    </w:p>
    <w:p w14:paraId="18A85228">
      <w:pPr>
        <w:pStyle w:val="2"/>
        <w:keepNext w:val="0"/>
        <w:keepLines w:val="0"/>
        <w:pageBreakBefore w:val="0"/>
        <w:kinsoku/>
        <w:overflowPunct/>
        <w:bidi w:val="0"/>
        <w:snapToGrid w:val="0"/>
        <w:spacing w:line="360" w:lineRule="auto"/>
        <w:ind w:firstLine="420" w:firstLineChars="20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市政供水</w:t>
      </w:r>
      <w:r>
        <w:rPr>
          <w:rFonts w:hint="eastAsia" w:ascii="仿宋" w:hAnsi="仿宋" w:eastAsia="仿宋" w:cs="仿宋"/>
          <w:color w:val="auto"/>
          <w:highlight w:val="none"/>
          <w:lang w:val="en-US"/>
        </w:rPr>
        <w:t xml:space="preserve"> </w:t>
      </w:r>
    </w:p>
    <w:p w14:paraId="17CC2AC0">
      <w:pPr>
        <w:pStyle w:val="5"/>
        <w:keepNext w:val="0"/>
        <w:keepLines w:val="0"/>
        <w:pageBreakBefore w:val="0"/>
        <w:kinsoku/>
        <w:overflowPunct/>
        <w:bidi w:val="0"/>
        <w:snapToGrid w:val="0"/>
        <w:spacing w:line="360" w:lineRule="auto"/>
        <w:ind w:left="0"/>
        <w:jc w:val="both"/>
        <w:rPr>
          <w:rFonts w:hint="eastAsia" w:ascii="仿宋" w:hAnsi="仿宋" w:eastAsia="仿宋" w:cs="仿宋"/>
          <w:color w:val="auto"/>
          <w:sz w:val="21"/>
          <w:szCs w:val="21"/>
          <w:highlight w:val="none"/>
          <w:lang w:val="en-US" w:eastAsia="zh-CN"/>
        </w:rPr>
      </w:pPr>
      <w:bookmarkStart w:id="372" w:name="_Toc112857291"/>
      <w:bookmarkStart w:id="373" w:name="_Toc5617"/>
      <w:bookmarkStart w:id="374" w:name="_Toc19986"/>
      <w:r>
        <w:rPr>
          <w:rFonts w:hint="eastAsia" w:ascii="仿宋" w:hAnsi="仿宋" w:eastAsia="仿宋" w:cs="仿宋"/>
          <w:color w:val="auto"/>
          <w:sz w:val="21"/>
          <w:szCs w:val="21"/>
          <w:highlight w:val="none"/>
          <w:lang w:val="en-US"/>
        </w:rPr>
        <w:t>（四）</w:t>
      </w:r>
      <w:bookmarkEnd w:id="372"/>
      <w:r>
        <w:rPr>
          <w:rFonts w:hint="eastAsia" w:ascii="仿宋" w:hAnsi="仿宋" w:eastAsia="仿宋" w:cs="仿宋"/>
          <w:color w:val="auto"/>
          <w:sz w:val="21"/>
          <w:szCs w:val="21"/>
          <w:highlight w:val="none"/>
          <w:lang w:val="en-US" w:eastAsia="zh-CN"/>
        </w:rPr>
        <w:t>回报机制</w:t>
      </w:r>
      <w:bookmarkEnd w:id="373"/>
      <w:bookmarkEnd w:id="374"/>
    </w:p>
    <w:p w14:paraId="3A14B130">
      <w:pPr>
        <w:pStyle w:val="2"/>
        <w:keepNext w:val="0"/>
        <w:keepLines w:val="0"/>
        <w:pageBreakBefore w:val="0"/>
        <w:kinsoku/>
        <w:overflowPunct/>
        <w:bidi w:val="0"/>
        <w:snapToGrid w:val="0"/>
        <w:spacing w:line="360" w:lineRule="auto"/>
        <w:ind w:firstLine="420" w:firstLineChars="20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使用者付费</w:t>
      </w:r>
    </w:p>
    <w:p w14:paraId="2688CA2F">
      <w:pPr>
        <w:pStyle w:val="5"/>
        <w:keepNext w:val="0"/>
        <w:keepLines w:val="0"/>
        <w:pageBreakBefore w:val="0"/>
        <w:numPr>
          <w:ilvl w:val="0"/>
          <w:numId w:val="2"/>
        </w:numPr>
        <w:kinsoku/>
        <w:overflowPunct/>
        <w:bidi w:val="0"/>
        <w:snapToGrid w:val="0"/>
        <w:spacing w:line="360" w:lineRule="auto"/>
        <w:ind w:left="0"/>
        <w:jc w:val="both"/>
        <w:rPr>
          <w:rFonts w:hint="eastAsia" w:ascii="仿宋" w:hAnsi="仿宋" w:eastAsia="仿宋" w:cs="仿宋"/>
          <w:color w:val="auto"/>
          <w:sz w:val="21"/>
          <w:szCs w:val="21"/>
          <w:highlight w:val="none"/>
          <w:lang w:val="en-US" w:eastAsia="zh-CN"/>
        </w:rPr>
      </w:pPr>
      <w:bookmarkStart w:id="375" w:name="_Toc27045"/>
      <w:bookmarkStart w:id="376" w:name="_Toc30212"/>
      <w:bookmarkStart w:id="377" w:name="_Toc112857292"/>
      <w:r>
        <w:rPr>
          <w:rFonts w:hint="eastAsia" w:ascii="仿宋" w:hAnsi="仿宋" w:eastAsia="仿宋" w:cs="仿宋"/>
          <w:color w:val="auto"/>
          <w:sz w:val="21"/>
          <w:szCs w:val="21"/>
          <w:highlight w:val="none"/>
          <w:lang w:val="en-US" w:eastAsia="zh-CN"/>
        </w:rPr>
        <w:t>存量资产内容</w:t>
      </w:r>
      <w:bookmarkEnd w:id="375"/>
      <w:bookmarkEnd w:id="376"/>
    </w:p>
    <w:p w14:paraId="33437AD8">
      <w:pPr>
        <w:pStyle w:val="2"/>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bookmarkStart w:id="378" w:name="_Toc13548"/>
      <w:bookmarkStart w:id="379" w:name="_Toc14819"/>
      <w:bookmarkStart w:id="380" w:name="_Toc28347"/>
      <w:r>
        <w:rPr>
          <w:rFonts w:hint="eastAsia" w:ascii="仿宋" w:hAnsi="仿宋" w:eastAsia="仿宋" w:cs="仿宋"/>
          <w:color w:val="auto"/>
          <w:sz w:val="21"/>
          <w:szCs w:val="21"/>
          <w:highlight w:val="none"/>
          <w:lang w:val="en-US" w:eastAsia="zh-CN"/>
        </w:rPr>
        <w:t>存量资产主要包含睢县自来水公司运营管理的第二、第三、第四水厂、水源井、输水和配水管网等。三座水厂均为地下水源，在用水源井33眼，二氧化氯消毒工艺，主要建（构）筑物为清水池、泵房、加药间、办公楼等。</w:t>
      </w:r>
      <w:bookmarkEnd w:id="378"/>
    </w:p>
    <w:bookmarkEnd w:id="377"/>
    <w:bookmarkEnd w:id="379"/>
    <w:bookmarkEnd w:id="380"/>
    <w:p w14:paraId="488B4090">
      <w:pPr>
        <w:pStyle w:val="2"/>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 xml:space="preserve">（1）第二自来水厂 </w:t>
      </w:r>
    </w:p>
    <w:p w14:paraId="70BB2C09">
      <w:pPr>
        <w:pStyle w:val="2"/>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 xml:space="preserve">第二自来水厂位于锦绣大道与湖东路东南侧，建于2008年，2010 年开始运营，水厂设计供水能力2万m³/d。现有清水池1座，送水泵房、加药间、办公楼等建筑物。主管网向北铺设至泰山路，向南经由中央大街铺设至睢州大道。 </w:t>
      </w:r>
    </w:p>
    <w:p w14:paraId="1D2F9D7B">
      <w:pPr>
        <w:pStyle w:val="2"/>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 xml:space="preserve">（2）第三自来水厂 </w:t>
      </w:r>
    </w:p>
    <w:p w14:paraId="11A69714">
      <w:pPr>
        <w:pStyle w:val="2"/>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 xml:space="preserve">第三自来水厂位于民主路与复兴路交叉口西南侧，建于2009年，2010年开始运营，水厂设计供水能力 0.5万m³/d。现有清水池1座，送水泵房、办公楼等建筑物。主管网向北铺设至文化路并入市政供水管网。 </w:t>
      </w:r>
    </w:p>
    <w:p w14:paraId="6E61EC35">
      <w:pPr>
        <w:pStyle w:val="2"/>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 xml:space="preserve">（3）第四自来水厂 </w:t>
      </w:r>
    </w:p>
    <w:p w14:paraId="4CE73DA5">
      <w:pPr>
        <w:pStyle w:val="2"/>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第四自来水厂位于老郑永公路，在农科所北侧，建于2014年，2014年底开始运营，水厂设计供水能力 1.2 万 m³/d。现有清水池座，送水泵房、办公楼等建筑物。主管网沿睢州大道向西、沿东环路向北、沿东环路向南铺设并入市政管网。</w:t>
      </w:r>
    </w:p>
    <w:p w14:paraId="65994B6D">
      <w:pPr>
        <w:pStyle w:val="5"/>
        <w:keepNext w:val="0"/>
        <w:keepLines w:val="0"/>
        <w:pageBreakBefore w:val="0"/>
        <w:kinsoku/>
        <w:overflowPunct/>
        <w:bidi w:val="0"/>
        <w:snapToGrid w:val="0"/>
        <w:spacing w:line="360" w:lineRule="auto"/>
        <w:ind w:left="0"/>
        <w:jc w:val="both"/>
        <w:rPr>
          <w:rFonts w:hint="eastAsia" w:ascii="仿宋" w:hAnsi="仿宋" w:eastAsia="仿宋" w:cs="仿宋"/>
          <w:color w:val="auto"/>
          <w:sz w:val="21"/>
          <w:szCs w:val="21"/>
          <w:highlight w:val="none"/>
          <w:lang w:val="en-US"/>
        </w:rPr>
      </w:pPr>
      <w:bookmarkStart w:id="381" w:name="_Toc112857293"/>
      <w:bookmarkStart w:id="382" w:name="_Toc6363"/>
      <w:bookmarkStart w:id="383" w:name="_Toc5405"/>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六</w:t>
      </w:r>
      <w:r>
        <w:rPr>
          <w:rFonts w:hint="eastAsia" w:ascii="仿宋" w:hAnsi="仿宋" w:eastAsia="仿宋" w:cs="仿宋"/>
          <w:color w:val="auto"/>
          <w:sz w:val="21"/>
          <w:szCs w:val="21"/>
          <w:highlight w:val="none"/>
          <w:lang w:val="en-US"/>
        </w:rPr>
        <w:t>）</w:t>
      </w:r>
      <w:bookmarkEnd w:id="381"/>
      <w:r>
        <w:rPr>
          <w:rFonts w:hint="eastAsia" w:ascii="仿宋" w:hAnsi="仿宋" w:eastAsia="仿宋" w:cs="仿宋"/>
          <w:color w:val="auto"/>
          <w:sz w:val="21"/>
          <w:szCs w:val="21"/>
          <w:highlight w:val="none"/>
          <w:lang w:val="en-US" w:eastAsia="zh-CN"/>
        </w:rPr>
        <w:t>项目资产运营与效益情况</w:t>
      </w:r>
      <w:bookmarkEnd w:id="382"/>
      <w:bookmarkEnd w:id="383"/>
    </w:p>
    <w:p w14:paraId="661B3FC9">
      <w:pPr>
        <w:pStyle w:val="2"/>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bookmarkStart w:id="384" w:name="_Hlk112697505"/>
      <w:r>
        <w:rPr>
          <w:rFonts w:hint="eastAsia" w:ascii="仿宋" w:hAnsi="仿宋" w:eastAsia="仿宋" w:cs="仿宋"/>
          <w:color w:val="auto"/>
          <w:sz w:val="21"/>
          <w:szCs w:val="21"/>
          <w:highlight w:val="none"/>
          <w:lang w:val="en-US" w:eastAsia="zh-CN"/>
        </w:rPr>
        <w:t xml:space="preserve">资产权属：睢县自来水公司为国有独资企业，城区供水设施均为财政资金投入建设。 </w:t>
      </w:r>
    </w:p>
    <w:p w14:paraId="45982028">
      <w:pPr>
        <w:pStyle w:val="2"/>
        <w:snapToGrid w:val="0"/>
        <w:spacing w:line="360" w:lineRule="auto"/>
        <w:ind w:firstLine="420" w:firstLineChars="200"/>
        <w:rPr>
          <w:rFonts w:hint="eastAsia" w:ascii="仿宋" w:hAnsi="仿宋" w:eastAsia="仿宋" w:cs="仿宋"/>
          <w:color w:val="auto"/>
          <w:szCs w:val="21"/>
          <w:highlight w:val="none"/>
          <w:lang w:val="en-US"/>
        </w:rPr>
      </w:pPr>
      <w:r>
        <w:rPr>
          <w:rFonts w:hint="eastAsia" w:ascii="仿宋" w:hAnsi="仿宋" w:eastAsia="仿宋" w:cs="仿宋"/>
          <w:color w:val="auto"/>
          <w:sz w:val="21"/>
          <w:szCs w:val="21"/>
          <w:highlight w:val="none"/>
          <w:lang w:val="en-US" w:eastAsia="zh-CN"/>
        </w:rPr>
        <w:t>存量债务：睢县自来水公司移交运营管理权前涉及的相关债务</w:t>
      </w:r>
      <w:r>
        <w:rPr>
          <w:rFonts w:hint="eastAsia" w:ascii="仿宋" w:hAnsi="仿宋" w:eastAsia="仿宋" w:cs="仿宋"/>
          <w:color w:val="auto"/>
          <w:highlight w:val="none"/>
          <w:lang w:val="en-US" w:eastAsia="zh-CN"/>
        </w:rPr>
        <w:t>由政府方用特许经营权转让价款资金优先偿还</w:t>
      </w:r>
      <w:r>
        <w:rPr>
          <w:rFonts w:hint="eastAsia" w:ascii="仿宋" w:hAnsi="仿宋" w:eastAsia="仿宋" w:cs="仿宋"/>
          <w:color w:val="auto"/>
          <w:szCs w:val="21"/>
          <w:highlight w:val="none"/>
          <w:lang w:val="en-US"/>
        </w:rPr>
        <w:t>。</w:t>
      </w:r>
    </w:p>
    <w:bookmarkEnd w:id="384"/>
    <w:p w14:paraId="59E08B1B">
      <w:pPr>
        <w:pStyle w:val="5"/>
        <w:keepNext w:val="0"/>
        <w:keepLines w:val="0"/>
        <w:pageBreakBefore w:val="0"/>
        <w:kinsoku/>
        <w:overflowPunct/>
        <w:bidi w:val="0"/>
        <w:snapToGrid w:val="0"/>
        <w:spacing w:line="360" w:lineRule="auto"/>
        <w:ind w:left="0"/>
        <w:jc w:val="both"/>
        <w:rPr>
          <w:rFonts w:hint="eastAsia" w:ascii="仿宋" w:hAnsi="仿宋" w:eastAsia="仿宋" w:cs="仿宋"/>
          <w:color w:val="auto"/>
          <w:sz w:val="21"/>
          <w:szCs w:val="21"/>
          <w:highlight w:val="none"/>
          <w:lang w:val="en-US"/>
        </w:rPr>
      </w:pPr>
      <w:bookmarkStart w:id="385" w:name="_bookmark9"/>
      <w:bookmarkEnd w:id="385"/>
      <w:bookmarkStart w:id="386" w:name="_bookmark8"/>
      <w:bookmarkEnd w:id="386"/>
      <w:bookmarkStart w:id="387" w:name="_bookmark10"/>
      <w:bookmarkEnd w:id="387"/>
      <w:bookmarkStart w:id="388" w:name="_Toc6206"/>
      <w:bookmarkStart w:id="389" w:name="_Toc12009"/>
      <w:bookmarkStart w:id="390" w:name="_Toc112857294"/>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七</w:t>
      </w: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存量资产评估情况</w:t>
      </w:r>
      <w:bookmarkEnd w:id="388"/>
      <w:bookmarkEnd w:id="389"/>
    </w:p>
    <w:p w14:paraId="230675BB">
      <w:pPr>
        <w:pStyle w:val="2"/>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睢县住房和城乡建设局拟确认资产价值涉及的睢县自来水公司存量资产的“睢县城乡供排水一体化项目（一期）运营权”价值项目》，睢县城乡供排水一体化项目（一期）采用收益法评估，截止评估基准日2024年8月30日，特许经营权评估价值为101101659.00元。</w:t>
      </w:r>
    </w:p>
    <w:p w14:paraId="22C60BF0">
      <w:pPr>
        <w:pStyle w:val="5"/>
        <w:keepNext w:val="0"/>
        <w:keepLines w:val="0"/>
        <w:pageBreakBefore w:val="0"/>
        <w:kinsoku/>
        <w:overflowPunct/>
        <w:bidi w:val="0"/>
        <w:snapToGrid w:val="0"/>
        <w:spacing w:line="360" w:lineRule="auto"/>
        <w:ind w:left="0"/>
        <w:jc w:val="both"/>
        <w:rPr>
          <w:rFonts w:hint="eastAsia" w:ascii="仿宋" w:hAnsi="仿宋" w:eastAsia="仿宋" w:cs="仿宋"/>
          <w:color w:val="auto"/>
          <w:sz w:val="21"/>
          <w:szCs w:val="21"/>
          <w:highlight w:val="none"/>
          <w:lang w:val="en-US"/>
        </w:rPr>
      </w:pPr>
      <w:bookmarkStart w:id="391" w:name="_Toc31374"/>
      <w:bookmarkStart w:id="392" w:name="_Toc28950"/>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八</w:t>
      </w: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项目合作模式及范围</w:t>
      </w:r>
      <w:bookmarkEnd w:id="391"/>
      <w:bookmarkEnd w:id="392"/>
    </w:p>
    <w:p w14:paraId="5B1E6493">
      <w:pPr>
        <w:pStyle w:val="2"/>
        <w:keepNext w:val="0"/>
        <w:keepLines w:val="0"/>
        <w:pageBreakBefore w:val="0"/>
        <w:kinsoku/>
        <w:overflowPunct/>
        <w:bidi w:val="0"/>
        <w:snapToGrid w:val="0"/>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本项目拟采用“TOT”的实施方式，即睢县城乡供排水一体化项目（一期）存量供水资产的转让、运营维护和移交。 </w:t>
      </w:r>
    </w:p>
    <w:p w14:paraId="771B104E">
      <w:pPr>
        <w:pStyle w:val="2"/>
        <w:keepNext w:val="0"/>
        <w:keepLines w:val="0"/>
        <w:pageBreakBefore w:val="0"/>
        <w:kinsoku/>
        <w:overflowPunct/>
        <w:bidi w:val="0"/>
        <w:snapToGrid w:val="0"/>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特许经营权授权供水范围：东至东环路，西至西环路，南至南环路，北至黄山路合围范围。</w:t>
      </w:r>
    </w:p>
    <w:p w14:paraId="65D4092D">
      <w:pPr>
        <w:pStyle w:val="5"/>
        <w:keepNext w:val="0"/>
        <w:keepLines w:val="0"/>
        <w:pageBreakBefore w:val="0"/>
        <w:kinsoku/>
        <w:overflowPunct/>
        <w:bidi w:val="0"/>
        <w:snapToGrid w:val="0"/>
        <w:spacing w:line="360" w:lineRule="auto"/>
        <w:ind w:left="0"/>
        <w:jc w:val="both"/>
        <w:rPr>
          <w:rFonts w:hint="eastAsia" w:ascii="仿宋" w:hAnsi="仿宋" w:eastAsia="仿宋" w:cs="仿宋"/>
          <w:color w:val="auto"/>
          <w:sz w:val="21"/>
          <w:szCs w:val="21"/>
          <w:highlight w:val="none"/>
          <w:lang w:val="en-US"/>
        </w:rPr>
      </w:pPr>
      <w:bookmarkStart w:id="393" w:name="_Toc32719"/>
      <w:bookmarkStart w:id="394" w:name="_Toc10663"/>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九</w:t>
      </w:r>
      <w:r>
        <w:rPr>
          <w:rFonts w:hint="eastAsia" w:ascii="仿宋" w:hAnsi="仿宋" w:eastAsia="仿宋" w:cs="仿宋"/>
          <w:color w:val="auto"/>
          <w:sz w:val="21"/>
          <w:szCs w:val="21"/>
          <w:highlight w:val="none"/>
          <w:lang w:val="en-US"/>
        </w:rPr>
        <w:t>）</w:t>
      </w:r>
      <w:bookmarkEnd w:id="390"/>
      <w:r>
        <w:rPr>
          <w:rFonts w:hint="eastAsia" w:ascii="仿宋" w:hAnsi="仿宋" w:eastAsia="仿宋" w:cs="仿宋"/>
          <w:b/>
          <w:bCs/>
          <w:color w:val="auto"/>
          <w:sz w:val="21"/>
          <w:szCs w:val="21"/>
          <w:highlight w:val="none"/>
          <w:lang w:val="en-US" w:eastAsia="zh-CN"/>
        </w:rPr>
        <w:t>运作</w:t>
      </w:r>
      <w:r>
        <w:rPr>
          <w:rFonts w:hint="eastAsia" w:ascii="仿宋" w:hAnsi="仿宋" w:eastAsia="仿宋" w:cs="仿宋"/>
          <w:color w:val="auto"/>
          <w:sz w:val="21"/>
          <w:szCs w:val="21"/>
          <w:highlight w:val="none"/>
          <w:lang w:val="en-US" w:eastAsia="zh-CN"/>
        </w:rPr>
        <w:t>模式</w:t>
      </w:r>
      <w:bookmarkEnd w:id="393"/>
      <w:bookmarkEnd w:id="394"/>
    </w:p>
    <w:p w14:paraId="296A2EE4">
      <w:pPr>
        <w:pStyle w:val="23"/>
        <w:keepNext w:val="0"/>
        <w:keepLines w:val="0"/>
        <w:pageBreakBefore w:val="0"/>
        <w:kinsoku/>
        <w:overflowPunct/>
        <w:bidi w:val="0"/>
        <w:snapToGrid w:val="0"/>
        <w:spacing w:after="0" w:line="360" w:lineRule="auto"/>
        <w:ind w:left="220" w:leftChars="100" w:right="528" w:rightChars="24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本项目拟采用“TOT”的实施方式，即睢县城乡供排水一体化项目（一期）存量供水资产的转让、运营维护和移交</w:t>
      </w:r>
      <w:r>
        <w:rPr>
          <w:rFonts w:hint="eastAsia" w:ascii="仿宋" w:hAnsi="仿宋" w:eastAsia="仿宋" w:cs="仿宋"/>
          <w:color w:val="auto"/>
          <w:sz w:val="21"/>
          <w:szCs w:val="21"/>
          <w:highlight w:val="none"/>
          <w:lang w:val="en-US"/>
        </w:rPr>
        <w:t>。</w:t>
      </w:r>
    </w:p>
    <w:p w14:paraId="692AE654">
      <w:pPr>
        <w:pStyle w:val="5"/>
        <w:keepNext w:val="0"/>
        <w:keepLines w:val="0"/>
        <w:pageBreakBefore w:val="0"/>
        <w:kinsoku/>
        <w:overflowPunct/>
        <w:bidi w:val="0"/>
        <w:snapToGrid w:val="0"/>
        <w:spacing w:line="360" w:lineRule="auto"/>
        <w:ind w:left="0"/>
        <w:jc w:val="both"/>
        <w:rPr>
          <w:rFonts w:hint="eastAsia" w:ascii="仿宋" w:hAnsi="仿宋" w:eastAsia="仿宋" w:cs="仿宋"/>
          <w:color w:val="auto"/>
          <w:sz w:val="21"/>
          <w:szCs w:val="21"/>
          <w:highlight w:val="none"/>
          <w:lang w:val="en-US"/>
        </w:rPr>
      </w:pPr>
      <w:bookmarkStart w:id="395" w:name="_Toc2070"/>
      <w:bookmarkStart w:id="396" w:name="_Toc29678"/>
      <w:r>
        <w:rPr>
          <w:rFonts w:hint="eastAsia" w:ascii="仿宋" w:hAnsi="仿宋" w:eastAsia="仿宋" w:cs="仿宋"/>
          <w:color w:val="auto"/>
          <w:sz w:val="21"/>
          <w:szCs w:val="21"/>
          <w:highlight w:val="none"/>
          <w:lang w:val="en-US"/>
        </w:rPr>
        <w:t>（十）</w:t>
      </w:r>
      <w:r>
        <w:rPr>
          <w:rFonts w:hint="eastAsia" w:ascii="仿宋" w:hAnsi="仿宋" w:eastAsia="仿宋" w:cs="仿宋"/>
          <w:color w:val="auto"/>
          <w:sz w:val="21"/>
          <w:szCs w:val="21"/>
          <w:highlight w:val="none"/>
          <w:lang w:val="en-US" w:eastAsia="zh-CN"/>
        </w:rPr>
        <w:t>前期工作进展</w:t>
      </w:r>
      <w:bookmarkEnd w:id="395"/>
      <w:bookmarkEnd w:id="396"/>
    </w:p>
    <w:p w14:paraId="38FEE845">
      <w:pPr>
        <w:pStyle w:val="23"/>
        <w:keepNext w:val="0"/>
        <w:keepLines w:val="0"/>
        <w:pageBreakBefore w:val="0"/>
        <w:kinsoku/>
        <w:overflowPunct/>
        <w:bidi w:val="0"/>
        <w:snapToGrid w:val="0"/>
        <w:spacing w:line="360" w:lineRule="auto"/>
        <w:ind w:left="0" w:leftChars="0" w:firstLine="420" w:firstLineChars="200"/>
        <w:rPr>
          <w:rFonts w:hint="eastAsia" w:ascii="仿宋" w:hAnsi="仿宋" w:eastAsia="仿宋" w:cs="仿宋"/>
          <w:color w:val="auto"/>
          <w:sz w:val="21"/>
          <w:szCs w:val="21"/>
          <w:highlight w:val="none"/>
          <w:lang w:val="en-US" w:eastAsia="zh-CN" w:bidi="zh-CN"/>
        </w:rPr>
      </w:pPr>
      <w:r>
        <w:rPr>
          <w:rFonts w:hint="eastAsia" w:ascii="仿宋" w:hAnsi="仿宋" w:eastAsia="仿宋" w:cs="仿宋"/>
          <w:color w:val="auto"/>
          <w:sz w:val="21"/>
          <w:szCs w:val="21"/>
          <w:highlight w:val="none"/>
          <w:lang w:val="en-US" w:eastAsia="zh-CN" w:bidi="zh-CN"/>
        </w:rPr>
        <w:t xml:space="preserve">睢县人民政府授权睢县住房和城乡建设局作为本项目实施机构，由实施机构负责特许经营项目前期准备、特许经营者选择、特许经营协议签订、项目实施监管、特许经营期满移交接收等工作。 </w:t>
      </w:r>
    </w:p>
    <w:p w14:paraId="04436EB7">
      <w:pPr>
        <w:pStyle w:val="23"/>
        <w:keepNext w:val="0"/>
        <w:keepLines w:val="0"/>
        <w:pageBreakBefore w:val="0"/>
        <w:kinsoku/>
        <w:overflowPunct/>
        <w:bidi w:val="0"/>
        <w:snapToGrid w:val="0"/>
        <w:spacing w:line="360" w:lineRule="auto"/>
        <w:ind w:left="0" w:leftChars="0" w:firstLine="420" w:firstLineChars="200"/>
        <w:rPr>
          <w:rFonts w:hint="eastAsia" w:ascii="仿宋" w:hAnsi="仿宋" w:eastAsia="仿宋" w:cs="仿宋"/>
          <w:color w:val="auto"/>
          <w:sz w:val="21"/>
          <w:szCs w:val="21"/>
          <w:highlight w:val="none"/>
          <w:lang w:val="en-US" w:eastAsia="zh-CN" w:bidi="zh-CN"/>
        </w:rPr>
      </w:pPr>
      <w:r>
        <w:rPr>
          <w:rFonts w:hint="eastAsia" w:ascii="仿宋" w:hAnsi="仿宋" w:eastAsia="仿宋" w:cs="仿宋"/>
          <w:color w:val="auto"/>
          <w:sz w:val="21"/>
          <w:szCs w:val="21"/>
          <w:highlight w:val="none"/>
          <w:lang w:val="en-US" w:eastAsia="zh-CN" w:bidi="zh-CN"/>
        </w:rPr>
        <w:t>目前《睢县住房和城乡建设局拟确认特许经营权资产价值涉及的睢县自来水公司拥有的“睢县城区供水特许经营权”价值项目资产评估报告》已编制完成。</w:t>
      </w:r>
    </w:p>
    <w:p w14:paraId="6EFBA012">
      <w:pPr>
        <w:pStyle w:val="5"/>
        <w:keepNext w:val="0"/>
        <w:keepLines w:val="0"/>
        <w:pageBreakBefore w:val="0"/>
        <w:kinsoku/>
        <w:overflowPunct/>
        <w:bidi w:val="0"/>
        <w:snapToGrid w:val="0"/>
        <w:spacing w:line="360" w:lineRule="auto"/>
        <w:ind w:left="0"/>
        <w:jc w:val="both"/>
        <w:rPr>
          <w:rFonts w:hint="eastAsia" w:ascii="仿宋" w:hAnsi="仿宋" w:eastAsia="仿宋" w:cs="仿宋"/>
          <w:color w:val="auto"/>
          <w:sz w:val="21"/>
          <w:szCs w:val="21"/>
          <w:highlight w:val="none"/>
          <w:lang w:val="en-US"/>
        </w:rPr>
      </w:pPr>
      <w:bookmarkStart w:id="397" w:name="_Toc30042"/>
      <w:bookmarkStart w:id="398" w:name="_Toc16729"/>
      <w:r>
        <w:rPr>
          <w:rFonts w:hint="eastAsia" w:ascii="仿宋" w:hAnsi="仿宋" w:eastAsia="仿宋" w:cs="仿宋"/>
          <w:color w:val="auto"/>
          <w:sz w:val="21"/>
          <w:szCs w:val="21"/>
          <w:highlight w:val="none"/>
          <w:lang w:val="en-US"/>
        </w:rPr>
        <w:t>（十</w:t>
      </w:r>
      <w:r>
        <w:rPr>
          <w:rFonts w:hint="eastAsia" w:ascii="仿宋" w:hAnsi="仿宋" w:eastAsia="仿宋" w:cs="仿宋"/>
          <w:color w:val="auto"/>
          <w:sz w:val="21"/>
          <w:szCs w:val="21"/>
          <w:highlight w:val="none"/>
          <w:lang w:val="en-US" w:eastAsia="zh-CN"/>
        </w:rPr>
        <w:t>一</w:t>
      </w: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项目实施机构及政府出资人代表</w:t>
      </w:r>
      <w:bookmarkEnd w:id="397"/>
      <w:bookmarkEnd w:id="398"/>
    </w:p>
    <w:p w14:paraId="04866AC0">
      <w:pPr>
        <w:pStyle w:val="2"/>
        <w:keepNext w:val="0"/>
        <w:keepLines w:val="0"/>
        <w:pageBreakBefore w:val="0"/>
        <w:kinsoku/>
        <w:overflowPunct/>
        <w:bidi w:val="0"/>
        <w:snapToGrid w:val="0"/>
        <w:spacing w:line="360" w:lineRule="auto"/>
        <w:ind w:firstLine="560"/>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 xml:space="preserve">11.1实施机构 </w:t>
      </w:r>
    </w:p>
    <w:p w14:paraId="5971BB4F">
      <w:pPr>
        <w:pStyle w:val="2"/>
        <w:keepNext w:val="0"/>
        <w:keepLines w:val="0"/>
        <w:pageBreakBefore w:val="0"/>
        <w:kinsoku/>
        <w:overflowPunct/>
        <w:bidi w:val="0"/>
        <w:snapToGrid w:val="0"/>
        <w:spacing w:line="360" w:lineRule="auto"/>
        <w:ind w:firstLine="560"/>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 xml:space="preserve">1、基本情况 </w:t>
      </w:r>
    </w:p>
    <w:p w14:paraId="50F715A8">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机构名称：睢县住房和城乡建设局 </w:t>
      </w:r>
    </w:p>
    <w:p w14:paraId="3CD1DE53">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统一社会信用代码：11411422005867148Y </w:t>
      </w:r>
    </w:p>
    <w:p w14:paraId="6EA5362E">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机构地址：睢县中心大街北段西侧</w:t>
      </w:r>
    </w:p>
    <w:p w14:paraId="41641411">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b/>
          <w:bCs/>
          <w:color w:val="auto"/>
          <w:highlight w:val="none"/>
          <w:lang w:val="en-US" w:eastAsia="zh-CN"/>
        </w:rPr>
        <w:t>2、项目职责</w:t>
      </w:r>
      <w:r>
        <w:rPr>
          <w:rFonts w:hint="eastAsia" w:ascii="仿宋" w:hAnsi="仿宋" w:eastAsia="仿宋" w:cs="仿宋"/>
          <w:color w:val="auto"/>
          <w:highlight w:val="none"/>
          <w:lang w:val="en-US" w:eastAsia="zh-CN"/>
        </w:rPr>
        <w:t xml:space="preserve"> </w:t>
      </w:r>
    </w:p>
    <w:p w14:paraId="4A4EFDE7">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睢县住房和城乡建设局作为项目实施机构，负责特许经营项目前期准备、特许经营者选择、特许经营协议签订、项目实施监管、特许经营期满移交接收等工作。 </w:t>
      </w:r>
    </w:p>
    <w:p w14:paraId="38C8BB28">
      <w:pPr>
        <w:pStyle w:val="2"/>
        <w:keepNext w:val="0"/>
        <w:keepLines w:val="0"/>
        <w:pageBreakBefore w:val="0"/>
        <w:kinsoku/>
        <w:overflowPunct/>
        <w:bidi w:val="0"/>
        <w:snapToGrid w:val="0"/>
        <w:spacing w:line="360" w:lineRule="auto"/>
        <w:ind w:firstLine="560"/>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 xml:space="preserve">11.2 政府出资人代表 </w:t>
      </w:r>
    </w:p>
    <w:p w14:paraId="1C119175">
      <w:pPr>
        <w:pStyle w:val="2"/>
        <w:keepNext w:val="0"/>
        <w:keepLines w:val="0"/>
        <w:pageBreakBefore w:val="0"/>
        <w:kinsoku/>
        <w:overflowPunct/>
        <w:bidi w:val="0"/>
        <w:snapToGrid w:val="0"/>
        <w:spacing w:line="360" w:lineRule="auto"/>
        <w:ind w:firstLine="560"/>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 xml:space="preserve">1、基本情况 </w:t>
      </w:r>
    </w:p>
    <w:p w14:paraId="32BBD60F">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机构名称：睢县自来水公司 </w:t>
      </w:r>
    </w:p>
    <w:p w14:paraId="5BB9B28A">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统一社会信用代码：91411422175251653U </w:t>
      </w:r>
    </w:p>
    <w:p w14:paraId="29223A79">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机构地址：睢县文化路西段35号 </w:t>
      </w:r>
    </w:p>
    <w:p w14:paraId="4CEE0CA7">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b/>
          <w:bCs/>
          <w:color w:val="auto"/>
          <w:highlight w:val="none"/>
          <w:lang w:val="en-US" w:eastAsia="zh-CN"/>
        </w:rPr>
        <w:t>2、项目职责</w:t>
      </w:r>
      <w:r>
        <w:rPr>
          <w:rFonts w:hint="eastAsia" w:ascii="仿宋" w:hAnsi="仿宋" w:eastAsia="仿宋" w:cs="仿宋"/>
          <w:color w:val="auto"/>
          <w:highlight w:val="none"/>
          <w:lang w:val="en-US" w:eastAsia="zh-CN"/>
        </w:rPr>
        <w:t xml:space="preserve"> </w:t>
      </w:r>
    </w:p>
    <w:p w14:paraId="71D44DF0">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与中标特许经营者共同组建项目公司，负责本项目的投融资、运营维护、移交工作。</w:t>
      </w:r>
    </w:p>
    <w:p w14:paraId="07586624">
      <w:pPr>
        <w:pStyle w:val="5"/>
        <w:keepNext w:val="0"/>
        <w:keepLines w:val="0"/>
        <w:pageBreakBefore w:val="0"/>
        <w:kinsoku/>
        <w:overflowPunct/>
        <w:bidi w:val="0"/>
        <w:snapToGrid w:val="0"/>
        <w:spacing w:line="360" w:lineRule="auto"/>
        <w:ind w:left="0"/>
        <w:jc w:val="both"/>
        <w:rPr>
          <w:rFonts w:hint="eastAsia" w:ascii="仿宋" w:hAnsi="仿宋" w:eastAsia="仿宋" w:cs="仿宋"/>
          <w:color w:val="auto"/>
          <w:sz w:val="21"/>
          <w:szCs w:val="21"/>
          <w:highlight w:val="none"/>
          <w:lang w:val="en-US"/>
        </w:rPr>
      </w:pPr>
      <w:bookmarkStart w:id="399" w:name="_Toc31624"/>
      <w:bookmarkStart w:id="400" w:name="_Toc28915"/>
      <w:r>
        <w:rPr>
          <w:rFonts w:hint="eastAsia" w:ascii="仿宋" w:hAnsi="仿宋" w:eastAsia="仿宋" w:cs="仿宋"/>
          <w:color w:val="auto"/>
          <w:sz w:val="21"/>
          <w:szCs w:val="21"/>
          <w:highlight w:val="none"/>
          <w:lang w:val="en-US"/>
        </w:rPr>
        <w:t>（十</w:t>
      </w:r>
      <w:r>
        <w:rPr>
          <w:rFonts w:hint="eastAsia" w:ascii="仿宋" w:hAnsi="仿宋" w:eastAsia="仿宋" w:cs="仿宋"/>
          <w:color w:val="auto"/>
          <w:sz w:val="21"/>
          <w:szCs w:val="21"/>
          <w:highlight w:val="none"/>
          <w:lang w:val="en-US" w:eastAsia="zh-CN"/>
        </w:rPr>
        <w:t>二</w:t>
      </w: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特许经营主要内容</w:t>
      </w:r>
      <w:bookmarkEnd w:id="399"/>
      <w:bookmarkEnd w:id="400"/>
    </w:p>
    <w:p w14:paraId="70E05EA9">
      <w:pPr>
        <w:pStyle w:val="2"/>
        <w:keepNext w:val="0"/>
        <w:keepLines w:val="0"/>
        <w:pageBreakBefore w:val="0"/>
        <w:kinsoku/>
        <w:overflowPunct/>
        <w:bidi w:val="0"/>
        <w:snapToGrid w:val="0"/>
        <w:spacing w:line="360" w:lineRule="auto"/>
        <w:ind w:firstLine="560"/>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 xml:space="preserve">12.1 收费渠道和方式 </w:t>
      </w:r>
    </w:p>
    <w:p w14:paraId="1598F54E">
      <w:pPr>
        <w:pStyle w:val="2"/>
        <w:keepNext w:val="0"/>
        <w:keepLines w:val="0"/>
        <w:pageBreakBefore w:val="0"/>
        <w:kinsoku/>
        <w:overflowPunct/>
        <w:bidi w:val="0"/>
        <w:snapToGrid w:val="0"/>
        <w:spacing w:line="360" w:lineRule="auto"/>
        <w:ind w:firstLine="560"/>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 xml:space="preserve">（1）收费渠道 </w:t>
      </w:r>
    </w:p>
    <w:p w14:paraId="652F5453">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本项目向用水终端用户收取水费。按照《城镇供水价格管理办法》规定：“第二十一条：“供水企业暂未抄表到户由转供水单位收取水费的，终端用户具备表计条件的按照政府规定供水价格执行，供水企业应当尽快抄表到户；终端用户不具备表计条件的可以暂按政府规定供水价格向供水企业交纳供水费用并由终端用户公平分摊……”，本项目收费渠道合法合规。 </w:t>
      </w:r>
    </w:p>
    <w:p w14:paraId="10FDC213">
      <w:pPr>
        <w:pStyle w:val="2"/>
        <w:keepNext w:val="0"/>
        <w:keepLines w:val="0"/>
        <w:pageBreakBefore w:val="0"/>
        <w:kinsoku/>
        <w:overflowPunct/>
        <w:bidi w:val="0"/>
        <w:snapToGrid w:val="0"/>
        <w:spacing w:line="360" w:lineRule="auto"/>
        <w:ind w:firstLine="560"/>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 xml:space="preserve">（2）收费方式 </w:t>
      </w:r>
    </w:p>
    <w:p w14:paraId="36FDD407">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参照《城镇供水价格管理办法》规定：“第二十条：城镇供水应当装表到户、计量到户、抄表到户、收费到户、服务到户”。本项目特许经营者负责特许经营权授权范围的供水服务，抄表到户并依法合规收取水费。 </w:t>
      </w:r>
    </w:p>
    <w:p w14:paraId="35F59005">
      <w:pPr>
        <w:pStyle w:val="2"/>
        <w:keepNext w:val="0"/>
        <w:keepLines w:val="0"/>
        <w:pageBreakBefore w:val="0"/>
        <w:kinsoku/>
        <w:overflowPunct/>
        <w:bidi w:val="0"/>
        <w:snapToGrid w:val="0"/>
        <w:spacing w:line="360" w:lineRule="auto"/>
        <w:ind w:firstLine="560"/>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 xml:space="preserve">12.2 特许经营实施方式 </w:t>
      </w:r>
    </w:p>
    <w:p w14:paraId="637F5E6D">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本项目拟采用“TOT”的实施方式。 </w:t>
      </w:r>
    </w:p>
    <w:p w14:paraId="7B027A92">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TOT（转让－运营－移交）：睢县城乡供排水一体化项目（一期）经营权和收益权的转让，存量供水资产（建筑物、构筑物、管网及其他辅助设施、设备类资产等）的运营维护和移交。 </w:t>
      </w:r>
    </w:p>
    <w:p w14:paraId="63DB26A5">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b/>
          <w:bCs/>
          <w:color w:val="auto"/>
          <w:highlight w:val="none"/>
          <w:lang w:val="en-US" w:eastAsia="zh-CN"/>
        </w:rPr>
        <w:t>12.3 特许经营期限</w:t>
      </w:r>
      <w:r>
        <w:rPr>
          <w:rFonts w:hint="eastAsia" w:ascii="仿宋" w:hAnsi="仿宋" w:eastAsia="仿宋" w:cs="仿宋"/>
          <w:color w:val="auto"/>
          <w:highlight w:val="none"/>
          <w:lang w:val="en-US" w:eastAsia="zh-CN"/>
        </w:rPr>
        <w:t xml:space="preserve"> </w:t>
      </w:r>
    </w:p>
    <w:p w14:paraId="3D611D54">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本项目特许经营期40年，起始日为完成存量资产移交工作并签订存量资产移交清单之日，终止日为特许经营期满之日。 </w:t>
      </w:r>
    </w:p>
    <w:p w14:paraId="26B8504D">
      <w:pPr>
        <w:pStyle w:val="2"/>
        <w:keepNext w:val="0"/>
        <w:keepLines w:val="0"/>
        <w:pageBreakBefore w:val="0"/>
        <w:kinsoku/>
        <w:overflowPunct/>
        <w:bidi w:val="0"/>
        <w:snapToGrid w:val="0"/>
        <w:spacing w:line="360" w:lineRule="auto"/>
        <w:ind w:firstLine="560"/>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12.4 特许经营者的条件</w:t>
      </w:r>
    </w:p>
    <w:p w14:paraId="5B96E110">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本项目特许经营者的财务、信誉、运营综合实力需满足项目需求。 </w:t>
      </w:r>
    </w:p>
    <w:p w14:paraId="49A9C242">
      <w:pPr>
        <w:pStyle w:val="2"/>
        <w:keepNext w:val="0"/>
        <w:keepLines w:val="0"/>
        <w:pageBreakBefore w:val="0"/>
        <w:kinsoku/>
        <w:overflowPunct/>
        <w:bidi w:val="0"/>
        <w:snapToGrid w:val="0"/>
        <w:spacing w:line="360" w:lineRule="auto"/>
        <w:ind w:firstLine="560"/>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 xml:space="preserve">12.5 特许经营服务范围 </w:t>
      </w:r>
    </w:p>
    <w:p w14:paraId="572B0C40">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本项目授权特许经营权服务范围：东至东环路，西至西环路，南至南环路，北至黄山路。</w:t>
      </w:r>
    </w:p>
    <w:p w14:paraId="7776A0E6">
      <w:pPr>
        <w:pStyle w:val="38"/>
        <w:jc w:val="center"/>
        <w:rPr>
          <w:rFonts w:hint="eastAsia"/>
          <w:lang w:val="en-US"/>
        </w:rPr>
      </w:pPr>
      <w:r>
        <w:rPr>
          <w:rFonts w:hint="eastAsia" w:ascii="宋体" w:hAnsi="宋体" w:eastAsia="宋体" w:cs="宋体"/>
          <w:color w:val="FF0000"/>
          <w:lang w:eastAsia="zh-CN" w:bidi="ar"/>
        </w:rPr>
        <w:drawing>
          <wp:inline distT="0" distB="0" distL="114300" distR="114300">
            <wp:extent cx="5267325" cy="7517765"/>
            <wp:effectExtent l="0" t="0" r="0" b="698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4"/>
                    <a:stretch>
                      <a:fillRect/>
                    </a:stretch>
                  </pic:blipFill>
                  <pic:spPr>
                    <a:xfrm>
                      <a:off x="0" y="0"/>
                      <a:ext cx="5267325" cy="7517765"/>
                    </a:xfrm>
                    <a:prstGeom prst="rect">
                      <a:avLst/>
                    </a:prstGeom>
                  </pic:spPr>
                </pic:pic>
              </a:graphicData>
            </a:graphic>
          </wp:inline>
        </w:drawing>
      </w:r>
    </w:p>
    <w:p w14:paraId="59705DC9">
      <w:pPr>
        <w:pStyle w:val="5"/>
        <w:keepNext w:val="0"/>
        <w:keepLines w:val="0"/>
        <w:pageBreakBefore w:val="0"/>
        <w:kinsoku/>
        <w:overflowPunct/>
        <w:bidi w:val="0"/>
        <w:snapToGrid w:val="0"/>
        <w:spacing w:line="360" w:lineRule="auto"/>
        <w:ind w:left="0"/>
        <w:jc w:val="both"/>
        <w:rPr>
          <w:rFonts w:hint="eastAsia" w:ascii="仿宋" w:hAnsi="仿宋" w:eastAsia="仿宋" w:cs="仿宋"/>
          <w:color w:val="auto"/>
          <w:sz w:val="21"/>
          <w:szCs w:val="21"/>
          <w:highlight w:val="none"/>
          <w:lang w:val="en-US"/>
        </w:rPr>
        <w:sectPr>
          <w:pgSz w:w="11910" w:h="16840"/>
          <w:pgMar w:top="1580" w:right="1000" w:bottom="1660" w:left="1580" w:header="907" w:footer="1394" w:gutter="0"/>
          <w:pgNumType w:fmt="decimal"/>
          <w:cols w:space="720" w:num="1"/>
        </w:sectPr>
      </w:pPr>
      <w:bookmarkStart w:id="401" w:name="_Toc112857298"/>
    </w:p>
    <w:p w14:paraId="715F5699">
      <w:pPr>
        <w:pStyle w:val="5"/>
        <w:keepNext w:val="0"/>
        <w:keepLines w:val="0"/>
        <w:pageBreakBefore w:val="0"/>
        <w:kinsoku/>
        <w:overflowPunct/>
        <w:bidi w:val="0"/>
        <w:snapToGrid w:val="0"/>
        <w:spacing w:line="360" w:lineRule="auto"/>
        <w:ind w:left="0"/>
        <w:jc w:val="both"/>
        <w:rPr>
          <w:rFonts w:hint="eastAsia" w:ascii="仿宋" w:hAnsi="仿宋" w:eastAsia="仿宋" w:cs="仿宋"/>
          <w:color w:val="auto"/>
          <w:sz w:val="21"/>
          <w:szCs w:val="21"/>
          <w:highlight w:val="none"/>
          <w:lang w:val="en-US"/>
        </w:rPr>
      </w:pPr>
      <w:bookmarkStart w:id="402" w:name="_Toc29422"/>
      <w:bookmarkStart w:id="403" w:name="_Toc12314"/>
      <w:r>
        <w:rPr>
          <w:rFonts w:hint="eastAsia" w:ascii="仿宋" w:hAnsi="仿宋" w:eastAsia="仿宋" w:cs="仿宋"/>
          <w:color w:val="auto"/>
          <w:sz w:val="21"/>
          <w:szCs w:val="21"/>
          <w:highlight w:val="none"/>
          <w:lang w:val="en-US"/>
        </w:rPr>
        <w:t>（十</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lang w:val="en-US"/>
        </w:rPr>
        <w:t>）</w:t>
      </w:r>
      <w:bookmarkEnd w:id="401"/>
      <w:r>
        <w:rPr>
          <w:rFonts w:hint="eastAsia" w:ascii="仿宋" w:hAnsi="仿宋" w:eastAsia="仿宋" w:cs="仿宋"/>
          <w:color w:val="auto"/>
          <w:sz w:val="21"/>
          <w:szCs w:val="21"/>
          <w:highlight w:val="none"/>
          <w:lang w:val="en-US" w:eastAsia="zh-CN"/>
        </w:rPr>
        <w:t>政府承诺和保障</w:t>
      </w:r>
      <w:bookmarkEnd w:id="402"/>
      <w:bookmarkEnd w:id="403"/>
    </w:p>
    <w:p w14:paraId="7A377EDE">
      <w:pPr>
        <w:pStyle w:val="2"/>
        <w:keepNext w:val="0"/>
        <w:keepLines w:val="0"/>
        <w:pageBreakBefore w:val="0"/>
        <w:kinsoku/>
        <w:overflowPunct/>
        <w:bidi w:val="0"/>
        <w:snapToGrid w:val="0"/>
        <w:spacing w:line="360" w:lineRule="auto"/>
        <w:ind w:firstLine="560"/>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 xml:space="preserve">13.1 协调与政府部门的联系 </w:t>
      </w:r>
    </w:p>
    <w:p w14:paraId="54810BA5">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在项目特许经营期内，负责协调项目公司与政府有关部门的联系。 </w:t>
      </w:r>
    </w:p>
    <w:p w14:paraId="3049B180">
      <w:pPr>
        <w:pStyle w:val="2"/>
        <w:keepNext w:val="0"/>
        <w:keepLines w:val="0"/>
        <w:pageBreakBefore w:val="0"/>
        <w:kinsoku/>
        <w:overflowPunct/>
        <w:bidi w:val="0"/>
        <w:snapToGrid w:val="0"/>
        <w:spacing w:line="360" w:lineRule="auto"/>
        <w:ind w:firstLine="560"/>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 xml:space="preserve">13.2 提供项目相关政府审批手续和融资证明文件 </w:t>
      </w:r>
    </w:p>
    <w:p w14:paraId="04144D2F">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提供项目相关的审批手续（包含项目立项审批、竣工决算、竣工验收、土地权属证明、房产权属证明等）、运营资料（项目图纸、人事资料等）及融资所必须的资料或文件。 </w:t>
      </w:r>
    </w:p>
    <w:p w14:paraId="4FB859E0">
      <w:pPr>
        <w:pStyle w:val="2"/>
        <w:keepNext w:val="0"/>
        <w:keepLines w:val="0"/>
        <w:pageBreakBefore w:val="0"/>
        <w:kinsoku/>
        <w:overflowPunct/>
        <w:bidi w:val="0"/>
        <w:snapToGrid w:val="0"/>
        <w:spacing w:line="360" w:lineRule="auto"/>
        <w:ind w:firstLine="560"/>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 xml:space="preserve">13.3 争取上级资金用于项目提升改造 </w:t>
      </w:r>
    </w:p>
    <w:p w14:paraId="778EE718">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充分利用现有资源和政策条件，争取项目提升改造等配套资金支持。 </w:t>
      </w:r>
    </w:p>
    <w:p w14:paraId="06D01358">
      <w:pPr>
        <w:pStyle w:val="2"/>
        <w:keepNext w:val="0"/>
        <w:keepLines w:val="0"/>
        <w:pageBreakBefore w:val="0"/>
        <w:kinsoku/>
        <w:overflowPunct/>
        <w:bidi w:val="0"/>
        <w:snapToGrid w:val="0"/>
        <w:spacing w:line="360" w:lineRule="auto"/>
        <w:ind w:firstLine="560"/>
        <w:rPr>
          <w:rFonts w:hint="eastAsia" w:ascii="仿宋" w:hAnsi="仿宋" w:eastAsia="仿宋" w:cs="仿宋"/>
          <w:b/>
          <w:bCs/>
          <w:color w:val="auto"/>
          <w:highlight w:val="none"/>
          <w:lang w:val="en-US"/>
        </w:rPr>
      </w:pPr>
      <w:r>
        <w:rPr>
          <w:rFonts w:hint="eastAsia" w:ascii="仿宋" w:hAnsi="仿宋" w:eastAsia="仿宋" w:cs="仿宋"/>
          <w:b/>
          <w:bCs/>
          <w:color w:val="auto"/>
          <w:highlight w:val="none"/>
          <w:lang w:val="en-US" w:eastAsia="zh-CN"/>
        </w:rPr>
        <w:t xml:space="preserve">13.4 特许经营权的有效性 </w:t>
      </w:r>
    </w:p>
    <w:p w14:paraId="2615715D">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 xml:space="preserve">在特许经营者（项目公司）严格执行特许经营协议的前提下，县政府应保证其特许经营权在整个特许经营期内始终完整、持续有效，并具有排他性。 </w:t>
      </w:r>
    </w:p>
    <w:p w14:paraId="56E95C15">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b/>
          <w:bCs/>
          <w:color w:val="auto"/>
          <w:highlight w:val="none"/>
          <w:lang w:val="en-US" w:eastAsia="zh-CN"/>
        </w:rPr>
        <w:t>13.5 存量资产的移交</w:t>
      </w:r>
      <w:r>
        <w:rPr>
          <w:rFonts w:hint="eastAsia" w:ascii="仿宋" w:hAnsi="仿宋" w:eastAsia="仿宋" w:cs="仿宋"/>
          <w:color w:val="auto"/>
          <w:highlight w:val="none"/>
          <w:lang w:val="en-US" w:eastAsia="zh-CN"/>
        </w:rPr>
        <w:t xml:space="preserve"> </w:t>
      </w:r>
    </w:p>
    <w:p w14:paraId="26CB2C7E">
      <w:pPr>
        <w:pStyle w:val="2"/>
        <w:keepNext w:val="0"/>
        <w:keepLines w:val="0"/>
        <w:pageBreakBefore w:val="0"/>
        <w:kinsoku/>
        <w:overflowPunct/>
        <w:bidi w:val="0"/>
        <w:snapToGrid w:val="0"/>
        <w:spacing w:line="360" w:lineRule="auto"/>
        <w:ind w:firstLine="560"/>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政府方应在项目公司成立60日内完成存量资产移交工作。</w:t>
      </w:r>
    </w:p>
    <w:p w14:paraId="3FE5158F">
      <w:pPr>
        <w:pStyle w:val="5"/>
        <w:keepNext w:val="0"/>
        <w:keepLines w:val="0"/>
        <w:pageBreakBefore w:val="0"/>
        <w:kinsoku/>
        <w:overflowPunct/>
        <w:bidi w:val="0"/>
        <w:snapToGrid w:val="0"/>
        <w:spacing w:line="360" w:lineRule="auto"/>
        <w:ind w:left="0"/>
        <w:jc w:val="both"/>
        <w:rPr>
          <w:rFonts w:hint="eastAsia" w:ascii="仿宋" w:hAnsi="仿宋" w:eastAsia="仿宋" w:cs="仿宋"/>
          <w:color w:val="auto"/>
          <w:sz w:val="21"/>
          <w:szCs w:val="21"/>
          <w:highlight w:val="none"/>
          <w:lang w:val="en-US" w:eastAsia="zh-CN"/>
        </w:rPr>
      </w:pPr>
      <w:bookmarkStart w:id="404" w:name="_Toc7637"/>
      <w:r>
        <w:rPr>
          <w:rFonts w:hint="eastAsia" w:ascii="仿宋" w:hAnsi="仿宋" w:eastAsia="仿宋" w:cs="仿宋"/>
          <w:color w:val="auto"/>
          <w:sz w:val="21"/>
          <w:szCs w:val="21"/>
          <w:highlight w:val="none"/>
          <w:lang w:val="en-US" w:eastAsia="zh-CN"/>
        </w:rPr>
        <w:t>（十四）特许经营权转让价款及资金来源</w:t>
      </w:r>
      <w:bookmarkEnd w:id="404"/>
      <w:r>
        <w:rPr>
          <w:rFonts w:hint="eastAsia" w:ascii="仿宋" w:hAnsi="仿宋" w:eastAsia="仿宋" w:cs="仿宋"/>
          <w:color w:val="auto"/>
          <w:sz w:val="21"/>
          <w:szCs w:val="21"/>
          <w:highlight w:val="none"/>
          <w:lang w:val="en-US" w:eastAsia="zh-CN"/>
        </w:rPr>
        <w:t>：</w:t>
      </w:r>
    </w:p>
    <w:p w14:paraId="2A236C26">
      <w:pPr>
        <w:keepNext w:val="0"/>
        <w:keepLines w:val="0"/>
        <w:pageBreakBefore w:val="0"/>
        <w:widowControl w:val="0"/>
        <w:numPr>
          <w:numId w:val="0"/>
        </w:numPr>
        <w:kinsoku/>
        <w:wordWrap/>
        <w:overflowPunct/>
        <w:topLinePunct w:val="0"/>
        <w:autoSpaceDE w:val="0"/>
        <w:autoSpaceDN w:val="0"/>
        <w:bidi w:val="0"/>
        <w:adjustRightInd/>
        <w:snapToGrid w:val="0"/>
        <w:spacing w:line="360" w:lineRule="auto"/>
        <w:ind w:firstLine="630" w:firstLineChars="300"/>
        <w:textAlignment w:val="auto"/>
        <w:rPr>
          <w:rFonts w:hint="eastAsia" w:ascii="仿宋" w:hAnsi="仿宋" w:eastAsia="仿宋" w:cs="仿宋"/>
          <w:color w:val="auto"/>
          <w:sz w:val="21"/>
          <w:szCs w:val="21"/>
          <w:highlight w:val="none"/>
          <w:lang w:val="en-US" w:eastAsia="zh-CN" w:bidi="zh-CN"/>
        </w:rPr>
      </w:pPr>
      <w:r>
        <w:rPr>
          <w:rFonts w:hint="eastAsia" w:ascii="仿宋" w:hAnsi="仿宋" w:eastAsia="仿宋" w:cs="仿宋"/>
          <w:color w:val="auto"/>
          <w:sz w:val="21"/>
          <w:szCs w:val="21"/>
          <w:highlight w:val="none"/>
          <w:lang w:val="en-US" w:eastAsia="zh-CN" w:bidi="zh-CN"/>
        </w:rPr>
        <w:t>本项目特许经营权转让价款10163.87万元，其中：特许经营权评估价值10110.17万元，前期费用53.7万元。</w:t>
      </w:r>
    </w:p>
    <w:p w14:paraId="0C35A4B4">
      <w:pPr>
        <w:pStyle w:val="22"/>
        <w:keepNext w:val="0"/>
        <w:keepLines w:val="0"/>
        <w:pageBreakBefore w:val="0"/>
        <w:kinsoku/>
        <w:overflowPunct/>
        <w:bidi w:val="0"/>
        <w:snapToGrid w:val="0"/>
        <w:spacing w:line="360" w:lineRule="auto"/>
        <w:ind w:right="528" w:rightChars="240" w:firstLine="630" w:firstLineChars="300"/>
        <w:rPr>
          <w:rFonts w:hint="eastAsia" w:ascii="仿宋" w:hAnsi="仿宋" w:eastAsia="仿宋" w:cs="仿宋"/>
          <w:color w:val="auto"/>
          <w:highlight w:val="none"/>
          <w:lang w:val="en-US"/>
        </w:rPr>
      </w:pPr>
      <w:r>
        <w:rPr>
          <w:rFonts w:hint="eastAsia" w:ascii="仿宋" w:hAnsi="仿宋" w:eastAsia="仿宋" w:cs="仿宋"/>
          <w:color w:val="auto"/>
          <w:sz w:val="21"/>
          <w:szCs w:val="21"/>
          <w:highlight w:val="none"/>
          <w:lang w:val="en-US" w:eastAsia="zh-CN" w:bidi="zh-CN"/>
        </w:rPr>
        <w:t>项目资本金为2063.87万元，占项目特许经营权转让价款的20.31%，其中：政府出资人代表出资722.35万元，占比35%；中标特许经营者出资1341.52万元，占比65%。项目融资金额8100.00万元，占项目特许经营权转让价款的79.69%。</w:t>
      </w:r>
      <w:r>
        <w:rPr>
          <w:rFonts w:hint="eastAsia" w:ascii="仿宋" w:hAnsi="仿宋" w:eastAsia="仿宋" w:cs="仿宋"/>
          <w:color w:val="auto"/>
          <w:highlight w:val="none"/>
          <w:lang w:val="en-US"/>
        </w:rPr>
        <w:br w:type="page"/>
      </w:r>
    </w:p>
    <w:p w14:paraId="2CBE1FAC">
      <w:pPr>
        <w:pStyle w:val="4"/>
        <w:keepNext w:val="0"/>
        <w:keepLines w:val="0"/>
        <w:pageBreakBefore w:val="0"/>
        <w:tabs>
          <w:tab w:val="left" w:pos="1766"/>
        </w:tabs>
        <w:kinsoku/>
        <w:overflowPunct/>
        <w:bidi w:val="0"/>
        <w:snapToGrid w:val="0"/>
        <w:spacing w:before="174" w:line="360" w:lineRule="auto"/>
        <w:rPr>
          <w:rFonts w:hint="eastAsia" w:ascii="仿宋" w:hAnsi="仿宋" w:eastAsia="仿宋" w:cs="仿宋"/>
          <w:color w:val="auto"/>
          <w:sz w:val="28"/>
          <w:szCs w:val="28"/>
          <w:highlight w:val="none"/>
        </w:rPr>
      </w:pPr>
      <w:bookmarkStart w:id="405" w:name="_Toc18868"/>
      <w:bookmarkStart w:id="406" w:name="_Toc4569"/>
      <w:r>
        <w:rPr>
          <w:rFonts w:hint="eastAsia" w:ascii="仿宋" w:hAnsi="仿宋" w:eastAsia="仿宋" w:cs="仿宋"/>
          <w:color w:val="auto"/>
          <w:sz w:val="28"/>
          <w:szCs w:val="28"/>
          <w:highlight w:val="none"/>
        </w:rPr>
        <w:t>第六章</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投标文件格式</w:t>
      </w:r>
      <w:bookmarkEnd w:id="405"/>
      <w:bookmarkEnd w:id="406"/>
    </w:p>
    <w:p w14:paraId="012A7359">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3F30DB0A">
      <w:pPr>
        <w:pStyle w:val="2"/>
        <w:keepNext w:val="0"/>
        <w:keepLines w:val="0"/>
        <w:pageBreakBefore w:val="0"/>
        <w:kinsoku/>
        <w:overflowPunct/>
        <w:bidi w:val="0"/>
        <w:snapToGrid w:val="0"/>
        <w:spacing w:before="1" w:line="360" w:lineRule="auto"/>
        <w:jc w:val="center"/>
        <w:outlineLvl w:val="1"/>
        <w:rPr>
          <w:rFonts w:hint="eastAsia" w:ascii="仿宋" w:hAnsi="仿宋" w:eastAsia="仿宋" w:cs="仿宋"/>
          <w:b/>
          <w:color w:val="auto"/>
          <w:sz w:val="52"/>
          <w:highlight w:val="none"/>
          <w:u w:val="single"/>
          <w:lang w:val="en-US"/>
        </w:rPr>
      </w:pPr>
      <w:bookmarkStart w:id="407" w:name="_Toc29930"/>
      <w:bookmarkStart w:id="408" w:name="_Toc2162"/>
      <w:bookmarkStart w:id="409" w:name="_Toc12277"/>
      <w:bookmarkStart w:id="410" w:name="_Toc31990"/>
      <w:r>
        <w:rPr>
          <w:rFonts w:hint="eastAsia" w:ascii="仿宋" w:hAnsi="仿宋" w:eastAsia="仿宋" w:cs="仿宋"/>
          <w:b/>
          <w:color w:val="auto"/>
          <w:sz w:val="52"/>
          <w:highlight w:val="none"/>
          <w:u w:val="single"/>
        </w:rPr>
        <w:t>（</w:t>
      </w:r>
      <w:r>
        <w:rPr>
          <w:rFonts w:hint="eastAsia" w:ascii="仿宋" w:hAnsi="仿宋" w:eastAsia="仿宋" w:cs="仿宋"/>
          <w:b/>
          <w:color w:val="auto"/>
          <w:sz w:val="52"/>
          <w:highlight w:val="none"/>
          <w:u w:val="single"/>
          <w:lang w:val="en-US"/>
        </w:rPr>
        <w:t>项目名称）</w:t>
      </w:r>
      <w:bookmarkEnd w:id="407"/>
      <w:bookmarkEnd w:id="408"/>
      <w:bookmarkEnd w:id="409"/>
      <w:bookmarkEnd w:id="410"/>
    </w:p>
    <w:p w14:paraId="5C4B50BF">
      <w:pPr>
        <w:pStyle w:val="3"/>
        <w:keepNext w:val="0"/>
        <w:keepLines w:val="0"/>
        <w:pageBreakBefore w:val="0"/>
        <w:kinsoku/>
        <w:overflowPunct/>
        <w:bidi w:val="0"/>
        <w:snapToGrid w:val="0"/>
        <w:spacing w:line="360" w:lineRule="auto"/>
        <w:rPr>
          <w:rFonts w:hint="eastAsia" w:ascii="仿宋" w:hAnsi="仿宋" w:eastAsia="仿宋" w:cs="仿宋"/>
          <w:color w:val="auto"/>
          <w:highlight w:val="none"/>
          <w:lang w:val="en-US"/>
        </w:rPr>
      </w:pPr>
    </w:p>
    <w:p w14:paraId="48A77450">
      <w:pPr>
        <w:keepNext w:val="0"/>
        <w:keepLines w:val="0"/>
        <w:pageBreakBefore w:val="0"/>
        <w:tabs>
          <w:tab w:val="left" w:pos="878"/>
          <w:tab w:val="left" w:pos="1759"/>
          <w:tab w:val="left" w:pos="2639"/>
        </w:tabs>
        <w:kinsoku/>
        <w:overflowPunct/>
        <w:bidi w:val="0"/>
        <w:snapToGrid w:val="0"/>
        <w:spacing w:line="360" w:lineRule="auto"/>
        <w:ind w:right="578"/>
        <w:jc w:val="center"/>
        <w:rPr>
          <w:rFonts w:hint="eastAsia" w:ascii="仿宋" w:hAnsi="仿宋" w:eastAsia="仿宋" w:cs="仿宋"/>
          <w:color w:val="auto"/>
          <w:sz w:val="72"/>
          <w:szCs w:val="36"/>
          <w:highlight w:val="none"/>
        </w:rPr>
      </w:pPr>
    </w:p>
    <w:p w14:paraId="4F110D63">
      <w:pPr>
        <w:keepNext w:val="0"/>
        <w:keepLines w:val="0"/>
        <w:pageBreakBefore w:val="0"/>
        <w:tabs>
          <w:tab w:val="left" w:pos="878"/>
          <w:tab w:val="left" w:pos="1759"/>
          <w:tab w:val="left" w:pos="2639"/>
        </w:tabs>
        <w:kinsoku/>
        <w:overflowPunct/>
        <w:bidi w:val="0"/>
        <w:snapToGrid w:val="0"/>
        <w:spacing w:line="360" w:lineRule="auto"/>
        <w:ind w:right="578"/>
        <w:jc w:val="center"/>
        <w:outlineLvl w:val="0"/>
        <w:rPr>
          <w:rFonts w:hint="eastAsia" w:ascii="仿宋" w:hAnsi="仿宋" w:eastAsia="仿宋" w:cs="仿宋"/>
          <w:color w:val="auto"/>
          <w:sz w:val="72"/>
          <w:szCs w:val="36"/>
          <w:highlight w:val="none"/>
        </w:rPr>
      </w:pPr>
      <w:bookmarkStart w:id="411" w:name="_Toc23680"/>
      <w:r>
        <w:rPr>
          <w:rFonts w:hint="eastAsia" w:ascii="仿宋" w:hAnsi="仿宋" w:eastAsia="仿宋" w:cs="仿宋"/>
          <w:color w:val="auto"/>
          <w:sz w:val="72"/>
          <w:szCs w:val="36"/>
          <w:highlight w:val="none"/>
          <w:lang w:val="en-US"/>
        </w:rPr>
        <w:t xml:space="preserve"> </w:t>
      </w:r>
      <w:bookmarkStart w:id="412" w:name="_Toc20937"/>
      <w:bookmarkStart w:id="413" w:name="_Toc179"/>
      <w:bookmarkStart w:id="414" w:name="_Toc29035"/>
      <w:bookmarkStart w:id="415" w:name="_Toc15666"/>
      <w:r>
        <w:rPr>
          <w:rFonts w:hint="eastAsia" w:ascii="仿宋" w:hAnsi="仿宋" w:eastAsia="仿宋" w:cs="仿宋"/>
          <w:color w:val="auto"/>
          <w:sz w:val="72"/>
          <w:szCs w:val="36"/>
          <w:highlight w:val="none"/>
        </w:rPr>
        <w:t>投</w:t>
      </w:r>
      <w:r>
        <w:rPr>
          <w:rFonts w:hint="eastAsia" w:ascii="仿宋" w:hAnsi="仿宋" w:eastAsia="仿宋" w:cs="仿宋"/>
          <w:color w:val="auto"/>
          <w:sz w:val="72"/>
          <w:szCs w:val="36"/>
          <w:highlight w:val="none"/>
        </w:rPr>
        <w:tab/>
      </w:r>
      <w:r>
        <w:rPr>
          <w:rFonts w:hint="eastAsia" w:ascii="仿宋" w:hAnsi="仿宋" w:eastAsia="仿宋" w:cs="仿宋"/>
          <w:color w:val="auto"/>
          <w:sz w:val="72"/>
          <w:szCs w:val="36"/>
          <w:highlight w:val="none"/>
        </w:rPr>
        <w:t>标</w:t>
      </w:r>
      <w:r>
        <w:rPr>
          <w:rFonts w:hint="eastAsia" w:ascii="仿宋" w:hAnsi="仿宋" w:eastAsia="仿宋" w:cs="仿宋"/>
          <w:color w:val="auto"/>
          <w:sz w:val="72"/>
          <w:szCs w:val="36"/>
          <w:highlight w:val="none"/>
          <w:lang w:val="en-US"/>
        </w:rPr>
        <w:t xml:space="preserve"> </w:t>
      </w:r>
      <w:r>
        <w:rPr>
          <w:rFonts w:hint="eastAsia" w:ascii="仿宋" w:hAnsi="仿宋" w:eastAsia="仿宋" w:cs="仿宋"/>
          <w:color w:val="auto"/>
          <w:sz w:val="72"/>
          <w:szCs w:val="36"/>
          <w:highlight w:val="none"/>
        </w:rPr>
        <w:tab/>
      </w:r>
      <w:r>
        <w:rPr>
          <w:rFonts w:hint="eastAsia" w:ascii="仿宋" w:hAnsi="仿宋" w:eastAsia="仿宋" w:cs="仿宋"/>
          <w:color w:val="auto"/>
          <w:sz w:val="72"/>
          <w:szCs w:val="36"/>
          <w:highlight w:val="none"/>
        </w:rPr>
        <w:t>文</w:t>
      </w:r>
      <w:r>
        <w:rPr>
          <w:rFonts w:hint="eastAsia" w:ascii="仿宋" w:hAnsi="仿宋" w:eastAsia="仿宋" w:cs="仿宋"/>
          <w:color w:val="auto"/>
          <w:sz w:val="72"/>
          <w:szCs w:val="36"/>
          <w:highlight w:val="none"/>
        </w:rPr>
        <w:tab/>
      </w:r>
      <w:r>
        <w:rPr>
          <w:rFonts w:hint="eastAsia" w:ascii="仿宋" w:hAnsi="仿宋" w:eastAsia="仿宋" w:cs="仿宋"/>
          <w:color w:val="auto"/>
          <w:sz w:val="72"/>
          <w:szCs w:val="36"/>
          <w:highlight w:val="none"/>
        </w:rPr>
        <w:t>件</w:t>
      </w:r>
      <w:bookmarkEnd w:id="411"/>
      <w:bookmarkEnd w:id="412"/>
      <w:bookmarkEnd w:id="413"/>
      <w:bookmarkEnd w:id="414"/>
      <w:bookmarkEnd w:id="415"/>
    </w:p>
    <w:p w14:paraId="52E0B25A">
      <w:pPr>
        <w:pStyle w:val="2"/>
        <w:keepNext w:val="0"/>
        <w:keepLines w:val="0"/>
        <w:pageBreakBefore w:val="0"/>
        <w:kinsoku/>
        <w:overflowPunct/>
        <w:bidi w:val="0"/>
        <w:snapToGrid w:val="0"/>
        <w:spacing w:line="360" w:lineRule="auto"/>
        <w:ind w:firstLine="2940" w:firstLineChars="1400"/>
        <w:rPr>
          <w:rFonts w:hint="eastAsia" w:ascii="仿宋" w:hAnsi="仿宋" w:eastAsia="仿宋" w:cs="仿宋"/>
          <w:color w:val="auto"/>
          <w:highlight w:val="none"/>
          <w:lang w:val="en-US"/>
        </w:rPr>
      </w:pPr>
    </w:p>
    <w:p w14:paraId="3413E903">
      <w:pPr>
        <w:pStyle w:val="2"/>
        <w:keepNext w:val="0"/>
        <w:keepLines w:val="0"/>
        <w:pageBreakBefore w:val="0"/>
        <w:kinsoku/>
        <w:overflowPunct/>
        <w:bidi w:val="0"/>
        <w:snapToGrid w:val="0"/>
        <w:spacing w:line="360" w:lineRule="auto"/>
        <w:ind w:firstLine="2940" w:firstLineChars="140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项目编号：</w:t>
      </w:r>
    </w:p>
    <w:p w14:paraId="3EF83FE1">
      <w:pPr>
        <w:pStyle w:val="2"/>
        <w:keepNext w:val="0"/>
        <w:keepLines w:val="0"/>
        <w:pageBreakBefore w:val="0"/>
        <w:kinsoku/>
        <w:overflowPunct/>
        <w:bidi w:val="0"/>
        <w:snapToGrid w:val="0"/>
        <w:spacing w:line="360" w:lineRule="auto"/>
        <w:rPr>
          <w:rFonts w:hint="eastAsia" w:ascii="仿宋" w:hAnsi="仿宋" w:eastAsia="仿宋" w:cs="仿宋"/>
          <w:color w:val="auto"/>
          <w:sz w:val="44"/>
          <w:highlight w:val="none"/>
        </w:rPr>
      </w:pPr>
    </w:p>
    <w:p w14:paraId="600CCDAF">
      <w:pPr>
        <w:pStyle w:val="2"/>
        <w:keepNext w:val="0"/>
        <w:keepLines w:val="0"/>
        <w:pageBreakBefore w:val="0"/>
        <w:kinsoku/>
        <w:overflowPunct/>
        <w:bidi w:val="0"/>
        <w:snapToGrid w:val="0"/>
        <w:spacing w:before="5" w:line="360" w:lineRule="auto"/>
        <w:rPr>
          <w:rFonts w:hint="eastAsia" w:ascii="仿宋" w:hAnsi="仿宋" w:eastAsia="仿宋" w:cs="仿宋"/>
          <w:color w:val="auto"/>
          <w:sz w:val="64"/>
          <w:highlight w:val="none"/>
        </w:rPr>
      </w:pPr>
    </w:p>
    <w:p w14:paraId="710AC690">
      <w:pPr>
        <w:pStyle w:val="2"/>
        <w:keepNext w:val="0"/>
        <w:keepLines w:val="0"/>
        <w:pageBreakBefore w:val="0"/>
        <w:kinsoku/>
        <w:overflowPunct/>
        <w:bidi w:val="0"/>
        <w:snapToGrid w:val="0"/>
        <w:spacing w:before="5" w:line="360" w:lineRule="auto"/>
        <w:rPr>
          <w:rFonts w:hint="eastAsia" w:ascii="仿宋" w:hAnsi="仿宋" w:eastAsia="仿宋" w:cs="仿宋"/>
          <w:color w:val="auto"/>
          <w:sz w:val="64"/>
          <w:highlight w:val="none"/>
        </w:rPr>
      </w:pPr>
    </w:p>
    <w:p w14:paraId="1508FFA7">
      <w:pPr>
        <w:pStyle w:val="2"/>
        <w:keepNext w:val="0"/>
        <w:keepLines w:val="0"/>
        <w:pageBreakBefore w:val="0"/>
        <w:kinsoku/>
        <w:overflowPunct/>
        <w:bidi w:val="0"/>
        <w:snapToGrid w:val="0"/>
        <w:spacing w:before="5" w:line="360" w:lineRule="auto"/>
        <w:rPr>
          <w:rFonts w:hint="eastAsia" w:ascii="仿宋" w:hAnsi="仿宋" w:eastAsia="仿宋" w:cs="仿宋"/>
          <w:color w:val="auto"/>
          <w:sz w:val="64"/>
          <w:highlight w:val="none"/>
        </w:rPr>
      </w:pPr>
    </w:p>
    <w:p w14:paraId="729E5A11">
      <w:pPr>
        <w:keepNext w:val="0"/>
        <w:keepLines w:val="0"/>
        <w:pageBreakBefore w:val="0"/>
        <w:kinsoku/>
        <w:overflowPunct/>
        <w:bidi w:val="0"/>
        <w:snapToGrid w:val="0"/>
        <w:spacing w:line="360" w:lineRule="auto"/>
        <w:ind w:left="719" w:leftChars="327"/>
        <w:jc w:val="both"/>
        <w:outlineLvl w:val="0"/>
        <w:rPr>
          <w:rFonts w:hint="eastAsia" w:ascii="仿宋" w:hAnsi="仿宋" w:eastAsia="仿宋" w:cs="仿宋"/>
          <w:color w:val="auto"/>
          <w:sz w:val="24"/>
          <w:szCs w:val="24"/>
          <w:highlight w:val="none"/>
        </w:rPr>
        <w:sectPr>
          <w:pgSz w:w="11910" w:h="16840"/>
          <w:pgMar w:top="1580" w:right="1000" w:bottom="1660" w:left="1580" w:header="737" w:footer="1394" w:gutter="0"/>
          <w:pgNumType w:fmt="decimal"/>
          <w:cols w:space="720" w:num="1"/>
        </w:sectPr>
      </w:pPr>
      <w:bookmarkStart w:id="416" w:name="_Toc31795"/>
      <w:bookmarkStart w:id="417" w:name="_Toc17039"/>
      <w:bookmarkStart w:id="418" w:name="_Toc3819"/>
      <w:bookmarkStart w:id="419" w:name="_Toc4150"/>
      <w:bookmarkStart w:id="420" w:name="_Toc5841"/>
      <w:r>
        <w:rPr>
          <w:rFonts w:hint="eastAsia" w:ascii="仿宋" w:hAnsi="仿宋" w:eastAsia="仿宋" w:cs="仿宋"/>
          <w:color w:val="auto"/>
          <w:sz w:val="24"/>
          <w:szCs w:val="24"/>
          <w:highlight w:val="none"/>
          <w:lang w:val="en-US"/>
        </w:rPr>
        <w:t xml:space="preserve">供应商名称 ：                             （电子签章） </w:t>
      </w:r>
      <w:r>
        <w:rPr>
          <w:rFonts w:hint="eastAsia" w:ascii="仿宋" w:hAnsi="仿宋" w:eastAsia="仿宋" w:cs="仿宋"/>
          <w:color w:val="auto"/>
          <w:sz w:val="24"/>
          <w:szCs w:val="24"/>
          <w:highlight w:val="none"/>
          <w:lang w:val="en-US"/>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（电子签章）或授权委托人：</w:t>
      </w:r>
      <w:r>
        <w:rPr>
          <w:rFonts w:hint="eastAsia"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bookmarkEnd w:id="416"/>
      <w:bookmarkEnd w:id="417"/>
      <w:bookmarkEnd w:id="418"/>
      <w:bookmarkEnd w:id="419"/>
      <w:bookmarkEnd w:id="420"/>
    </w:p>
    <w:p w14:paraId="1AFC65C6">
      <w:pPr>
        <w:keepNext w:val="0"/>
        <w:keepLines w:val="0"/>
        <w:pageBreakBefore w:val="0"/>
        <w:kinsoku/>
        <w:overflowPunct/>
        <w:bidi w:val="0"/>
        <w:snapToGrid w:val="0"/>
        <w:spacing w:before="61" w:line="360" w:lineRule="auto"/>
        <w:ind w:right="578"/>
        <w:jc w:val="center"/>
        <w:rPr>
          <w:rFonts w:hint="eastAsia" w:ascii="仿宋" w:hAnsi="仿宋" w:eastAsia="仿宋" w:cs="仿宋"/>
          <w:b/>
          <w:color w:val="auto"/>
          <w:sz w:val="28"/>
          <w:highlight w:val="none"/>
          <w:lang w:val="en-US"/>
        </w:rPr>
      </w:pPr>
      <w:bookmarkStart w:id="421" w:name="一、投标函"/>
      <w:bookmarkEnd w:id="421"/>
      <w:r>
        <w:rPr>
          <w:rFonts w:hint="eastAsia" w:ascii="仿宋" w:hAnsi="仿宋" w:eastAsia="仿宋" w:cs="仿宋"/>
          <w:b/>
          <w:color w:val="auto"/>
          <w:sz w:val="28"/>
          <w:highlight w:val="none"/>
          <w:lang w:val="en-US"/>
        </w:rPr>
        <w:t>目  录</w:t>
      </w:r>
    </w:p>
    <w:p w14:paraId="474C9B7C">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bookmarkStart w:id="422" w:name="_Toc5310"/>
      <w:bookmarkStart w:id="423" w:name="_Toc5034"/>
      <w:bookmarkStart w:id="424" w:name="_Toc19501"/>
      <w:bookmarkStart w:id="425" w:name="_Toc10948"/>
      <w:r>
        <w:rPr>
          <w:rFonts w:hint="eastAsia" w:ascii="仿宋" w:hAnsi="仿宋" w:eastAsia="仿宋" w:cs="仿宋"/>
          <w:color w:val="auto"/>
          <w:sz w:val="21"/>
          <w:szCs w:val="21"/>
          <w:highlight w:val="none"/>
        </w:rPr>
        <w:t>一、投标函</w:t>
      </w:r>
      <w:bookmarkEnd w:id="422"/>
      <w:bookmarkEnd w:id="423"/>
      <w:bookmarkEnd w:id="424"/>
      <w:bookmarkEnd w:id="425"/>
    </w:p>
    <w:p w14:paraId="2AEF2B66">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bookmarkStart w:id="426" w:name="_Toc11456"/>
      <w:bookmarkStart w:id="427" w:name="_Toc25431"/>
      <w:bookmarkStart w:id="428" w:name="_Toc16225"/>
      <w:bookmarkStart w:id="429" w:name="_Toc19075"/>
      <w:r>
        <w:rPr>
          <w:rFonts w:hint="eastAsia" w:ascii="仿宋" w:hAnsi="仿宋" w:eastAsia="仿宋" w:cs="仿宋"/>
          <w:color w:val="auto"/>
          <w:sz w:val="21"/>
          <w:szCs w:val="21"/>
          <w:highlight w:val="none"/>
        </w:rPr>
        <w:t>二、开标一览表</w:t>
      </w:r>
      <w:bookmarkEnd w:id="426"/>
      <w:bookmarkEnd w:id="427"/>
      <w:bookmarkEnd w:id="428"/>
      <w:bookmarkEnd w:id="429"/>
    </w:p>
    <w:p w14:paraId="428D070A">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bookmarkStart w:id="430" w:name="_Toc11170"/>
      <w:bookmarkStart w:id="431" w:name="_Toc24073"/>
      <w:bookmarkStart w:id="432" w:name="_Toc20508"/>
      <w:bookmarkStart w:id="433" w:name="_Toc2780"/>
      <w:r>
        <w:rPr>
          <w:rFonts w:hint="eastAsia" w:ascii="仿宋" w:hAnsi="仿宋" w:eastAsia="仿宋" w:cs="仿宋"/>
          <w:color w:val="auto"/>
          <w:sz w:val="21"/>
          <w:szCs w:val="21"/>
          <w:highlight w:val="none"/>
        </w:rPr>
        <w:t>三、法定代表人身份证明</w:t>
      </w:r>
      <w:bookmarkEnd w:id="430"/>
      <w:bookmarkEnd w:id="431"/>
      <w:bookmarkEnd w:id="432"/>
      <w:bookmarkEnd w:id="433"/>
    </w:p>
    <w:p w14:paraId="4FD85FC3">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bookmarkStart w:id="434" w:name="_Toc16159"/>
      <w:bookmarkStart w:id="435" w:name="_Toc11028"/>
      <w:bookmarkStart w:id="436" w:name="_Toc31073"/>
      <w:bookmarkStart w:id="437" w:name="_Toc24572"/>
      <w:r>
        <w:rPr>
          <w:rFonts w:hint="eastAsia" w:ascii="仿宋" w:hAnsi="仿宋" w:eastAsia="仿宋" w:cs="仿宋"/>
          <w:color w:val="auto"/>
          <w:sz w:val="21"/>
          <w:szCs w:val="21"/>
          <w:highlight w:val="none"/>
        </w:rPr>
        <w:t>四、授权委托书</w:t>
      </w:r>
      <w:bookmarkEnd w:id="434"/>
      <w:bookmarkEnd w:id="435"/>
      <w:bookmarkEnd w:id="436"/>
      <w:bookmarkEnd w:id="437"/>
    </w:p>
    <w:p w14:paraId="77A86D7C">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bookmarkStart w:id="438" w:name="_Toc6839"/>
      <w:bookmarkStart w:id="439" w:name="_Toc17522"/>
      <w:bookmarkStart w:id="440" w:name="_Toc11347"/>
      <w:bookmarkStart w:id="441" w:name="_Toc30089"/>
      <w:r>
        <w:rPr>
          <w:rFonts w:hint="eastAsia" w:ascii="仿宋" w:hAnsi="仿宋" w:eastAsia="仿宋" w:cs="仿宋"/>
          <w:color w:val="auto"/>
          <w:sz w:val="21"/>
          <w:szCs w:val="21"/>
          <w:highlight w:val="none"/>
          <w:lang w:val="en-US" w:eastAsia="zh-CN"/>
        </w:rPr>
        <w:t>五</w:t>
      </w:r>
      <w:r>
        <w:rPr>
          <w:rFonts w:hint="eastAsia" w:ascii="仿宋" w:hAnsi="仿宋" w:eastAsia="仿宋" w:cs="仿宋"/>
          <w:color w:val="auto"/>
          <w:sz w:val="21"/>
          <w:szCs w:val="21"/>
          <w:highlight w:val="none"/>
        </w:rPr>
        <w:t>、</w:t>
      </w:r>
      <w:bookmarkEnd w:id="438"/>
      <w:r>
        <w:rPr>
          <w:rFonts w:hint="eastAsia" w:ascii="仿宋" w:hAnsi="仿宋" w:eastAsia="仿宋" w:cs="仿宋"/>
          <w:color w:val="auto"/>
          <w:sz w:val="21"/>
          <w:szCs w:val="21"/>
          <w:highlight w:val="none"/>
          <w:lang w:val="en-US"/>
        </w:rPr>
        <w:t>资格审查资料</w:t>
      </w:r>
      <w:bookmarkEnd w:id="439"/>
      <w:bookmarkEnd w:id="440"/>
      <w:bookmarkEnd w:id="441"/>
    </w:p>
    <w:p w14:paraId="27D854C2">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bookmarkStart w:id="442" w:name="_Toc1663"/>
      <w:bookmarkStart w:id="443" w:name="_Toc19690"/>
      <w:bookmarkStart w:id="444" w:name="_Toc19406"/>
      <w:r>
        <w:rPr>
          <w:rFonts w:hint="eastAsia" w:ascii="仿宋" w:hAnsi="仿宋" w:eastAsia="仿宋" w:cs="仿宋"/>
          <w:color w:val="auto"/>
          <w:sz w:val="21"/>
          <w:szCs w:val="21"/>
          <w:highlight w:val="none"/>
          <w:lang w:val="en-US" w:eastAsia="zh-CN"/>
        </w:rPr>
        <w:t>六</w:t>
      </w: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rPr>
        <w:t>项目管理机构</w:t>
      </w:r>
      <w:bookmarkEnd w:id="442"/>
      <w:bookmarkEnd w:id="443"/>
      <w:bookmarkEnd w:id="444"/>
      <w:bookmarkStart w:id="445" w:name="_Toc11377"/>
    </w:p>
    <w:p w14:paraId="6B8EFD66">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bookmarkStart w:id="446" w:name="_Toc14014"/>
      <w:bookmarkStart w:id="447" w:name="_Toc15178"/>
      <w:bookmarkStart w:id="448" w:name="_Toc9665"/>
      <w:r>
        <w:rPr>
          <w:rFonts w:hint="eastAsia" w:ascii="仿宋" w:hAnsi="仿宋" w:eastAsia="仿宋" w:cs="仿宋"/>
          <w:color w:val="auto"/>
          <w:sz w:val="21"/>
          <w:szCs w:val="21"/>
          <w:highlight w:val="none"/>
          <w:lang w:val="en-US" w:eastAsia="zh-CN"/>
        </w:rPr>
        <w:t>七</w:t>
      </w:r>
      <w:r>
        <w:rPr>
          <w:rFonts w:hint="eastAsia" w:ascii="仿宋" w:hAnsi="仿宋" w:eastAsia="仿宋" w:cs="仿宋"/>
          <w:color w:val="auto"/>
          <w:sz w:val="21"/>
          <w:szCs w:val="21"/>
          <w:highlight w:val="none"/>
        </w:rPr>
        <w:t>、技术部分</w:t>
      </w:r>
      <w:bookmarkEnd w:id="445"/>
      <w:bookmarkEnd w:id="446"/>
      <w:bookmarkEnd w:id="447"/>
      <w:bookmarkEnd w:id="448"/>
    </w:p>
    <w:p w14:paraId="09AFF81C">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bookmarkStart w:id="449" w:name="_Toc27620"/>
      <w:bookmarkStart w:id="450" w:name="_Toc31701"/>
      <w:bookmarkStart w:id="451" w:name="_Toc18712"/>
      <w:bookmarkStart w:id="452" w:name="_Toc723"/>
      <w:r>
        <w:rPr>
          <w:rFonts w:hint="eastAsia" w:ascii="仿宋" w:hAnsi="仿宋" w:eastAsia="仿宋" w:cs="仿宋"/>
          <w:color w:val="auto"/>
          <w:sz w:val="21"/>
          <w:szCs w:val="21"/>
          <w:highlight w:val="none"/>
          <w:lang w:val="en-US" w:eastAsia="zh-CN"/>
        </w:rPr>
        <w:t>八</w:t>
      </w:r>
      <w:r>
        <w:rPr>
          <w:rFonts w:hint="eastAsia" w:ascii="仿宋" w:hAnsi="仿宋" w:eastAsia="仿宋" w:cs="仿宋"/>
          <w:color w:val="auto"/>
          <w:sz w:val="21"/>
          <w:szCs w:val="21"/>
          <w:highlight w:val="none"/>
        </w:rPr>
        <w:t>、</w:t>
      </w:r>
      <w:bookmarkEnd w:id="449"/>
      <w:bookmarkStart w:id="453" w:name="_Toc23067"/>
      <w:r>
        <w:rPr>
          <w:rFonts w:hint="eastAsia" w:ascii="仿宋" w:hAnsi="仿宋" w:eastAsia="仿宋" w:cs="仿宋"/>
          <w:color w:val="auto"/>
          <w:sz w:val="21"/>
          <w:szCs w:val="21"/>
          <w:highlight w:val="none"/>
        </w:rPr>
        <w:t>其他材料</w:t>
      </w:r>
      <w:bookmarkEnd w:id="450"/>
      <w:bookmarkEnd w:id="451"/>
      <w:bookmarkEnd w:id="452"/>
      <w:bookmarkEnd w:id="453"/>
    </w:p>
    <w:p w14:paraId="74668337">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p>
    <w:p w14:paraId="270AAF37">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3F1DDE67">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35FA6788">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47A4FCA1">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181E236E">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2CE9F1CA">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150CB67C">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76B29DFB">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489D25CA">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29B53DB1">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20130432">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4B6F72B4">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5D48C6B1">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52DBCB29">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59BE6D0D">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5A757EC9">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591382CA">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27F76A7E">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526E65F1">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31DC7D5A">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59C6A7A1">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p>
    <w:p w14:paraId="3DA80AC4">
      <w:pPr>
        <w:keepNext w:val="0"/>
        <w:keepLines w:val="0"/>
        <w:pageBreakBefore w:val="0"/>
        <w:kinsoku/>
        <w:overflowPunct/>
        <w:bidi w:val="0"/>
        <w:snapToGrid w:val="0"/>
        <w:spacing w:before="61" w:line="360" w:lineRule="auto"/>
        <w:ind w:right="578"/>
        <w:jc w:val="center"/>
        <w:outlineLvl w:val="9"/>
        <w:rPr>
          <w:rFonts w:hint="eastAsia" w:ascii="仿宋" w:hAnsi="仿宋" w:eastAsia="仿宋" w:cs="仿宋"/>
          <w:b/>
          <w:color w:val="auto"/>
          <w:sz w:val="28"/>
          <w:highlight w:val="none"/>
        </w:rPr>
        <w:sectPr>
          <w:pgSz w:w="11850" w:h="16790"/>
          <w:pgMar w:top="1600" w:right="1200" w:bottom="1180" w:left="1200" w:header="850" w:footer="994" w:gutter="0"/>
          <w:pgNumType w:fmt="decimal"/>
          <w:cols w:space="720" w:num="1"/>
        </w:sectPr>
      </w:pPr>
      <w:bookmarkStart w:id="454" w:name="_Toc10869"/>
    </w:p>
    <w:p w14:paraId="3C9746C3">
      <w:pPr>
        <w:keepNext w:val="0"/>
        <w:keepLines w:val="0"/>
        <w:pageBreakBefore w:val="0"/>
        <w:kinsoku/>
        <w:overflowPunct/>
        <w:bidi w:val="0"/>
        <w:snapToGrid w:val="0"/>
        <w:spacing w:before="61" w:line="360" w:lineRule="auto"/>
        <w:ind w:right="578"/>
        <w:jc w:val="center"/>
        <w:outlineLvl w:val="1"/>
        <w:rPr>
          <w:rFonts w:hint="eastAsia" w:ascii="仿宋" w:hAnsi="仿宋" w:eastAsia="仿宋" w:cs="仿宋"/>
          <w:b/>
          <w:color w:val="auto"/>
          <w:sz w:val="28"/>
          <w:highlight w:val="none"/>
        </w:rPr>
      </w:pPr>
      <w:bookmarkStart w:id="455" w:name="_Toc5396"/>
      <w:bookmarkStart w:id="456" w:name="_Toc2066"/>
      <w:r>
        <w:rPr>
          <w:rFonts w:hint="eastAsia" w:ascii="仿宋" w:hAnsi="仿宋" w:eastAsia="仿宋" w:cs="仿宋"/>
          <w:b/>
          <w:color w:val="auto"/>
          <w:sz w:val="28"/>
          <w:highlight w:val="none"/>
        </w:rPr>
        <w:t>一、投标函</w:t>
      </w:r>
      <w:bookmarkEnd w:id="454"/>
      <w:bookmarkEnd w:id="455"/>
      <w:bookmarkEnd w:id="456"/>
    </w:p>
    <w:p w14:paraId="5F26AC7E">
      <w:pPr>
        <w:pStyle w:val="2"/>
        <w:keepNext w:val="0"/>
        <w:keepLines w:val="0"/>
        <w:pageBreakBefore w:val="0"/>
        <w:kinsoku/>
        <w:overflowPunct/>
        <w:bidi w:val="0"/>
        <w:snapToGrid w:val="0"/>
        <w:spacing w:line="360" w:lineRule="auto"/>
        <w:rPr>
          <w:rFonts w:hint="eastAsia" w:ascii="仿宋" w:hAnsi="仿宋" w:eastAsia="仿宋" w:cs="仿宋"/>
          <w:b/>
          <w:color w:val="auto"/>
          <w:sz w:val="28"/>
          <w:highlight w:val="none"/>
        </w:rPr>
      </w:pPr>
    </w:p>
    <w:p w14:paraId="4453407C">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（采购人名称）</w:t>
      </w:r>
    </w:p>
    <w:p w14:paraId="48D8FA28">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我方已仔细研究了</w:t>
      </w:r>
      <w:r>
        <w:rPr>
          <w:rFonts w:hint="eastAsia" w:ascii="仿宋" w:hAnsi="仿宋" w:eastAsia="仿宋" w:cs="仿宋"/>
          <w:color w:val="auto"/>
          <w:sz w:val="21"/>
          <w:szCs w:val="21"/>
          <w:highlight w:val="none"/>
          <w:u w:val="single"/>
          <w:lang w:val="en-US"/>
        </w:rPr>
        <w:t xml:space="preserve">    （项目名称）      </w:t>
      </w:r>
      <w:r>
        <w:rPr>
          <w:rFonts w:hint="eastAsia" w:ascii="仿宋" w:hAnsi="仿宋" w:eastAsia="仿宋" w:cs="仿宋"/>
          <w:color w:val="auto"/>
          <w:sz w:val="21"/>
          <w:szCs w:val="21"/>
          <w:highlight w:val="none"/>
        </w:rPr>
        <w:t>招标文件的全部内容，完全理解并同意放弃对招标文件不明及误解的权力，我方特此声明如下并对之负法律责任：</w:t>
      </w:r>
    </w:p>
    <w:p w14:paraId="059BE4E9">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1、我方愿意接受招标文件及特许经营协议约定的全部条款及约定。</w:t>
      </w:r>
    </w:p>
    <w:p w14:paraId="4A5F1921">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2、我方承诺在取得特许经营权后负责</w:t>
      </w:r>
      <w:r>
        <w:rPr>
          <w:rFonts w:hint="eastAsia" w:ascii="仿宋" w:hAnsi="仿宋" w:eastAsia="仿宋" w:cs="仿宋"/>
          <w:color w:val="auto"/>
          <w:sz w:val="21"/>
          <w:szCs w:val="21"/>
          <w:highlight w:val="none"/>
          <w:lang w:val="en-US" w:eastAsia="zh-CN"/>
        </w:rPr>
        <w:t>本项目</w:t>
      </w:r>
      <w:r>
        <w:rPr>
          <w:rFonts w:hint="eastAsia" w:ascii="仿宋" w:hAnsi="仿宋" w:eastAsia="仿宋" w:cs="仿宋"/>
          <w:color w:val="auto"/>
          <w:sz w:val="21"/>
          <w:szCs w:val="21"/>
          <w:highlight w:val="none"/>
        </w:rPr>
        <w:t>的投融资、运营维护、移交和合同协议中约定的有关内容并承担相应的费用和风险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并在项目特许经营期届满，将项目资产无偿移交给</w:t>
      </w:r>
      <w:r>
        <w:rPr>
          <w:rFonts w:hint="eastAsia" w:ascii="仿宋" w:hAnsi="仿宋" w:eastAsia="仿宋" w:cs="仿宋"/>
          <w:color w:val="auto"/>
          <w:sz w:val="21"/>
          <w:szCs w:val="21"/>
          <w:highlight w:val="none"/>
          <w:lang w:val="en-US" w:eastAsia="zh-CN"/>
        </w:rPr>
        <w:t>采购人</w:t>
      </w:r>
      <w:r>
        <w:rPr>
          <w:rFonts w:hint="eastAsia" w:ascii="仿宋" w:hAnsi="仿宋" w:eastAsia="仿宋" w:cs="仿宋"/>
          <w:color w:val="auto"/>
          <w:sz w:val="21"/>
          <w:szCs w:val="21"/>
          <w:highlight w:val="none"/>
        </w:rPr>
        <w:t>或其指定机构。</w:t>
      </w:r>
    </w:p>
    <w:p w14:paraId="2F10F5A0">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3、合作期限：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06B31E97">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4、除非特许经营协议另有规定并经项目实施机构及政府有关部门批准，在特许经营期限内，我方不得以任何形式转让项目资产及特许经营权。</w:t>
      </w:r>
    </w:p>
    <w:p w14:paraId="19B35CD8">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5、在特许经营期间，我方承诺质量</w:t>
      </w:r>
      <w:r>
        <w:rPr>
          <w:rFonts w:hint="eastAsia" w:ascii="仿宋" w:hAnsi="仿宋" w:eastAsia="仿宋" w:cs="仿宋"/>
          <w:color w:val="auto"/>
          <w:sz w:val="21"/>
          <w:szCs w:val="21"/>
          <w:highlight w:val="none"/>
          <w:u w:val="single"/>
        </w:rPr>
        <w:t>达到国家及行业规范要求</w:t>
      </w:r>
      <w:r>
        <w:rPr>
          <w:rFonts w:hint="eastAsia" w:ascii="仿宋" w:hAnsi="仿宋" w:eastAsia="仿宋" w:cs="仿宋"/>
          <w:color w:val="auto"/>
          <w:sz w:val="21"/>
          <w:szCs w:val="21"/>
          <w:highlight w:val="none"/>
        </w:rPr>
        <w:t>。</w:t>
      </w:r>
    </w:p>
    <w:p w14:paraId="6EDEE95C">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6、在特许经营期间，若我方责任造成重大事故影响，我方应按影响的程度与事故受害方赔偿。</w:t>
      </w:r>
    </w:p>
    <w:p w14:paraId="4C4FD45A">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7、本投标有效期为自投标文件递交截止之日起</w:t>
      </w:r>
      <w:r>
        <w:rPr>
          <w:rFonts w:hint="eastAsia" w:ascii="仿宋" w:hAnsi="仿宋" w:eastAsia="仿宋" w:cs="仿宋"/>
          <w:color w:val="auto"/>
          <w:sz w:val="21"/>
          <w:szCs w:val="21"/>
          <w:highlight w:val="none"/>
          <w:u w:val="single"/>
          <w:lang w:val="en-US"/>
        </w:rPr>
        <w:t xml:space="preserve"> 90 </w:t>
      </w:r>
      <w:r>
        <w:rPr>
          <w:rFonts w:hint="eastAsia" w:ascii="仿宋" w:hAnsi="仿宋" w:eastAsia="仿宋" w:cs="仿宋"/>
          <w:color w:val="auto"/>
          <w:sz w:val="21"/>
          <w:szCs w:val="21"/>
          <w:highlight w:val="none"/>
          <w:lang w:val="en-US"/>
        </w:rPr>
        <w:t>日历</w:t>
      </w:r>
      <w:r>
        <w:rPr>
          <w:rFonts w:hint="eastAsia" w:ascii="仿宋" w:hAnsi="仿宋" w:eastAsia="仿宋" w:cs="仿宋"/>
          <w:color w:val="auto"/>
          <w:sz w:val="21"/>
          <w:szCs w:val="21"/>
          <w:highlight w:val="none"/>
        </w:rPr>
        <w:t>天。</w:t>
      </w:r>
    </w:p>
    <w:p w14:paraId="5D05FFD7">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8、我方承诺在投标有效期内不修改、撤销投标文件。</w:t>
      </w:r>
    </w:p>
    <w:p w14:paraId="19E3B57A">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9、我方承诺将按招标文件的规定履行合同责任和义务。</w:t>
      </w:r>
    </w:p>
    <w:p w14:paraId="4BC02BB9">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10、如我方中标：</w:t>
      </w:r>
    </w:p>
    <w:p w14:paraId="43BFFF4B">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①</w:t>
      </w:r>
      <w:r>
        <w:rPr>
          <w:rFonts w:hint="eastAsia" w:ascii="仿宋" w:hAnsi="仿宋" w:eastAsia="仿宋" w:cs="仿宋"/>
          <w:color w:val="auto"/>
          <w:sz w:val="21"/>
          <w:szCs w:val="21"/>
          <w:highlight w:val="none"/>
        </w:rPr>
        <w:t>我方承诺在收到成交通知书后，在规定的期限内与采购人签订特许经营协议。</w:t>
      </w:r>
    </w:p>
    <w:p w14:paraId="573D36FD">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②</w:t>
      </w:r>
      <w:r>
        <w:rPr>
          <w:rFonts w:hint="eastAsia" w:ascii="仿宋" w:hAnsi="仿宋" w:eastAsia="仿宋" w:cs="仿宋"/>
          <w:color w:val="auto"/>
          <w:sz w:val="21"/>
          <w:szCs w:val="21"/>
          <w:highlight w:val="none"/>
        </w:rPr>
        <w:t>我方将按照招标文件的具体规定向采购代理机构交纳招标代理服务费。</w:t>
      </w:r>
    </w:p>
    <w:p w14:paraId="381F01C8">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11、我方在此声明，所递交的投标文件及有关资料内容完整、真实和准确。</w:t>
      </w:r>
    </w:p>
    <w:p w14:paraId="24B82C76">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12、我方完全同意并响应招标文件所有条款。</w:t>
      </w:r>
    </w:p>
    <w:p w14:paraId="5633FC67">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13、______________________________</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其他补充说明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14:paraId="746AD01E">
      <w:pPr>
        <w:pStyle w:val="48"/>
        <w:keepNext w:val="0"/>
        <w:keepLines w:val="0"/>
        <w:pageBreakBefore w:val="0"/>
        <w:kinsoku/>
        <w:overflowPunct/>
        <w:bidi w:val="0"/>
        <w:snapToGrid w:val="0"/>
        <w:spacing w:line="360" w:lineRule="auto"/>
        <w:rPr>
          <w:rFonts w:hint="eastAsia" w:ascii="仿宋" w:hAnsi="仿宋" w:eastAsia="仿宋" w:cs="仿宋"/>
          <w:color w:val="auto"/>
          <w:szCs w:val="24"/>
          <w:highlight w:val="none"/>
        </w:rPr>
      </w:pPr>
    </w:p>
    <w:p w14:paraId="256C02BE">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3F85AB86">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72CCEB8F">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49EB05F2">
      <w:pPr>
        <w:pStyle w:val="2"/>
        <w:keepNext w:val="0"/>
        <w:keepLines w:val="0"/>
        <w:pageBreakBefore w:val="0"/>
        <w:kinsoku/>
        <w:overflowPunct/>
        <w:bidi w:val="0"/>
        <w:snapToGrid w:val="0"/>
        <w:spacing w:before="9" w:line="360" w:lineRule="auto"/>
        <w:rPr>
          <w:rFonts w:hint="eastAsia" w:ascii="仿宋" w:hAnsi="仿宋" w:eastAsia="仿宋" w:cs="仿宋"/>
          <w:color w:val="auto"/>
          <w:sz w:val="27"/>
          <w:highlight w:val="none"/>
        </w:rPr>
      </w:pPr>
    </w:p>
    <w:p w14:paraId="290C7E96">
      <w:pPr>
        <w:pStyle w:val="2"/>
        <w:keepNext w:val="0"/>
        <w:keepLines w:val="0"/>
        <w:pageBreakBefore w:val="0"/>
        <w:kinsoku/>
        <w:overflowPunct/>
        <w:bidi w:val="0"/>
        <w:snapToGrid w:val="0"/>
        <w:spacing w:line="360" w:lineRule="auto"/>
        <w:ind w:left="2508" w:leftChars="1140"/>
        <w:rPr>
          <w:rFonts w:hint="eastAsia" w:ascii="仿宋" w:hAnsi="仿宋" w:eastAsia="仿宋" w:cs="仿宋"/>
          <w:color w:val="auto"/>
          <w:highlight w:val="none"/>
          <w:lang w:val="en-US"/>
        </w:rPr>
      </w:pPr>
      <w:r>
        <w:rPr>
          <w:rFonts w:hint="eastAsia" w:ascii="仿宋" w:hAnsi="仿宋" w:eastAsia="仿宋" w:cs="仿宋"/>
          <w:color w:val="auto"/>
          <w:highlight w:val="none"/>
        </w:rPr>
        <w:t>供应商名称（或联合体牵头人） ：</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rPr>
        <w:t>（电子签章）</w:t>
      </w:r>
      <w:r>
        <w:rPr>
          <w:rFonts w:hint="eastAsia" w:ascii="仿宋" w:hAnsi="仿宋" w:eastAsia="仿宋" w:cs="仿宋"/>
          <w:color w:val="auto"/>
          <w:highlight w:val="none"/>
          <w:lang w:val="en-US"/>
        </w:rPr>
        <w:t xml:space="preserve"> </w:t>
      </w:r>
    </w:p>
    <w:p w14:paraId="79684419">
      <w:pPr>
        <w:pStyle w:val="2"/>
        <w:keepNext w:val="0"/>
        <w:keepLines w:val="0"/>
        <w:pageBreakBefore w:val="0"/>
        <w:kinsoku/>
        <w:overflowPunct/>
        <w:bidi w:val="0"/>
        <w:snapToGrid w:val="0"/>
        <w:spacing w:line="360" w:lineRule="auto"/>
        <w:ind w:left="2508" w:leftChars="1140"/>
        <w:rPr>
          <w:rFonts w:hint="eastAsia" w:ascii="仿宋" w:hAnsi="仿宋" w:eastAsia="仿宋" w:cs="仿宋"/>
          <w:color w:val="auto"/>
          <w:highlight w:val="none"/>
        </w:rPr>
      </w:pPr>
      <w:r>
        <w:rPr>
          <w:rFonts w:hint="eastAsia" w:ascii="仿宋" w:hAnsi="仿宋" w:eastAsia="仿宋" w:cs="仿宋"/>
          <w:color w:val="auto"/>
          <w:highlight w:val="none"/>
        </w:rPr>
        <w:t>法定代表人或授权委托人：</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rPr>
        <w:t>（电子签章</w:t>
      </w:r>
      <w:r>
        <w:rPr>
          <w:rFonts w:hint="eastAsia" w:ascii="仿宋" w:hAnsi="仿宋" w:eastAsia="仿宋" w:cs="仿宋"/>
          <w:color w:val="auto"/>
          <w:highlight w:val="none"/>
          <w:lang w:val="en-US" w:eastAsia="zh-CN"/>
        </w:rPr>
        <w:t>或</w:t>
      </w:r>
      <w:r>
        <w:rPr>
          <w:rFonts w:hint="eastAsia" w:ascii="仿宋" w:hAnsi="仿宋" w:eastAsia="仿宋" w:cs="仿宋"/>
          <w:color w:val="auto"/>
          <w:highlight w:val="none"/>
        </w:rPr>
        <w:t>签字）</w:t>
      </w:r>
      <w:r>
        <w:rPr>
          <w:rFonts w:hint="eastAsia" w:ascii="仿宋" w:hAnsi="仿宋" w:eastAsia="仿宋" w:cs="仿宋"/>
          <w:color w:val="auto"/>
          <w:highlight w:val="none"/>
        </w:rPr>
        <w:tab/>
      </w:r>
    </w:p>
    <w:p w14:paraId="22232282">
      <w:pPr>
        <w:pStyle w:val="2"/>
        <w:keepNext w:val="0"/>
        <w:keepLines w:val="0"/>
        <w:pageBreakBefore w:val="0"/>
        <w:kinsoku/>
        <w:overflowPunct/>
        <w:bidi w:val="0"/>
        <w:snapToGrid w:val="0"/>
        <w:spacing w:line="360" w:lineRule="auto"/>
        <w:ind w:left="2508" w:leftChars="114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65F08BDA">
      <w:pPr>
        <w:pStyle w:val="2"/>
        <w:keepNext w:val="0"/>
        <w:keepLines w:val="0"/>
        <w:pageBreakBefore w:val="0"/>
        <w:kinsoku/>
        <w:overflowPunct/>
        <w:bidi w:val="0"/>
        <w:snapToGrid w:val="0"/>
        <w:spacing w:before="1" w:line="360" w:lineRule="auto"/>
        <w:rPr>
          <w:rFonts w:hint="eastAsia" w:ascii="仿宋" w:hAnsi="仿宋" w:eastAsia="仿宋" w:cs="仿宋"/>
          <w:color w:val="auto"/>
          <w:highlight w:val="none"/>
        </w:rPr>
      </w:pPr>
    </w:p>
    <w:p w14:paraId="31B31691">
      <w:pPr>
        <w:pStyle w:val="2"/>
        <w:keepNext w:val="0"/>
        <w:keepLines w:val="0"/>
        <w:pageBreakBefore w:val="0"/>
        <w:kinsoku/>
        <w:overflowPunct/>
        <w:bidi w:val="0"/>
        <w:snapToGrid w:val="0"/>
        <w:spacing w:before="1" w:line="360" w:lineRule="auto"/>
        <w:rPr>
          <w:rFonts w:hint="eastAsia" w:ascii="仿宋" w:hAnsi="仿宋" w:eastAsia="仿宋" w:cs="仿宋"/>
          <w:color w:val="auto"/>
          <w:highlight w:val="none"/>
        </w:rPr>
      </w:pPr>
    </w:p>
    <w:p w14:paraId="2146D8C3">
      <w:pPr>
        <w:keepNext w:val="0"/>
        <w:keepLines w:val="0"/>
        <w:pageBreakBefore w:val="0"/>
        <w:kinsoku/>
        <w:overflowPunct/>
        <w:bidi w:val="0"/>
        <w:snapToGrid w:val="0"/>
        <w:spacing w:before="61" w:line="360" w:lineRule="auto"/>
        <w:ind w:right="578"/>
        <w:jc w:val="center"/>
        <w:outlineLvl w:val="1"/>
        <w:rPr>
          <w:rFonts w:hint="eastAsia" w:ascii="仿宋" w:hAnsi="仿宋" w:eastAsia="仿宋" w:cs="仿宋"/>
          <w:b/>
          <w:color w:val="auto"/>
          <w:sz w:val="28"/>
          <w:highlight w:val="none"/>
        </w:rPr>
      </w:pPr>
      <w:bookmarkStart w:id="457" w:name="二、开标一览表"/>
      <w:bookmarkEnd w:id="457"/>
      <w:bookmarkStart w:id="458" w:name="_Toc18010"/>
      <w:bookmarkStart w:id="459" w:name="_Toc19277"/>
      <w:bookmarkStart w:id="460" w:name="_Toc24461"/>
      <w:r>
        <w:rPr>
          <w:rFonts w:hint="eastAsia" w:ascii="仿宋" w:hAnsi="仿宋" w:eastAsia="仿宋" w:cs="仿宋"/>
          <w:b/>
          <w:color w:val="auto"/>
          <w:sz w:val="28"/>
          <w:highlight w:val="none"/>
        </w:rPr>
        <w:t>二、开标一览表</w:t>
      </w:r>
      <w:bookmarkEnd w:id="458"/>
      <w:bookmarkEnd w:id="459"/>
      <w:bookmarkEnd w:id="460"/>
    </w:p>
    <w:p w14:paraId="65F2940D">
      <w:pPr>
        <w:pStyle w:val="2"/>
        <w:keepNext w:val="0"/>
        <w:keepLines w:val="0"/>
        <w:pageBreakBefore w:val="0"/>
        <w:kinsoku/>
        <w:overflowPunct/>
        <w:bidi w:val="0"/>
        <w:snapToGrid w:val="0"/>
        <w:spacing w:before="8" w:line="360" w:lineRule="auto"/>
        <w:rPr>
          <w:rFonts w:hint="eastAsia" w:ascii="仿宋" w:hAnsi="仿宋" w:eastAsia="仿宋" w:cs="仿宋"/>
          <w:b/>
          <w:color w:val="auto"/>
          <w:sz w:val="10"/>
          <w:highlight w:val="none"/>
        </w:rPr>
      </w:pPr>
    </w:p>
    <w:tbl>
      <w:tblPr>
        <w:tblStyle w:val="24"/>
        <w:tblW w:w="86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6700"/>
      </w:tblGrid>
      <w:tr w14:paraId="43EB8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67" w:type="dxa"/>
            <w:vAlign w:val="center"/>
          </w:tcPr>
          <w:p w14:paraId="32DF52E5">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项目</w:t>
            </w:r>
            <w:r>
              <w:rPr>
                <w:rFonts w:hint="eastAsia" w:ascii="仿宋" w:hAnsi="仿宋" w:eastAsia="仿宋" w:cs="仿宋"/>
                <w:color w:val="auto"/>
                <w:sz w:val="21"/>
                <w:szCs w:val="21"/>
                <w:highlight w:val="none"/>
              </w:rPr>
              <w:t>名称</w:t>
            </w:r>
          </w:p>
        </w:tc>
        <w:tc>
          <w:tcPr>
            <w:tcW w:w="6700" w:type="dxa"/>
            <w:vAlign w:val="center"/>
          </w:tcPr>
          <w:p w14:paraId="71936BF8">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r>
      <w:tr w14:paraId="6635B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67" w:type="dxa"/>
            <w:vAlign w:val="center"/>
          </w:tcPr>
          <w:p w14:paraId="5C31C1E2">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w:t>
            </w:r>
          </w:p>
        </w:tc>
        <w:tc>
          <w:tcPr>
            <w:tcW w:w="6700" w:type="dxa"/>
            <w:vAlign w:val="center"/>
          </w:tcPr>
          <w:p w14:paraId="56E3E67C">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r>
      <w:tr w14:paraId="4C84E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967" w:type="dxa"/>
            <w:vAlign w:val="center"/>
          </w:tcPr>
          <w:p w14:paraId="60463471">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投标报价</w:t>
            </w:r>
          </w:p>
        </w:tc>
        <w:tc>
          <w:tcPr>
            <w:tcW w:w="6700" w:type="dxa"/>
            <w:vAlign w:val="center"/>
          </w:tcPr>
          <w:p w14:paraId="40989DED">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r w14:paraId="6E5DB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67" w:type="dxa"/>
            <w:vAlign w:val="center"/>
          </w:tcPr>
          <w:p w14:paraId="5FCBEA00">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投标范围</w:t>
            </w:r>
          </w:p>
        </w:tc>
        <w:tc>
          <w:tcPr>
            <w:tcW w:w="6700" w:type="dxa"/>
            <w:vAlign w:val="center"/>
          </w:tcPr>
          <w:p w14:paraId="01A59A1E">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u w:val="single"/>
              </w:rPr>
            </w:pPr>
          </w:p>
        </w:tc>
      </w:tr>
      <w:tr w14:paraId="28E28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67" w:type="dxa"/>
            <w:vAlign w:val="center"/>
          </w:tcPr>
          <w:p w14:paraId="52417202">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合作期</w:t>
            </w:r>
            <w:r>
              <w:rPr>
                <w:rFonts w:hint="eastAsia" w:ascii="仿宋" w:hAnsi="仿宋" w:eastAsia="仿宋" w:cs="仿宋"/>
                <w:color w:val="auto"/>
                <w:sz w:val="21"/>
                <w:szCs w:val="21"/>
                <w:highlight w:val="none"/>
                <w:lang w:val="en-US"/>
              </w:rPr>
              <w:t>限</w:t>
            </w:r>
          </w:p>
        </w:tc>
        <w:tc>
          <w:tcPr>
            <w:tcW w:w="6700" w:type="dxa"/>
            <w:vAlign w:val="center"/>
          </w:tcPr>
          <w:p w14:paraId="0FA2D85C">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r>
      <w:tr w14:paraId="2AC4F1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67" w:type="dxa"/>
            <w:vAlign w:val="center"/>
          </w:tcPr>
          <w:p w14:paraId="2CF62772">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质量</w:t>
            </w:r>
            <w:r>
              <w:rPr>
                <w:rFonts w:hint="eastAsia" w:ascii="仿宋" w:hAnsi="仿宋" w:eastAsia="仿宋" w:cs="仿宋"/>
                <w:color w:val="auto"/>
                <w:sz w:val="21"/>
                <w:szCs w:val="21"/>
                <w:highlight w:val="none"/>
                <w:lang w:val="en-US"/>
              </w:rPr>
              <w:t>要求</w:t>
            </w:r>
          </w:p>
        </w:tc>
        <w:tc>
          <w:tcPr>
            <w:tcW w:w="6700" w:type="dxa"/>
            <w:vAlign w:val="center"/>
          </w:tcPr>
          <w:p w14:paraId="088AEB1D">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r>
      <w:tr w14:paraId="5A317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67" w:type="dxa"/>
            <w:vAlign w:val="center"/>
          </w:tcPr>
          <w:p w14:paraId="267E6C1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运作模式</w:t>
            </w:r>
          </w:p>
        </w:tc>
        <w:tc>
          <w:tcPr>
            <w:tcW w:w="6700" w:type="dxa"/>
            <w:vAlign w:val="center"/>
          </w:tcPr>
          <w:p w14:paraId="50B99A01">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r>
      <w:tr w14:paraId="4E30C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67" w:type="dxa"/>
            <w:vAlign w:val="center"/>
          </w:tcPr>
          <w:p w14:paraId="2B670FA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回报机制</w:t>
            </w:r>
          </w:p>
        </w:tc>
        <w:tc>
          <w:tcPr>
            <w:tcW w:w="6700" w:type="dxa"/>
            <w:vAlign w:val="center"/>
          </w:tcPr>
          <w:p w14:paraId="60FE4CB8">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r>
      <w:tr w14:paraId="48F48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67" w:type="dxa"/>
            <w:vAlign w:val="center"/>
          </w:tcPr>
          <w:p w14:paraId="4D16DE85">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投标有效期</w:t>
            </w:r>
          </w:p>
        </w:tc>
        <w:tc>
          <w:tcPr>
            <w:tcW w:w="6700" w:type="dxa"/>
            <w:vAlign w:val="center"/>
          </w:tcPr>
          <w:p w14:paraId="031C1561">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自投标文件递交截止之日起</w:t>
            </w:r>
            <w:r>
              <w:rPr>
                <w:rFonts w:hint="eastAsia" w:ascii="仿宋" w:hAnsi="仿宋" w:eastAsia="仿宋" w:cs="仿宋"/>
                <w:color w:val="auto"/>
                <w:sz w:val="21"/>
                <w:szCs w:val="21"/>
                <w:highlight w:val="none"/>
                <w:lang w:val="en-US"/>
              </w:rPr>
              <w:t>90日历</w:t>
            </w:r>
            <w:r>
              <w:rPr>
                <w:rFonts w:hint="eastAsia" w:ascii="仿宋" w:hAnsi="仿宋" w:eastAsia="仿宋" w:cs="仿宋"/>
                <w:color w:val="auto"/>
                <w:sz w:val="21"/>
                <w:szCs w:val="21"/>
                <w:highlight w:val="none"/>
              </w:rPr>
              <w:t>天</w:t>
            </w:r>
          </w:p>
        </w:tc>
      </w:tr>
      <w:tr w14:paraId="1A6AF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1967" w:type="dxa"/>
            <w:vAlign w:val="center"/>
          </w:tcPr>
          <w:p w14:paraId="4A58B0C8">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需要说明的问题：</w:t>
            </w:r>
          </w:p>
        </w:tc>
        <w:tc>
          <w:tcPr>
            <w:tcW w:w="6700" w:type="dxa"/>
            <w:vAlign w:val="center"/>
          </w:tcPr>
          <w:p w14:paraId="7EF72901">
            <w:pPr>
              <w:keepNext w:val="0"/>
              <w:keepLines w:val="0"/>
              <w:pageBreakBefore w:val="0"/>
              <w:kinsoku/>
              <w:overflowPunct/>
              <w:bidi w:val="0"/>
              <w:adjustRightInd w:val="0"/>
              <w:snapToGrid w:val="0"/>
              <w:spacing w:line="360" w:lineRule="auto"/>
              <w:jc w:val="center"/>
              <w:rPr>
                <w:rFonts w:hint="eastAsia" w:ascii="仿宋" w:hAnsi="仿宋" w:eastAsia="仿宋" w:cs="仿宋"/>
                <w:color w:val="auto"/>
                <w:sz w:val="21"/>
                <w:szCs w:val="21"/>
                <w:highlight w:val="none"/>
              </w:rPr>
            </w:pPr>
          </w:p>
        </w:tc>
      </w:tr>
    </w:tbl>
    <w:p w14:paraId="3E4170BF">
      <w:pPr>
        <w:pStyle w:val="2"/>
        <w:keepNext w:val="0"/>
        <w:keepLines w:val="0"/>
        <w:pageBreakBefore w:val="0"/>
        <w:kinsoku/>
        <w:overflowPunct/>
        <w:bidi w:val="0"/>
        <w:snapToGrid w:val="0"/>
        <w:spacing w:line="360" w:lineRule="auto"/>
        <w:rPr>
          <w:rFonts w:hint="eastAsia" w:ascii="仿宋" w:hAnsi="仿宋" w:eastAsia="仿宋" w:cs="仿宋"/>
          <w:b/>
          <w:color w:val="auto"/>
          <w:sz w:val="20"/>
          <w:highlight w:val="none"/>
        </w:rPr>
      </w:pPr>
    </w:p>
    <w:p w14:paraId="6A5A1D9F">
      <w:pPr>
        <w:pStyle w:val="2"/>
        <w:keepNext w:val="0"/>
        <w:keepLines w:val="0"/>
        <w:pageBreakBefore w:val="0"/>
        <w:kinsoku/>
        <w:overflowPunct/>
        <w:bidi w:val="0"/>
        <w:snapToGrid w:val="0"/>
        <w:spacing w:before="6" w:line="360" w:lineRule="auto"/>
        <w:rPr>
          <w:rFonts w:hint="eastAsia" w:ascii="仿宋" w:hAnsi="仿宋" w:eastAsia="仿宋" w:cs="仿宋"/>
          <w:b/>
          <w:color w:val="auto"/>
          <w:sz w:val="19"/>
          <w:highlight w:val="none"/>
        </w:rPr>
      </w:pPr>
    </w:p>
    <w:p w14:paraId="2CB91DA3">
      <w:pPr>
        <w:pStyle w:val="2"/>
        <w:keepNext w:val="0"/>
        <w:keepLines w:val="0"/>
        <w:pageBreakBefore w:val="0"/>
        <w:kinsoku/>
        <w:overflowPunct/>
        <w:bidi w:val="0"/>
        <w:snapToGrid w:val="0"/>
        <w:spacing w:line="360" w:lineRule="auto"/>
        <w:ind w:left="2508" w:leftChars="1140"/>
        <w:rPr>
          <w:rFonts w:hint="eastAsia" w:ascii="仿宋" w:hAnsi="仿宋" w:eastAsia="仿宋" w:cs="仿宋"/>
          <w:color w:val="auto"/>
          <w:highlight w:val="none"/>
          <w:lang w:val="en-US"/>
        </w:rPr>
      </w:pPr>
      <w:r>
        <w:rPr>
          <w:rFonts w:hint="eastAsia" w:ascii="仿宋" w:hAnsi="仿宋" w:eastAsia="仿宋" w:cs="仿宋"/>
          <w:color w:val="auto"/>
          <w:highlight w:val="none"/>
        </w:rPr>
        <w:t>供应商名称（或联合体牵头人）：</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rPr>
        <w:t xml:space="preserve">（电子签章） </w:t>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lang w:val="en-US"/>
        </w:rPr>
        <w:t xml:space="preserve"> </w:t>
      </w:r>
    </w:p>
    <w:p w14:paraId="0F9156C2">
      <w:pPr>
        <w:pStyle w:val="2"/>
        <w:keepNext w:val="0"/>
        <w:keepLines w:val="0"/>
        <w:pageBreakBefore w:val="0"/>
        <w:kinsoku/>
        <w:overflowPunct/>
        <w:bidi w:val="0"/>
        <w:snapToGrid w:val="0"/>
        <w:spacing w:line="360" w:lineRule="auto"/>
        <w:ind w:left="2508" w:leftChars="1140"/>
        <w:rPr>
          <w:rFonts w:hint="eastAsia" w:ascii="仿宋" w:hAnsi="仿宋" w:eastAsia="仿宋" w:cs="仿宋"/>
          <w:color w:val="auto"/>
          <w:highlight w:val="none"/>
        </w:rPr>
      </w:pPr>
      <w:r>
        <w:rPr>
          <w:rFonts w:hint="eastAsia" w:ascii="仿宋" w:hAnsi="仿宋" w:eastAsia="仿宋" w:cs="仿宋"/>
          <w:color w:val="auto"/>
          <w:highlight w:val="none"/>
        </w:rPr>
        <w:t>法定代表人或授权委托人：</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rPr>
        <w:t>（电子签章</w:t>
      </w:r>
      <w:r>
        <w:rPr>
          <w:rFonts w:hint="eastAsia" w:ascii="仿宋" w:hAnsi="仿宋" w:eastAsia="仿宋" w:cs="仿宋"/>
          <w:color w:val="auto"/>
          <w:highlight w:val="none"/>
          <w:lang w:val="en-US" w:eastAsia="zh-CN"/>
        </w:rPr>
        <w:t>或</w:t>
      </w:r>
      <w:r>
        <w:rPr>
          <w:rFonts w:hint="eastAsia" w:ascii="仿宋" w:hAnsi="仿宋" w:eastAsia="仿宋" w:cs="仿宋"/>
          <w:color w:val="auto"/>
          <w:highlight w:val="none"/>
        </w:rPr>
        <w:t>签字）</w:t>
      </w:r>
      <w:r>
        <w:rPr>
          <w:rFonts w:hint="eastAsia" w:ascii="仿宋" w:hAnsi="仿宋" w:eastAsia="仿宋" w:cs="仿宋"/>
          <w:color w:val="auto"/>
          <w:highlight w:val="none"/>
        </w:rPr>
        <w:tab/>
      </w:r>
    </w:p>
    <w:p w14:paraId="7B9DD834">
      <w:pPr>
        <w:pStyle w:val="2"/>
        <w:keepNext w:val="0"/>
        <w:keepLines w:val="0"/>
        <w:pageBreakBefore w:val="0"/>
        <w:kinsoku/>
        <w:overflowPunct/>
        <w:bidi w:val="0"/>
        <w:snapToGrid w:val="0"/>
        <w:spacing w:line="360" w:lineRule="auto"/>
        <w:ind w:left="2508" w:leftChars="1140"/>
        <w:rPr>
          <w:rFonts w:hint="eastAsia" w:ascii="仿宋" w:hAnsi="仿宋" w:eastAsia="仿宋" w:cs="仿宋"/>
          <w:color w:val="auto"/>
          <w:highlight w:val="none"/>
        </w:rPr>
        <w:sectPr>
          <w:pgSz w:w="11850" w:h="16790"/>
          <w:pgMar w:top="1600" w:right="1200" w:bottom="1180" w:left="1200" w:header="850" w:footer="994" w:gutter="0"/>
          <w:pgNumType w:fmt="decimal"/>
          <w:cols w:space="720" w:num="1"/>
        </w:sect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051AFCB6">
      <w:pPr>
        <w:keepNext w:val="0"/>
        <w:keepLines w:val="0"/>
        <w:pageBreakBefore w:val="0"/>
        <w:kinsoku/>
        <w:overflowPunct/>
        <w:bidi w:val="0"/>
        <w:snapToGrid w:val="0"/>
        <w:spacing w:before="62" w:line="360" w:lineRule="auto"/>
        <w:ind w:left="2596" w:right="2595"/>
        <w:jc w:val="center"/>
        <w:outlineLvl w:val="1"/>
        <w:rPr>
          <w:rFonts w:hint="eastAsia" w:ascii="仿宋" w:hAnsi="仿宋" w:eastAsia="仿宋" w:cs="仿宋"/>
          <w:b/>
          <w:color w:val="auto"/>
          <w:sz w:val="28"/>
          <w:highlight w:val="none"/>
        </w:rPr>
      </w:pPr>
      <w:bookmarkStart w:id="461" w:name="四、授权委托书"/>
      <w:bookmarkEnd w:id="461"/>
      <w:bookmarkStart w:id="462" w:name="三、法定代表人身份证明"/>
      <w:bookmarkEnd w:id="462"/>
      <w:bookmarkStart w:id="463" w:name="_Toc29183"/>
      <w:bookmarkStart w:id="464" w:name="_Toc6754"/>
      <w:bookmarkStart w:id="465" w:name="_Toc15990"/>
      <w:r>
        <w:rPr>
          <w:rFonts w:hint="eastAsia" w:ascii="仿宋" w:hAnsi="仿宋" w:eastAsia="仿宋" w:cs="仿宋"/>
          <w:b/>
          <w:color w:val="auto"/>
          <w:sz w:val="28"/>
          <w:highlight w:val="none"/>
        </w:rPr>
        <w:t>三、法定代表人身份证明</w:t>
      </w:r>
      <w:bookmarkEnd w:id="463"/>
      <w:bookmarkEnd w:id="464"/>
      <w:bookmarkEnd w:id="465"/>
    </w:p>
    <w:p w14:paraId="1A5FEDCD">
      <w:pPr>
        <w:pStyle w:val="2"/>
        <w:keepNext w:val="0"/>
        <w:keepLines w:val="0"/>
        <w:pageBreakBefore w:val="0"/>
        <w:kinsoku/>
        <w:overflowPunct/>
        <w:bidi w:val="0"/>
        <w:snapToGrid w:val="0"/>
        <w:spacing w:line="360" w:lineRule="auto"/>
        <w:rPr>
          <w:rFonts w:hint="eastAsia" w:ascii="仿宋" w:hAnsi="仿宋" w:eastAsia="仿宋" w:cs="仿宋"/>
          <w:b/>
          <w:color w:val="auto"/>
          <w:sz w:val="28"/>
          <w:highlight w:val="none"/>
        </w:rPr>
      </w:pPr>
    </w:p>
    <w:p w14:paraId="1E40D5A0">
      <w:pPr>
        <w:pStyle w:val="2"/>
        <w:keepNext w:val="0"/>
        <w:keepLines w:val="0"/>
        <w:pageBreakBefore w:val="0"/>
        <w:kinsoku/>
        <w:overflowPunct/>
        <w:bidi w:val="0"/>
        <w:snapToGrid w:val="0"/>
        <w:spacing w:line="360" w:lineRule="auto"/>
        <w:rPr>
          <w:rFonts w:hint="eastAsia" w:ascii="仿宋" w:hAnsi="仿宋" w:eastAsia="仿宋" w:cs="仿宋"/>
          <w:b/>
          <w:color w:val="auto"/>
          <w:sz w:val="28"/>
          <w:highlight w:val="none"/>
        </w:rPr>
      </w:pPr>
    </w:p>
    <w:p w14:paraId="70C03168">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 标 人：</w:t>
      </w:r>
      <w:r>
        <w:rPr>
          <w:rFonts w:hint="eastAsia" w:ascii="仿宋" w:hAnsi="仿宋" w:eastAsia="仿宋" w:cs="仿宋"/>
          <w:color w:val="auto"/>
          <w:sz w:val="21"/>
          <w:szCs w:val="21"/>
          <w:highlight w:val="none"/>
          <w:u w:val="single"/>
        </w:rPr>
        <w:t xml:space="preserve">                                  </w:t>
      </w:r>
    </w:p>
    <w:p w14:paraId="5EC04EEB">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单位性质：</w:t>
      </w:r>
      <w:r>
        <w:rPr>
          <w:rFonts w:hint="eastAsia" w:ascii="仿宋" w:hAnsi="仿宋" w:eastAsia="仿宋" w:cs="仿宋"/>
          <w:color w:val="auto"/>
          <w:sz w:val="21"/>
          <w:szCs w:val="21"/>
          <w:highlight w:val="none"/>
          <w:u w:val="single"/>
        </w:rPr>
        <w:t xml:space="preserve">                                  </w:t>
      </w:r>
    </w:p>
    <w:p w14:paraId="081A6BBB">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single"/>
        </w:rPr>
        <w:t xml:space="preserve">                                  </w:t>
      </w:r>
    </w:p>
    <w:p w14:paraId="74796EEE">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成立时间：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4D800208">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经营期限：</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u w:val="single"/>
        </w:rPr>
        <w:t xml:space="preserve"> </w:t>
      </w:r>
    </w:p>
    <w:p w14:paraId="2CCFE0D9">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    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性    </w:t>
      </w:r>
      <w:r>
        <w:rPr>
          <w:rFonts w:hint="eastAsia" w:ascii="仿宋" w:hAnsi="仿宋" w:eastAsia="仿宋" w:cs="仿宋"/>
          <w:color w:val="auto"/>
          <w:sz w:val="21"/>
          <w:szCs w:val="21"/>
          <w:highlight w:val="none"/>
          <w:lang w:val="en-US"/>
        </w:rPr>
        <w:t xml:space="preserve">  </w:t>
      </w:r>
      <w:r>
        <w:rPr>
          <w:rFonts w:hint="eastAsia" w:ascii="仿宋" w:hAnsi="仿宋" w:eastAsia="仿宋" w:cs="仿宋"/>
          <w:color w:val="auto"/>
          <w:sz w:val="21"/>
          <w:szCs w:val="21"/>
          <w:highlight w:val="none"/>
        </w:rPr>
        <w:t>别：</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u w:val="single"/>
        </w:rPr>
        <w:t xml:space="preserve"> </w:t>
      </w:r>
    </w:p>
    <w:p w14:paraId="0CB9E7B6">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    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职       务：</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u w:val="single"/>
        </w:rPr>
        <w:t xml:space="preserve">  </w:t>
      </w:r>
    </w:p>
    <w:p w14:paraId="7AFEE1A7">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系</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（供应商名称）的法定代表人。</w:t>
      </w:r>
    </w:p>
    <w:p w14:paraId="14511279">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特此证明。</w:t>
      </w:r>
    </w:p>
    <w:p w14:paraId="2E98A36C">
      <w:pPr>
        <w:keepNext w:val="0"/>
        <w:keepLines w:val="0"/>
        <w:pageBreakBefore w:val="0"/>
        <w:kinsoku/>
        <w:wordWrap w:val="0"/>
        <w:overflowPunct/>
        <w:bidi w:val="0"/>
        <w:snapToGrid w:val="0"/>
        <w:spacing w:line="360" w:lineRule="auto"/>
        <w:jc w:val="center"/>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 xml:space="preserve">           </w:t>
      </w:r>
    </w:p>
    <w:p w14:paraId="09BF2308">
      <w:pPr>
        <w:keepNext w:val="0"/>
        <w:keepLines w:val="0"/>
        <w:pageBreakBefore w:val="0"/>
        <w:kinsoku/>
        <w:wordWrap w:val="0"/>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highlight w:val="none"/>
        </w:rPr>
        <w:t xml:space="preserve">           供应商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（电子签章或盖章）</w:t>
      </w:r>
    </w:p>
    <w:p w14:paraId="599CC80D">
      <w:pPr>
        <w:pStyle w:val="49"/>
        <w:keepNext w:val="0"/>
        <w:keepLines w:val="0"/>
        <w:pageBreakBefore w:val="0"/>
        <w:kinsoku/>
        <w:overflowPunct/>
        <w:bidi w:val="0"/>
        <w:snapToGrid w:val="0"/>
        <w:spacing w:line="360" w:lineRule="auto"/>
        <w:ind w:firstLine="4200" w:firstLineChars="20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日  </w:t>
      </w:r>
    </w:p>
    <w:p w14:paraId="3CF12D8B">
      <w:pPr>
        <w:pStyle w:val="2"/>
        <w:keepNext w:val="0"/>
        <w:keepLines w:val="0"/>
        <w:pageBreakBefore w:val="0"/>
        <w:kinsoku/>
        <w:overflowPunct/>
        <w:bidi w:val="0"/>
        <w:snapToGrid w:val="0"/>
        <w:spacing w:line="360" w:lineRule="auto"/>
        <w:rPr>
          <w:rFonts w:hint="eastAsia" w:ascii="仿宋" w:hAnsi="仿宋" w:eastAsia="仿宋" w:cs="仿宋"/>
          <w:color w:val="auto"/>
          <w:highlight w:val="none"/>
        </w:rPr>
      </w:pPr>
    </w:p>
    <w:p w14:paraId="545A9C1E">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192DB303">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68989BA1">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00BC72FB">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7A0F1111">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723AFF78">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5061D541">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2F960566">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69DD9437">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01B66C5D">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5A433D45">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5763C851">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0B4D1137">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6A5DD92D">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4713F6DC">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12B072DD">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6B8EE0D4">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53369D03">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53FED37D">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3CBE2443">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260819A2">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219379D5">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77B0A2F8">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72B10B45">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2C7AAF2C">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173742E8">
      <w:pPr>
        <w:pStyle w:val="2"/>
        <w:keepNext w:val="0"/>
        <w:keepLines w:val="0"/>
        <w:pageBreakBefore w:val="0"/>
        <w:kinsoku/>
        <w:overflowPunct/>
        <w:bidi w:val="0"/>
        <w:snapToGrid w:val="0"/>
        <w:spacing w:before="1" w:line="360" w:lineRule="auto"/>
        <w:rPr>
          <w:rFonts w:hint="eastAsia" w:ascii="仿宋" w:hAnsi="仿宋" w:eastAsia="仿宋" w:cs="仿宋"/>
          <w:color w:val="auto"/>
          <w:sz w:val="13"/>
          <w:highlight w:val="none"/>
        </w:rPr>
      </w:pPr>
    </w:p>
    <w:p w14:paraId="1076ACCF">
      <w:pPr>
        <w:pStyle w:val="5"/>
        <w:keepNext w:val="0"/>
        <w:keepLines w:val="0"/>
        <w:pageBreakBefore w:val="0"/>
        <w:kinsoku/>
        <w:overflowPunct/>
        <w:bidi w:val="0"/>
        <w:snapToGrid w:val="0"/>
        <w:spacing w:line="360" w:lineRule="auto"/>
        <w:ind w:right="2595"/>
        <w:rPr>
          <w:rFonts w:hint="eastAsia" w:ascii="仿宋" w:hAnsi="仿宋" w:eastAsia="仿宋" w:cs="仿宋"/>
          <w:color w:val="auto"/>
          <w:highlight w:val="none"/>
        </w:rPr>
      </w:pPr>
      <w:bookmarkStart w:id="466" w:name="_Toc28098"/>
      <w:bookmarkStart w:id="467" w:name="_Toc10027"/>
      <w:bookmarkStart w:id="468" w:name="_Toc16002"/>
      <w:r>
        <w:rPr>
          <w:rFonts w:hint="eastAsia" w:ascii="仿宋" w:hAnsi="仿宋" w:eastAsia="仿宋" w:cs="仿宋"/>
          <w:color w:val="auto"/>
          <w:highlight w:val="none"/>
        </w:rPr>
        <w:t>四、授权委托书</w:t>
      </w:r>
      <w:bookmarkEnd w:id="466"/>
      <w:bookmarkEnd w:id="467"/>
      <w:bookmarkEnd w:id="468"/>
    </w:p>
    <w:p w14:paraId="699CD6F7">
      <w:pPr>
        <w:pStyle w:val="2"/>
        <w:keepNext w:val="0"/>
        <w:keepLines w:val="0"/>
        <w:pageBreakBefore w:val="0"/>
        <w:kinsoku/>
        <w:overflowPunct/>
        <w:bidi w:val="0"/>
        <w:snapToGrid w:val="0"/>
        <w:spacing w:line="360" w:lineRule="auto"/>
        <w:rPr>
          <w:rFonts w:hint="eastAsia" w:ascii="仿宋" w:hAnsi="仿宋" w:eastAsia="仿宋" w:cs="仿宋"/>
          <w:b/>
          <w:color w:val="auto"/>
          <w:sz w:val="20"/>
          <w:highlight w:val="none"/>
        </w:rPr>
      </w:pPr>
    </w:p>
    <w:p w14:paraId="2718B44A">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bookmarkStart w:id="469" w:name="五、联合体协议书（如有）"/>
      <w:bookmarkEnd w:id="469"/>
      <w:r>
        <w:rPr>
          <w:rFonts w:hint="eastAsia" w:ascii="仿宋" w:hAnsi="仿宋" w:eastAsia="仿宋" w:cs="仿宋"/>
          <w:color w:val="auto"/>
          <w:sz w:val="21"/>
          <w:szCs w:val="21"/>
          <w:highlight w:val="none"/>
        </w:rPr>
        <w:t>本人______（姓名）系_________________</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（供应商名称）的法定代表人，现委托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（姓名</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为我方代理人。委托代理人根据授权，以我方名义签署、澄清、补正、递交、撤回、修改_________________________（项目名称）投标文件、签订合同和处理有关事宜，其行为我方均予以认可，其法律后果由我方承担。</w:t>
      </w:r>
    </w:p>
    <w:p w14:paraId="2777BDFB">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委托期限：自本授权委托书签署之日起至招标文件约定的“投标有效期”结束为止。</w:t>
      </w:r>
    </w:p>
    <w:p w14:paraId="38D66696">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委托代理人无转委托权。</w:t>
      </w:r>
    </w:p>
    <w:p w14:paraId="691FFD5E">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rPr>
      </w:pPr>
    </w:p>
    <w:p w14:paraId="3B83701A">
      <w:pPr>
        <w:keepNext w:val="0"/>
        <w:keepLines w:val="0"/>
        <w:pageBreakBefore w:val="0"/>
        <w:kinsoku/>
        <w:overflowPunct/>
        <w:bidi w:val="0"/>
        <w:snapToGrid w:val="0"/>
        <w:spacing w:line="360" w:lineRule="auto"/>
        <w:ind w:firstLine="2100" w:firstLineChars="10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（电子签章或盖章）</w:t>
      </w:r>
    </w:p>
    <w:p w14:paraId="1DF42E0D">
      <w:pPr>
        <w:keepNext w:val="0"/>
        <w:keepLines w:val="0"/>
        <w:pageBreakBefore w:val="0"/>
        <w:kinsoku/>
        <w:overflowPunct/>
        <w:bidi w:val="0"/>
        <w:snapToGrid w:val="0"/>
        <w:spacing w:line="360" w:lineRule="auto"/>
        <w:ind w:firstLine="2100" w:firstLineChars="10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（电子签章</w:t>
      </w:r>
      <w:r>
        <w:rPr>
          <w:rFonts w:hint="eastAsia" w:ascii="仿宋" w:hAnsi="仿宋" w:eastAsia="仿宋" w:cs="仿宋"/>
          <w:color w:val="auto"/>
          <w:sz w:val="21"/>
          <w:szCs w:val="21"/>
          <w:highlight w:val="none"/>
          <w:lang w:val="en-US" w:eastAsia="zh-CN"/>
        </w:rPr>
        <w:t>或签字</w:t>
      </w:r>
      <w:r>
        <w:rPr>
          <w:rFonts w:hint="eastAsia" w:ascii="仿宋" w:hAnsi="仿宋" w:eastAsia="仿宋" w:cs="仿宋"/>
          <w:color w:val="auto"/>
          <w:sz w:val="21"/>
          <w:szCs w:val="21"/>
          <w:highlight w:val="none"/>
        </w:rPr>
        <w:t>）</w:t>
      </w:r>
    </w:p>
    <w:p w14:paraId="7263AC0D">
      <w:pPr>
        <w:keepNext w:val="0"/>
        <w:keepLines w:val="0"/>
        <w:pageBreakBefore w:val="0"/>
        <w:kinsoku/>
        <w:overflowPunct/>
        <w:bidi w:val="0"/>
        <w:snapToGrid w:val="0"/>
        <w:spacing w:line="360" w:lineRule="auto"/>
        <w:ind w:firstLine="2100" w:firstLineChars="10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身份证号码：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p>
    <w:p w14:paraId="075FE70C">
      <w:pPr>
        <w:keepNext w:val="0"/>
        <w:keepLines w:val="0"/>
        <w:pageBreakBefore w:val="0"/>
        <w:kinsoku/>
        <w:overflowPunct/>
        <w:bidi w:val="0"/>
        <w:snapToGrid w:val="0"/>
        <w:spacing w:line="360" w:lineRule="auto"/>
        <w:ind w:firstLine="2100" w:firstLineChars="10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 xml:space="preserve">（签字） </w:t>
      </w:r>
    </w:p>
    <w:p w14:paraId="3FE191D0">
      <w:pPr>
        <w:keepNext w:val="0"/>
        <w:keepLines w:val="0"/>
        <w:pageBreakBefore w:val="0"/>
        <w:kinsoku/>
        <w:overflowPunct/>
        <w:bidi w:val="0"/>
        <w:snapToGrid w:val="0"/>
        <w:spacing w:line="360" w:lineRule="auto"/>
        <w:ind w:firstLine="2100" w:firstLineChars="100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身份证号码：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p>
    <w:p w14:paraId="02A205BB">
      <w:pPr>
        <w:keepNext w:val="0"/>
        <w:keepLines w:val="0"/>
        <w:pageBreakBefore w:val="0"/>
        <w:kinsoku/>
        <w:overflowPunct/>
        <w:bidi w:val="0"/>
        <w:snapToGrid w:val="0"/>
        <w:spacing w:line="360" w:lineRule="auto"/>
        <w:ind w:firstLine="2940" w:firstLineChars="14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698F09D5">
      <w:pPr>
        <w:pStyle w:val="49"/>
        <w:keepNext w:val="0"/>
        <w:keepLines w:val="0"/>
        <w:pageBreakBefore w:val="0"/>
        <w:kinsoku/>
        <w:overflowPunct/>
        <w:bidi w:val="0"/>
        <w:snapToGrid w:val="0"/>
        <w:spacing w:line="360" w:lineRule="auto"/>
        <w:ind w:firstLine="0"/>
        <w:rPr>
          <w:rFonts w:hint="eastAsia" w:ascii="仿宋" w:hAnsi="仿宋" w:eastAsia="仿宋" w:cs="仿宋"/>
          <w:color w:val="auto"/>
          <w:sz w:val="21"/>
          <w:szCs w:val="21"/>
          <w:highlight w:val="none"/>
        </w:rPr>
      </w:pPr>
    </w:p>
    <w:p w14:paraId="7FFA4B82">
      <w:pPr>
        <w:pStyle w:val="49"/>
        <w:keepNext w:val="0"/>
        <w:keepLines w:val="0"/>
        <w:pageBreakBefore w:val="0"/>
        <w:kinsoku/>
        <w:overflowPunct/>
        <w:bidi w:val="0"/>
        <w:snapToGrid w:val="0"/>
        <w:spacing w:line="360" w:lineRule="auto"/>
        <w:ind w:firstLine="0"/>
        <w:rPr>
          <w:rFonts w:hint="eastAsia" w:ascii="仿宋" w:hAnsi="仿宋" w:eastAsia="仿宋" w:cs="仿宋"/>
          <w:color w:val="auto"/>
          <w:sz w:val="21"/>
          <w:szCs w:val="21"/>
          <w:highlight w:val="none"/>
        </w:rPr>
      </w:pPr>
    </w:p>
    <w:p w14:paraId="470E5F2A">
      <w:pPr>
        <w:keepNext w:val="0"/>
        <w:keepLines w:val="0"/>
        <w:pageBreakBefore w:val="0"/>
        <w:widowControl/>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 xml:space="preserve">附：法定代表人身份证扫描件 </w:t>
      </w:r>
    </w:p>
    <w:p w14:paraId="7A8F6916">
      <w:pPr>
        <w:keepNext w:val="0"/>
        <w:keepLines w:val="0"/>
        <w:pageBreakBefore w:val="0"/>
        <w:widowControl/>
        <w:kinsoku/>
        <w:overflowPunct/>
        <w:bidi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（正、反两面）</w:t>
      </w:r>
    </w:p>
    <w:p w14:paraId="7A13B86B">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bidi="ar"/>
        </w:rPr>
      </w:pPr>
    </w:p>
    <w:p w14:paraId="0EF19C19">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bidi="ar"/>
        </w:rPr>
      </w:pPr>
    </w:p>
    <w:p w14:paraId="6AFD6D09">
      <w:pPr>
        <w:keepNext w:val="0"/>
        <w:keepLines w:val="0"/>
        <w:pageBreakBefore w:val="0"/>
        <w:kinsoku/>
        <w:overflowPunct/>
        <w:bidi w:val="0"/>
        <w:snapToGrid w:val="0"/>
        <w:spacing w:line="360" w:lineRule="auto"/>
        <w:ind w:firstLine="420" w:firstLineChars="200"/>
        <w:rPr>
          <w:rFonts w:hint="eastAsia" w:ascii="仿宋" w:hAnsi="仿宋" w:eastAsia="仿宋" w:cs="仿宋"/>
          <w:color w:val="auto"/>
          <w:sz w:val="21"/>
          <w:szCs w:val="21"/>
          <w:highlight w:val="none"/>
          <w:lang w:bidi="ar"/>
        </w:rPr>
      </w:pPr>
    </w:p>
    <w:p w14:paraId="00E89899">
      <w:pPr>
        <w:keepNext w:val="0"/>
        <w:keepLines w:val="0"/>
        <w:pageBreakBefore w:val="0"/>
        <w:widowControl/>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 xml:space="preserve">委托代理人身份证扫描件 </w:t>
      </w:r>
    </w:p>
    <w:p w14:paraId="257354EB">
      <w:pPr>
        <w:keepNext w:val="0"/>
        <w:keepLines w:val="0"/>
        <w:pageBreakBefore w:val="0"/>
        <w:widowControl/>
        <w:kinsoku/>
        <w:overflowPunct/>
        <w:bidi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 xml:space="preserve">（正、反两面） </w:t>
      </w:r>
    </w:p>
    <w:p w14:paraId="17A94AD1">
      <w:pPr>
        <w:pStyle w:val="49"/>
        <w:keepNext w:val="0"/>
        <w:keepLines w:val="0"/>
        <w:pageBreakBefore w:val="0"/>
        <w:kinsoku/>
        <w:overflowPunct/>
        <w:bidi w:val="0"/>
        <w:snapToGrid w:val="0"/>
        <w:spacing w:line="360" w:lineRule="auto"/>
        <w:ind w:firstLine="0"/>
        <w:rPr>
          <w:rFonts w:hint="eastAsia" w:ascii="仿宋" w:hAnsi="仿宋" w:eastAsia="仿宋" w:cs="仿宋"/>
          <w:color w:val="auto"/>
          <w:sz w:val="21"/>
          <w:szCs w:val="21"/>
          <w:highlight w:val="none"/>
        </w:rPr>
        <w:sectPr>
          <w:pgSz w:w="11907" w:h="16840"/>
          <w:pgMar w:top="1501" w:right="1418" w:bottom="1418" w:left="1531" w:header="794" w:footer="851" w:gutter="0"/>
          <w:pgNumType w:fmt="decimal"/>
          <w:cols w:space="720" w:num="1"/>
          <w:titlePg/>
          <w:docGrid w:linePitch="306" w:charSpace="-2"/>
        </w:sectPr>
      </w:pPr>
    </w:p>
    <w:p w14:paraId="39D6D6BB">
      <w:pPr>
        <w:keepNext w:val="0"/>
        <w:keepLines w:val="0"/>
        <w:pageBreakBefore w:val="0"/>
        <w:kinsoku/>
        <w:overflowPunct/>
        <w:bidi w:val="0"/>
        <w:snapToGrid w:val="0"/>
        <w:spacing w:before="61" w:line="360" w:lineRule="auto"/>
        <w:ind w:right="578"/>
        <w:jc w:val="center"/>
        <w:outlineLvl w:val="1"/>
        <w:rPr>
          <w:rFonts w:hint="eastAsia" w:ascii="仿宋" w:hAnsi="仿宋" w:eastAsia="仿宋" w:cs="仿宋"/>
          <w:b/>
          <w:color w:val="auto"/>
          <w:sz w:val="28"/>
          <w:highlight w:val="none"/>
          <w:lang w:val="en-US"/>
        </w:rPr>
      </w:pPr>
      <w:bookmarkStart w:id="470" w:name="_Toc23404"/>
      <w:bookmarkStart w:id="471" w:name="_Toc20727"/>
      <w:r>
        <w:rPr>
          <w:rFonts w:hint="eastAsia" w:ascii="仿宋" w:hAnsi="仿宋" w:eastAsia="仿宋" w:cs="仿宋"/>
          <w:b/>
          <w:color w:val="auto"/>
          <w:sz w:val="28"/>
          <w:highlight w:val="none"/>
          <w:lang w:val="en-US" w:eastAsia="zh-CN"/>
        </w:rPr>
        <w:t>五</w:t>
      </w:r>
      <w:r>
        <w:rPr>
          <w:rFonts w:hint="eastAsia" w:ascii="仿宋" w:hAnsi="仿宋" w:eastAsia="仿宋" w:cs="仿宋"/>
          <w:b/>
          <w:color w:val="auto"/>
          <w:sz w:val="28"/>
          <w:highlight w:val="none"/>
          <w:lang w:val="en-US"/>
        </w:rPr>
        <w:t>、资格审查资料</w:t>
      </w:r>
      <w:bookmarkEnd w:id="470"/>
      <w:bookmarkEnd w:id="471"/>
    </w:p>
    <w:p w14:paraId="7DA2B24B">
      <w:pPr>
        <w:keepNext w:val="0"/>
        <w:keepLines w:val="0"/>
        <w:pageBreakBefore w:val="0"/>
        <w:kinsoku/>
        <w:overflowPunct/>
        <w:bidi w:val="0"/>
        <w:snapToGrid w:val="0"/>
        <w:spacing w:before="61" w:line="360" w:lineRule="auto"/>
        <w:ind w:right="578"/>
        <w:jc w:val="center"/>
        <w:outlineLvl w:val="1"/>
        <w:rPr>
          <w:rFonts w:hint="eastAsia" w:ascii="仿宋" w:hAnsi="仿宋" w:eastAsia="仿宋" w:cs="仿宋"/>
          <w:b/>
          <w:color w:val="auto"/>
          <w:sz w:val="24"/>
          <w:szCs w:val="24"/>
          <w:highlight w:val="none"/>
        </w:rPr>
      </w:pPr>
      <w:bookmarkStart w:id="472" w:name="（一）投标人基本情况表"/>
      <w:bookmarkEnd w:id="472"/>
      <w:bookmarkStart w:id="473" w:name="_Toc17490"/>
      <w:bookmarkStart w:id="474" w:name="_Toc14202"/>
      <w:bookmarkStart w:id="475" w:name="_Toc29127"/>
      <w:r>
        <w:rPr>
          <w:rFonts w:hint="eastAsia" w:ascii="仿宋" w:hAnsi="仿宋" w:eastAsia="仿宋" w:cs="仿宋"/>
          <w:b/>
          <w:color w:val="auto"/>
          <w:sz w:val="24"/>
          <w:szCs w:val="24"/>
          <w:highlight w:val="none"/>
        </w:rPr>
        <w:t>（一）供应商基本情况表</w:t>
      </w:r>
      <w:bookmarkEnd w:id="473"/>
      <w:bookmarkEnd w:id="474"/>
      <w:bookmarkEnd w:id="475"/>
    </w:p>
    <w:p w14:paraId="43DF38CB">
      <w:pPr>
        <w:pStyle w:val="2"/>
        <w:keepNext w:val="0"/>
        <w:keepLines w:val="0"/>
        <w:pageBreakBefore w:val="0"/>
        <w:kinsoku/>
        <w:overflowPunct/>
        <w:bidi w:val="0"/>
        <w:snapToGrid w:val="0"/>
        <w:spacing w:before="8" w:line="360" w:lineRule="auto"/>
        <w:rPr>
          <w:rFonts w:hint="eastAsia" w:ascii="仿宋" w:hAnsi="仿宋" w:eastAsia="仿宋" w:cs="仿宋"/>
          <w:b/>
          <w:color w:val="auto"/>
          <w:sz w:val="10"/>
          <w:highlight w:val="none"/>
        </w:rPr>
      </w:pPr>
    </w:p>
    <w:tbl>
      <w:tblPr>
        <w:tblStyle w:val="24"/>
        <w:tblW w:w="0" w:type="auto"/>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898"/>
        <w:gridCol w:w="951"/>
        <w:gridCol w:w="840"/>
        <w:gridCol w:w="420"/>
        <w:gridCol w:w="311"/>
        <w:gridCol w:w="1078"/>
        <w:gridCol w:w="490"/>
        <w:gridCol w:w="860"/>
        <w:gridCol w:w="992"/>
      </w:tblGrid>
      <w:tr w14:paraId="668FA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28" w:type="dxa"/>
            <w:vAlign w:val="center"/>
          </w:tcPr>
          <w:p w14:paraId="3E7F9491">
            <w:pPr>
              <w:pStyle w:val="43"/>
              <w:keepNext w:val="0"/>
              <w:keepLines w:val="0"/>
              <w:pageBreakBefore w:val="0"/>
              <w:kinsoku/>
              <w:overflowPunct/>
              <w:bidi w:val="0"/>
              <w:snapToGrid w:val="0"/>
              <w:spacing w:before="1"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p>
        </w:tc>
        <w:tc>
          <w:tcPr>
            <w:tcW w:w="6840" w:type="dxa"/>
            <w:gridSpan w:val="9"/>
          </w:tcPr>
          <w:p w14:paraId="3B3B3711">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r w14:paraId="43B35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728" w:type="dxa"/>
            <w:vAlign w:val="center"/>
          </w:tcPr>
          <w:p w14:paraId="4ACC7957">
            <w:pPr>
              <w:pStyle w:val="43"/>
              <w:keepNext w:val="0"/>
              <w:keepLines w:val="0"/>
              <w:pageBreakBefore w:val="0"/>
              <w:kinsoku/>
              <w:overflowPunct/>
              <w:bidi w:val="0"/>
              <w:snapToGrid w:val="0"/>
              <w:spacing w:before="1"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注册地址</w:t>
            </w:r>
          </w:p>
        </w:tc>
        <w:tc>
          <w:tcPr>
            <w:tcW w:w="3420" w:type="dxa"/>
            <w:gridSpan w:val="5"/>
          </w:tcPr>
          <w:p w14:paraId="22516652">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1078" w:type="dxa"/>
            <w:vAlign w:val="center"/>
          </w:tcPr>
          <w:p w14:paraId="66854F55">
            <w:pPr>
              <w:pStyle w:val="43"/>
              <w:keepNext w:val="0"/>
              <w:keepLines w:val="0"/>
              <w:pageBreakBefore w:val="0"/>
              <w:kinsoku/>
              <w:overflowPunct/>
              <w:bidi w:val="0"/>
              <w:snapToGrid w:val="0"/>
              <w:spacing w:before="1" w:line="360" w:lineRule="auto"/>
              <w:ind w:right="89"/>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2342" w:type="dxa"/>
            <w:gridSpan w:val="3"/>
          </w:tcPr>
          <w:p w14:paraId="0D412B69">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r w14:paraId="27856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28" w:type="dxa"/>
            <w:vMerge w:val="restart"/>
            <w:vAlign w:val="center"/>
          </w:tcPr>
          <w:p w14:paraId="6C4E078C">
            <w:pPr>
              <w:pStyle w:val="43"/>
              <w:keepNext w:val="0"/>
              <w:keepLines w:val="0"/>
              <w:pageBreakBefore w:val="0"/>
              <w:kinsoku/>
              <w:overflowPunct/>
              <w:bidi w:val="0"/>
              <w:snapToGrid w:val="0"/>
              <w:spacing w:before="1"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w:t>
            </w:r>
          </w:p>
        </w:tc>
        <w:tc>
          <w:tcPr>
            <w:tcW w:w="898" w:type="dxa"/>
            <w:vAlign w:val="center"/>
          </w:tcPr>
          <w:p w14:paraId="171B23CB">
            <w:pPr>
              <w:pStyle w:val="43"/>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2522" w:type="dxa"/>
            <w:gridSpan w:val="4"/>
            <w:vAlign w:val="center"/>
          </w:tcPr>
          <w:p w14:paraId="5860FA62">
            <w:pPr>
              <w:pStyle w:val="43"/>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78" w:type="dxa"/>
            <w:vAlign w:val="center"/>
          </w:tcPr>
          <w:p w14:paraId="57D3F6EC">
            <w:pPr>
              <w:pStyle w:val="43"/>
              <w:keepNext w:val="0"/>
              <w:keepLines w:val="0"/>
              <w:pageBreakBefore w:val="0"/>
              <w:kinsoku/>
              <w:overflowPunct/>
              <w:bidi w:val="0"/>
              <w:snapToGrid w:val="0"/>
              <w:spacing w:line="360" w:lineRule="auto"/>
              <w:ind w:right="89"/>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 话</w:t>
            </w:r>
          </w:p>
        </w:tc>
        <w:tc>
          <w:tcPr>
            <w:tcW w:w="2342" w:type="dxa"/>
            <w:gridSpan w:val="3"/>
          </w:tcPr>
          <w:p w14:paraId="3775EE3F">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r w14:paraId="11656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728" w:type="dxa"/>
            <w:vMerge w:val="continue"/>
            <w:tcBorders>
              <w:top w:val="nil"/>
            </w:tcBorders>
            <w:vAlign w:val="center"/>
          </w:tcPr>
          <w:p w14:paraId="17C4F716">
            <w:pPr>
              <w:pStyle w:val="43"/>
              <w:keepNext w:val="0"/>
              <w:keepLines w:val="0"/>
              <w:pageBreakBefore w:val="0"/>
              <w:kinsoku/>
              <w:overflowPunct/>
              <w:bidi w:val="0"/>
              <w:snapToGrid w:val="0"/>
              <w:spacing w:before="1" w:line="360" w:lineRule="auto"/>
              <w:ind w:left="443"/>
              <w:jc w:val="center"/>
              <w:rPr>
                <w:rFonts w:hint="eastAsia" w:ascii="仿宋" w:hAnsi="仿宋" w:eastAsia="仿宋" w:cs="仿宋"/>
                <w:color w:val="auto"/>
                <w:sz w:val="21"/>
                <w:szCs w:val="21"/>
                <w:highlight w:val="none"/>
              </w:rPr>
            </w:pPr>
          </w:p>
        </w:tc>
        <w:tc>
          <w:tcPr>
            <w:tcW w:w="898" w:type="dxa"/>
            <w:vAlign w:val="center"/>
          </w:tcPr>
          <w:p w14:paraId="1563EF3F">
            <w:pPr>
              <w:pStyle w:val="43"/>
              <w:keepNext w:val="0"/>
              <w:keepLines w:val="0"/>
              <w:pageBreakBefore w:val="0"/>
              <w:tabs>
                <w:tab w:val="left" w:pos="429"/>
              </w:tabs>
              <w:kinsoku/>
              <w:overflowPunct/>
              <w:bidi w:val="0"/>
              <w:snapToGrid w:val="0"/>
              <w:spacing w:before="1"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真</w:t>
            </w:r>
          </w:p>
        </w:tc>
        <w:tc>
          <w:tcPr>
            <w:tcW w:w="2522" w:type="dxa"/>
            <w:gridSpan w:val="4"/>
            <w:vAlign w:val="center"/>
          </w:tcPr>
          <w:p w14:paraId="7EF4C8B1">
            <w:pPr>
              <w:pStyle w:val="43"/>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78" w:type="dxa"/>
            <w:vAlign w:val="center"/>
          </w:tcPr>
          <w:p w14:paraId="02A1B921">
            <w:pPr>
              <w:pStyle w:val="43"/>
              <w:keepNext w:val="0"/>
              <w:keepLines w:val="0"/>
              <w:pageBreakBefore w:val="0"/>
              <w:kinsoku/>
              <w:overflowPunct/>
              <w:bidi w:val="0"/>
              <w:snapToGrid w:val="0"/>
              <w:spacing w:before="1" w:line="360" w:lineRule="auto"/>
              <w:ind w:right="89"/>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 址</w:t>
            </w:r>
          </w:p>
        </w:tc>
        <w:tc>
          <w:tcPr>
            <w:tcW w:w="2342" w:type="dxa"/>
            <w:gridSpan w:val="3"/>
          </w:tcPr>
          <w:p w14:paraId="5DA8626B">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r w14:paraId="32871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28" w:type="dxa"/>
            <w:vAlign w:val="center"/>
          </w:tcPr>
          <w:p w14:paraId="7C1A372B">
            <w:pPr>
              <w:pStyle w:val="43"/>
              <w:keepNext w:val="0"/>
              <w:keepLines w:val="0"/>
              <w:pageBreakBefore w:val="0"/>
              <w:kinsoku/>
              <w:overflowPunct/>
              <w:bidi w:val="0"/>
              <w:snapToGrid w:val="0"/>
              <w:spacing w:before="1"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企业类型</w:t>
            </w:r>
          </w:p>
        </w:tc>
        <w:tc>
          <w:tcPr>
            <w:tcW w:w="6840" w:type="dxa"/>
            <w:gridSpan w:val="9"/>
          </w:tcPr>
          <w:p w14:paraId="51C20418">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r w14:paraId="6D671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728" w:type="dxa"/>
            <w:vAlign w:val="center"/>
          </w:tcPr>
          <w:p w14:paraId="769CBF79">
            <w:pPr>
              <w:pStyle w:val="43"/>
              <w:keepNext w:val="0"/>
              <w:keepLines w:val="0"/>
              <w:pageBreakBefore w:val="0"/>
              <w:kinsoku/>
              <w:overflowPunct/>
              <w:bidi w:val="0"/>
              <w:snapToGrid w:val="0"/>
              <w:spacing w:before="1"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c>
          <w:tcPr>
            <w:tcW w:w="898" w:type="dxa"/>
            <w:vAlign w:val="center"/>
          </w:tcPr>
          <w:p w14:paraId="75B38530">
            <w:pPr>
              <w:pStyle w:val="43"/>
              <w:keepNext w:val="0"/>
              <w:keepLines w:val="0"/>
              <w:pageBreakBefore w:val="0"/>
              <w:kinsoku/>
              <w:overflowPunct/>
              <w:bidi w:val="0"/>
              <w:snapToGrid w:val="0"/>
              <w:spacing w:line="360" w:lineRule="auto"/>
              <w:ind w:left="9"/>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951" w:type="dxa"/>
            <w:vAlign w:val="center"/>
          </w:tcPr>
          <w:p w14:paraId="1CE3FE35">
            <w:pPr>
              <w:pStyle w:val="43"/>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60" w:type="dxa"/>
            <w:gridSpan w:val="2"/>
            <w:vAlign w:val="center"/>
          </w:tcPr>
          <w:p w14:paraId="715A355D">
            <w:pPr>
              <w:pStyle w:val="43"/>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879" w:type="dxa"/>
            <w:gridSpan w:val="3"/>
            <w:vAlign w:val="center"/>
          </w:tcPr>
          <w:p w14:paraId="54FE419D">
            <w:pPr>
              <w:pStyle w:val="43"/>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860" w:type="dxa"/>
            <w:vAlign w:val="center"/>
          </w:tcPr>
          <w:p w14:paraId="177A947E">
            <w:pPr>
              <w:pStyle w:val="43"/>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992" w:type="dxa"/>
          </w:tcPr>
          <w:p w14:paraId="41051B39">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r w14:paraId="34C28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28" w:type="dxa"/>
            <w:vAlign w:val="center"/>
          </w:tcPr>
          <w:p w14:paraId="534BB983">
            <w:pPr>
              <w:pStyle w:val="43"/>
              <w:keepNext w:val="0"/>
              <w:keepLines w:val="0"/>
              <w:pageBreakBefore w:val="0"/>
              <w:kinsoku/>
              <w:overflowPunct/>
              <w:bidi w:val="0"/>
              <w:snapToGrid w:val="0"/>
              <w:spacing w:before="1"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成立时间</w:t>
            </w:r>
          </w:p>
        </w:tc>
        <w:tc>
          <w:tcPr>
            <w:tcW w:w="1849" w:type="dxa"/>
            <w:gridSpan w:val="2"/>
          </w:tcPr>
          <w:p w14:paraId="3C81FCDB">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4991" w:type="dxa"/>
            <w:gridSpan w:val="7"/>
            <w:vAlign w:val="center"/>
          </w:tcPr>
          <w:p w14:paraId="05B26AD5">
            <w:pPr>
              <w:pStyle w:val="43"/>
              <w:keepNext w:val="0"/>
              <w:keepLines w:val="0"/>
              <w:pageBreakBefore w:val="0"/>
              <w:kinsoku/>
              <w:overflowPunct/>
              <w:bidi w:val="0"/>
              <w:snapToGrid w:val="0"/>
              <w:spacing w:line="360" w:lineRule="auto"/>
              <w:ind w:left="1897" w:right="1783"/>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员工总人数：</w:t>
            </w:r>
          </w:p>
        </w:tc>
      </w:tr>
      <w:tr w14:paraId="0B6EA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728" w:type="dxa"/>
            <w:vAlign w:val="center"/>
          </w:tcPr>
          <w:p w14:paraId="51FE4C4A">
            <w:pPr>
              <w:pStyle w:val="43"/>
              <w:keepNext w:val="0"/>
              <w:keepLines w:val="0"/>
              <w:pageBreakBefore w:val="0"/>
              <w:kinsoku/>
              <w:overflowPunct/>
              <w:bidi w:val="0"/>
              <w:snapToGrid w:val="0"/>
              <w:spacing w:before="1"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营业执照号</w:t>
            </w:r>
          </w:p>
        </w:tc>
        <w:tc>
          <w:tcPr>
            <w:tcW w:w="1849" w:type="dxa"/>
            <w:gridSpan w:val="2"/>
          </w:tcPr>
          <w:p w14:paraId="708E328D">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840" w:type="dxa"/>
            <w:vMerge w:val="restart"/>
          </w:tcPr>
          <w:p w14:paraId="459656C3">
            <w:pPr>
              <w:pStyle w:val="43"/>
              <w:keepNext w:val="0"/>
              <w:keepLines w:val="0"/>
              <w:pageBreakBefore w:val="0"/>
              <w:kinsoku/>
              <w:overflowPunct/>
              <w:bidi w:val="0"/>
              <w:snapToGrid w:val="0"/>
              <w:spacing w:line="360" w:lineRule="auto"/>
              <w:rPr>
                <w:rFonts w:hint="eastAsia" w:ascii="仿宋" w:hAnsi="仿宋" w:eastAsia="仿宋" w:cs="仿宋"/>
                <w:b/>
                <w:color w:val="auto"/>
                <w:sz w:val="21"/>
                <w:szCs w:val="21"/>
                <w:highlight w:val="none"/>
              </w:rPr>
            </w:pPr>
          </w:p>
          <w:p w14:paraId="0D170D23">
            <w:pPr>
              <w:pStyle w:val="43"/>
              <w:keepNext w:val="0"/>
              <w:keepLines w:val="0"/>
              <w:pageBreakBefore w:val="0"/>
              <w:kinsoku/>
              <w:overflowPunct/>
              <w:bidi w:val="0"/>
              <w:snapToGrid w:val="0"/>
              <w:spacing w:line="360" w:lineRule="auto"/>
              <w:rPr>
                <w:rFonts w:hint="eastAsia" w:ascii="仿宋" w:hAnsi="仿宋" w:eastAsia="仿宋" w:cs="仿宋"/>
                <w:b/>
                <w:color w:val="auto"/>
                <w:sz w:val="21"/>
                <w:szCs w:val="21"/>
                <w:highlight w:val="none"/>
              </w:rPr>
            </w:pPr>
          </w:p>
          <w:p w14:paraId="2CFF8866">
            <w:pPr>
              <w:pStyle w:val="43"/>
              <w:keepNext w:val="0"/>
              <w:keepLines w:val="0"/>
              <w:pageBreakBefore w:val="0"/>
              <w:kinsoku/>
              <w:overflowPunct/>
              <w:bidi w:val="0"/>
              <w:snapToGrid w:val="0"/>
              <w:spacing w:line="360" w:lineRule="auto"/>
              <w:rPr>
                <w:rFonts w:hint="eastAsia" w:ascii="仿宋" w:hAnsi="仿宋" w:eastAsia="仿宋" w:cs="仿宋"/>
                <w:b/>
                <w:color w:val="auto"/>
                <w:sz w:val="21"/>
                <w:szCs w:val="21"/>
                <w:highlight w:val="none"/>
              </w:rPr>
            </w:pPr>
          </w:p>
          <w:p w14:paraId="1AA4EA5C">
            <w:pPr>
              <w:pStyle w:val="43"/>
              <w:keepNext w:val="0"/>
              <w:keepLines w:val="0"/>
              <w:pageBreakBefore w:val="0"/>
              <w:kinsoku/>
              <w:overflowPunct/>
              <w:bidi w:val="0"/>
              <w:snapToGrid w:val="0"/>
              <w:spacing w:line="360" w:lineRule="auto"/>
              <w:rPr>
                <w:rFonts w:hint="eastAsia" w:ascii="仿宋" w:hAnsi="仿宋" w:eastAsia="仿宋" w:cs="仿宋"/>
                <w:b/>
                <w:color w:val="auto"/>
                <w:sz w:val="21"/>
                <w:szCs w:val="21"/>
                <w:highlight w:val="none"/>
              </w:rPr>
            </w:pPr>
          </w:p>
          <w:p w14:paraId="605AE013">
            <w:pPr>
              <w:pStyle w:val="43"/>
              <w:keepNext w:val="0"/>
              <w:keepLines w:val="0"/>
              <w:pageBreakBefore w:val="0"/>
              <w:kinsoku/>
              <w:overflowPunct/>
              <w:bidi w:val="0"/>
              <w:snapToGrid w:val="0"/>
              <w:spacing w:before="135" w:line="360" w:lineRule="auto"/>
              <w:ind w:left="20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其中</w:t>
            </w:r>
          </w:p>
        </w:tc>
        <w:tc>
          <w:tcPr>
            <w:tcW w:w="2299" w:type="dxa"/>
            <w:gridSpan w:val="4"/>
            <w:vAlign w:val="center"/>
          </w:tcPr>
          <w:p w14:paraId="36AB74B5">
            <w:pPr>
              <w:pStyle w:val="43"/>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高级职称人员</w:t>
            </w:r>
          </w:p>
        </w:tc>
        <w:tc>
          <w:tcPr>
            <w:tcW w:w="1852" w:type="dxa"/>
            <w:gridSpan w:val="2"/>
          </w:tcPr>
          <w:p w14:paraId="1CFF3539">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r w14:paraId="0A049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728" w:type="dxa"/>
            <w:vAlign w:val="center"/>
          </w:tcPr>
          <w:p w14:paraId="37C5271D">
            <w:pPr>
              <w:pStyle w:val="43"/>
              <w:keepNext w:val="0"/>
              <w:keepLines w:val="0"/>
              <w:pageBreakBefore w:val="0"/>
              <w:kinsoku/>
              <w:overflowPunct/>
              <w:bidi w:val="0"/>
              <w:snapToGrid w:val="0"/>
              <w:spacing w:before="1"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注册资金</w:t>
            </w:r>
          </w:p>
        </w:tc>
        <w:tc>
          <w:tcPr>
            <w:tcW w:w="1849" w:type="dxa"/>
            <w:gridSpan w:val="2"/>
          </w:tcPr>
          <w:p w14:paraId="57C345F0">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840" w:type="dxa"/>
            <w:vMerge w:val="continue"/>
            <w:tcBorders>
              <w:top w:val="nil"/>
            </w:tcBorders>
          </w:tcPr>
          <w:p w14:paraId="455FB4C5">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2299" w:type="dxa"/>
            <w:gridSpan w:val="4"/>
            <w:vAlign w:val="center"/>
          </w:tcPr>
          <w:p w14:paraId="0075C8EB">
            <w:pPr>
              <w:pStyle w:val="43"/>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中级职称人员</w:t>
            </w:r>
          </w:p>
        </w:tc>
        <w:tc>
          <w:tcPr>
            <w:tcW w:w="1852" w:type="dxa"/>
            <w:gridSpan w:val="2"/>
          </w:tcPr>
          <w:p w14:paraId="15452327">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r w14:paraId="7DFD4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28" w:type="dxa"/>
            <w:vAlign w:val="center"/>
          </w:tcPr>
          <w:p w14:paraId="7A0DD5CF">
            <w:pPr>
              <w:pStyle w:val="43"/>
              <w:keepNext w:val="0"/>
              <w:keepLines w:val="0"/>
              <w:pageBreakBefore w:val="0"/>
              <w:kinsoku/>
              <w:overflowPunct/>
              <w:bidi w:val="0"/>
              <w:snapToGrid w:val="0"/>
              <w:spacing w:before="1"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tc>
        <w:tc>
          <w:tcPr>
            <w:tcW w:w="1849" w:type="dxa"/>
            <w:gridSpan w:val="2"/>
          </w:tcPr>
          <w:p w14:paraId="4323D08C">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840" w:type="dxa"/>
            <w:vMerge w:val="continue"/>
            <w:tcBorders>
              <w:top w:val="nil"/>
            </w:tcBorders>
          </w:tcPr>
          <w:p w14:paraId="3170A63F">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2299" w:type="dxa"/>
            <w:gridSpan w:val="4"/>
            <w:vAlign w:val="center"/>
          </w:tcPr>
          <w:p w14:paraId="3EE4851E">
            <w:pPr>
              <w:pStyle w:val="43"/>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初级职称人员</w:t>
            </w:r>
          </w:p>
        </w:tc>
        <w:tc>
          <w:tcPr>
            <w:tcW w:w="1852" w:type="dxa"/>
            <w:gridSpan w:val="2"/>
          </w:tcPr>
          <w:p w14:paraId="7647D9B6">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r w14:paraId="1A8AD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728" w:type="dxa"/>
            <w:vAlign w:val="center"/>
          </w:tcPr>
          <w:p w14:paraId="128CAFAD">
            <w:pPr>
              <w:pStyle w:val="43"/>
              <w:keepNext w:val="0"/>
              <w:keepLines w:val="0"/>
              <w:pageBreakBefore w:val="0"/>
              <w:kinsoku/>
              <w:overflowPunct/>
              <w:bidi w:val="0"/>
              <w:snapToGrid w:val="0"/>
              <w:spacing w:before="1"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p>
        </w:tc>
        <w:tc>
          <w:tcPr>
            <w:tcW w:w="1849" w:type="dxa"/>
            <w:gridSpan w:val="2"/>
          </w:tcPr>
          <w:p w14:paraId="5B708582">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840" w:type="dxa"/>
            <w:vMerge w:val="continue"/>
            <w:tcBorders>
              <w:top w:val="nil"/>
            </w:tcBorders>
          </w:tcPr>
          <w:p w14:paraId="142B76B6">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2299" w:type="dxa"/>
            <w:gridSpan w:val="4"/>
            <w:vAlign w:val="center"/>
          </w:tcPr>
          <w:p w14:paraId="38BFDAB0">
            <w:pPr>
              <w:pStyle w:val="43"/>
              <w:keepNext w:val="0"/>
              <w:keepLines w:val="0"/>
              <w:pageBreakBefore w:val="0"/>
              <w:tabs>
                <w:tab w:val="left" w:pos="427"/>
              </w:tabs>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工</w:t>
            </w:r>
          </w:p>
        </w:tc>
        <w:tc>
          <w:tcPr>
            <w:tcW w:w="1852" w:type="dxa"/>
            <w:gridSpan w:val="2"/>
          </w:tcPr>
          <w:p w14:paraId="32EFB880">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r w14:paraId="40FFC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0" w:hRule="atLeast"/>
        </w:trPr>
        <w:tc>
          <w:tcPr>
            <w:tcW w:w="1728" w:type="dxa"/>
            <w:vAlign w:val="center"/>
          </w:tcPr>
          <w:p w14:paraId="64822892">
            <w:pPr>
              <w:pStyle w:val="43"/>
              <w:keepNext w:val="0"/>
              <w:keepLines w:val="0"/>
              <w:pageBreakBefore w:val="0"/>
              <w:kinsoku/>
              <w:overflowPunct/>
              <w:bidi w:val="0"/>
              <w:snapToGrid w:val="0"/>
              <w:spacing w:before="1"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经营范围</w:t>
            </w:r>
          </w:p>
        </w:tc>
        <w:tc>
          <w:tcPr>
            <w:tcW w:w="6840" w:type="dxa"/>
            <w:gridSpan w:val="9"/>
          </w:tcPr>
          <w:p w14:paraId="55CC7CDB">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r w14:paraId="76283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728" w:type="dxa"/>
          </w:tcPr>
          <w:p w14:paraId="0A30C998">
            <w:pPr>
              <w:pStyle w:val="43"/>
              <w:keepNext w:val="0"/>
              <w:keepLines w:val="0"/>
              <w:pageBreakBefore w:val="0"/>
              <w:kinsoku/>
              <w:overflowPunct/>
              <w:bidi w:val="0"/>
              <w:snapToGrid w:val="0"/>
              <w:spacing w:before="171" w:line="360" w:lineRule="auto"/>
              <w:ind w:left="10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6840" w:type="dxa"/>
            <w:gridSpan w:val="9"/>
          </w:tcPr>
          <w:p w14:paraId="1128F73C">
            <w:pPr>
              <w:pStyle w:val="43"/>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bl>
    <w:p w14:paraId="7652127A">
      <w:pPr>
        <w:pStyle w:val="43"/>
        <w:keepNext w:val="0"/>
        <w:keepLines w:val="0"/>
        <w:pageBreakBefore w:val="0"/>
        <w:kinsoku/>
        <w:overflowPunct/>
        <w:bidi w:val="0"/>
        <w:snapToGrid w:val="0"/>
        <w:spacing w:before="1" w:line="360" w:lineRule="auto"/>
        <w:ind w:firstLine="420" w:firstLineChars="200"/>
        <w:rPr>
          <w:rFonts w:hint="eastAsia" w:ascii="仿宋" w:hAnsi="仿宋" w:eastAsia="仿宋" w:cs="仿宋"/>
          <w:color w:val="auto"/>
          <w:sz w:val="21"/>
          <w:szCs w:val="21"/>
          <w:highlight w:val="none"/>
        </w:rPr>
      </w:pPr>
    </w:p>
    <w:p w14:paraId="44A6A0EA">
      <w:pPr>
        <w:pStyle w:val="43"/>
        <w:keepNext w:val="0"/>
        <w:keepLines w:val="0"/>
        <w:pageBreakBefore w:val="0"/>
        <w:kinsoku/>
        <w:overflowPunct/>
        <w:bidi w:val="0"/>
        <w:snapToGrid w:val="0"/>
        <w:spacing w:before="1"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r>
        <w:rPr>
          <w:rFonts w:hint="eastAsia" w:ascii="仿宋" w:hAnsi="仿宋" w:eastAsia="仿宋" w:cs="仿宋"/>
          <w:color w:val="auto"/>
          <w:sz w:val="21"/>
          <w:szCs w:val="21"/>
          <w:highlight w:val="none"/>
          <w:lang w:val="en-US"/>
        </w:rPr>
        <w:t>1.</w:t>
      </w:r>
      <w:r>
        <w:rPr>
          <w:rFonts w:hint="eastAsia" w:ascii="仿宋" w:hAnsi="仿宋" w:eastAsia="仿宋" w:cs="仿宋"/>
          <w:color w:val="auto"/>
          <w:sz w:val="21"/>
          <w:szCs w:val="21"/>
          <w:highlight w:val="none"/>
        </w:rPr>
        <w:t>后附</w:t>
      </w:r>
      <w:r>
        <w:rPr>
          <w:rFonts w:hint="eastAsia" w:ascii="仿宋" w:hAnsi="仿宋" w:eastAsia="仿宋" w:cs="仿宋"/>
          <w:color w:val="auto"/>
          <w:sz w:val="21"/>
          <w:szCs w:val="21"/>
          <w:highlight w:val="none"/>
          <w:lang w:eastAsia="zh-CN"/>
        </w:rPr>
        <w:t>营业执照</w:t>
      </w:r>
      <w:r>
        <w:rPr>
          <w:rFonts w:hint="eastAsia" w:ascii="仿宋" w:hAnsi="仿宋" w:eastAsia="仿宋" w:cs="仿宋"/>
          <w:color w:val="auto"/>
          <w:sz w:val="21"/>
          <w:szCs w:val="21"/>
          <w:highlight w:val="none"/>
        </w:rPr>
        <w:t>等材料。</w:t>
      </w:r>
    </w:p>
    <w:p w14:paraId="02AB38E8">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sectPr>
          <w:pgSz w:w="11850" w:h="16790"/>
          <w:pgMar w:top="1600" w:right="1200" w:bottom="1180" w:left="1200" w:header="850" w:footer="994" w:gutter="0"/>
          <w:pgNumType w:fmt="decimal"/>
          <w:cols w:space="720" w:num="1"/>
        </w:sectPr>
      </w:pPr>
    </w:p>
    <w:p w14:paraId="0352D230">
      <w:pPr>
        <w:keepNext w:val="0"/>
        <w:keepLines w:val="0"/>
        <w:pageBreakBefore w:val="0"/>
        <w:kinsoku/>
        <w:overflowPunct/>
        <w:bidi w:val="0"/>
        <w:snapToGrid w:val="0"/>
        <w:spacing w:before="1" w:line="360" w:lineRule="auto"/>
        <w:ind w:left="2596" w:right="2595"/>
        <w:jc w:val="center"/>
        <w:outlineLvl w:val="1"/>
        <w:rPr>
          <w:rFonts w:hint="eastAsia" w:ascii="仿宋" w:hAnsi="仿宋" w:eastAsia="仿宋" w:cs="仿宋"/>
          <w:b/>
          <w:color w:val="auto"/>
          <w:sz w:val="24"/>
          <w:szCs w:val="24"/>
          <w:highlight w:val="none"/>
        </w:rPr>
      </w:pPr>
      <w:bookmarkStart w:id="476" w:name="_Toc16700"/>
      <w:bookmarkStart w:id="477" w:name="_Toc18622"/>
      <w:bookmarkStart w:id="478" w:name="_Toc11538"/>
      <w:r>
        <w:rPr>
          <w:rFonts w:hint="eastAsia" w:ascii="仿宋" w:hAnsi="仿宋" w:eastAsia="仿宋" w:cs="仿宋"/>
          <w:b/>
          <w:color w:val="auto"/>
          <w:sz w:val="24"/>
          <w:szCs w:val="24"/>
          <w:highlight w:val="none"/>
        </w:rPr>
        <w:t>（二）</w:t>
      </w:r>
      <w:bookmarkEnd w:id="476"/>
      <w:r>
        <w:rPr>
          <w:rFonts w:hint="eastAsia" w:ascii="仿宋" w:hAnsi="仿宋" w:eastAsia="仿宋" w:cs="仿宋"/>
          <w:b/>
          <w:color w:val="auto"/>
          <w:sz w:val="24"/>
          <w:szCs w:val="24"/>
          <w:highlight w:val="none"/>
        </w:rPr>
        <w:t>供应商资格证明资料</w:t>
      </w:r>
      <w:bookmarkEnd w:id="477"/>
      <w:bookmarkEnd w:id="478"/>
    </w:p>
    <w:p w14:paraId="727B53E6">
      <w:pPr>
        <w:pStyle w:val="2"/>
        <w:keepNext w:val="0"/>
        <w:keepLines w:val="0"/>
        <w:pageBreakBefore w:val="0"/>
        <w:kinsoku/>
        <w:overflowPunct/>
        <w:bidi w:val="0"/>
        <w:snapToGrid w:val="0"/>
        <w:spacing w:line="360" w:lineRule="auto"/>
        <w:jc w:val="center"/>
        <w:rPr>
          <w:rFonts w:hint="eastAsia" w:ascii="仿宋" w:hAnsi="仿宋" w:eastAsia="仿宋" w:cs="仿宋"/>
          <w:color w:val="auto"/>
          <w:highlight w:val="none"/>
        </w:rPr>
      </w:pPr>
    </w:p>
    <w:p w14:paraId="3F7A4AC2">
      <w:pPr>
        <w:pStyle w:val="2"/>
        <w:keepNext w:val="0"/>
        <w:keepLines w:val="0"/>
        <w:pageBreakBefore w:val="0"/>
        <w:kinsoku/>
        <w:overflowPunct/>
        <w:bidi w:val="0"/>
        <w:snapToGrid w:val="0"/>
        <w:spacing w:before="2" w:line="360" w:lineRule="auto"/>
        <w:ind w:left="440" w:leftChars="200" w:firstLine="420" w:firstLineChars="200"/>
        <w:rPr>
          <w:rFonts w:hint="eastAsia" w:ascii="仿宋" w:hAnsi="仿宋" w:eastAsia="仿宋" w:cs="仿宋"/>
          <w:color w:val="auto"/>
          <w:highlight w:val="none"/>
        </w:rPr>
      </w:pPr>
    </w:p>
    <w:p w14:paraId="3FA53D04">
      <w:pPr>
        <w:pStyle w:val="2"/>
        <w:keepNext w:val="0"/>
        <w:keepLines w:val="0"/>
        <w:pageBreakBefore w:val="0"/>
        <w:kinsoku/>
        <w:overflowPunct/>
        <w:bidi w:val="0"/>
        <w:snapToGrid w:val="0"/>
        <w:spacing w:before="12" w:line="360" w:lineRule="auto"/>
        <w:rPr>
          <w:rFonts w:hint="eastAsia" w:ascii="仿宋" w:hAnsi="仿宋" w:eastAsia="仿宋" w:cs="仿宋"/>
          <w:b/>
          <w:color w:val="auto"/>
          <w:sz w:val="38"/>
          <w:highlight w:val="none"/>
        </w:rPr>
      </w:pPr>
    </w:p>
    <w:p w14:paraId="1C0BD5F8">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6FCCC91B">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41366491">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65710426">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51548EAC">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3AD4FE2F">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25E2EDC7">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579F84E3">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0932092E">
      <w:pPr>
        <w:pStyle w:val="2"/>
        <w:keepNext w:val="0"/>
        <w:keepLines w:val="0"/>
        <w:pageBreakBefore w:val="0"/>
        <w:kinsoku/>
        <w:overflowPunct/>
        <w:bidi w:val="0"/>
        <w:snapToGrid w:val="0"/>
        <w:spacing w:before="5" w:line="360" w:lineRule="auto"/>
        <w:rPr>
          <w:rFonts w:hint="eastAsia" w:ascii="仿宋" w:hAnsi="仿宋" w:eastAsia="仿宋" w:cs="仿宋"/>
          <w:color w:val="auto"/>
          <w:sz w:val="24"/>
          <w:highlight w:val="none"/>
        </w:rPr>
      </w:pPr>
    </w:p>
    <w:p w14:paraId="3DAD9204">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bookmarkStart w:id="479" w:name="八、投标人拟定的项目实施方案"/>
      <w:bookmarkEnd w:id="479"/>
      <w:bookmarkStart w:id="480" w:name="（三）近年完成的类似项目情况表"/>
      <w:bookmarkEnd w:id="480"/>
    </w:p>
    <w:p w14:paraId="7B6D5A81">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23041647">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1CEF9EB8">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79D82B28">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1AA78A59">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17AA9D1F">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18776A70">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34D35B5A">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0A609C83">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50741056">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53C20951">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0D2BA97D">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5F6502CD">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0792B374">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76328151">
      <w:pPr>
        <w:pStyle w:val="2"/>
        <w:keepNext w:val="0"/>
        <w:keepLines w:val="0"/>
        <w:pageBreakBefore w:val="0"/>
        <w:kinsoku/>
        <w:overflowPunct/>
        <w:bidi w:val="0"/>
        <w:snapToGrid w:val="0"/>
        <w:spacing w:line="360" w:lineRule="auto"/>
        <w:rPr>
          <w:rFonts w:hint="eastAsia" w:ascii="仿宋" w:hAnsi="仿宋" w:eastAsia="仿宋" w:cs="仿宋"/>
          <w:color w:val="auto"/>
          <w:sz w:val="20"/>
          <w:highlight w:val="none"/>
        </w:rPr>
      </w:pPr>
    </w:p>
    <w:p w14:paraId="74FD7969">
      <w:pPr>
        <w:keepNext w:val="0"/>
        <w:keepLines w:val="0"/>
        <w:pageBreakBefore w:val="0"/>
        <w:kinsoku/>
        <w:overflowPunct/>
        <w:bidi w:val="0"/>
        <w:snapToGrid w:val="0"/>
        <w:spacing w:line="360" w:lineRule="auto"/>
        <w:jc w:val="center"/>
        <w:rPr>
          <w:rFonts w:hint="eastAsia" w:ascii="仿宋" w:hAnsi="仿宋" w:eastAsia="仿宋" w:cs="仿宋"/>
          <w:b/>
          <w:bCs/>
          <w:color w:val="auto"/>
          <w:sz w:val="24"/>
          <w:szCs w:val="24"/>
          <w:highlight w:val="none"/>
          <w:lang w:val="en-US"/>
        </w:rPr>
      </w:pPr>
    </w:p>
    <w:p w14:paraId="358ED21D">
      <w:pPr>
        <w:keepNext w:val="0"/>
        <w:keepLines w:val="0"/>
        <w:pageBreakBefore w:val="0"/>
        <w:kinsoku/>
        <w:overflowPunct/>
        <w:bidi w:val="0"/>
        <w:snapToGrid w:val="0"/>
        <w:spacing w:line="360" w:lineRule="auto"/>
        <w:jc w:val="center"/>
        <w:rPr>
          <w:rFonts w:hint="eastAsia" w:ascii="仿宋" w:hAnsi="仿宋" w:eastAsia="仿宋" w:cs="仿宋"/>
          <w:b/>
          <w:bCs/>
          <w:color w:val="auto"/>
          <w:sz w:val="24"/>
          <w:szCs w:val="24"/>
          <w:highlight w:val="none"/>
          <w:lang w:val="en-US"/>
        </w:rPr>
      </w:pPr>
    </w:p>
    <w:p w14:paraId="115FA12E">
      <w:pPr>
        <w:keepNext w:val="0"/>
        <w:keepLines w:val="0"/>
        <w:pageBreakBefore w:val="0"/>
        <w:widowControl/>
        <w:kinsoku/>
        <w:overflowPunct/>
        <w:autoSpaceDE/>
        <w:autoSpaceDN/>
        <w:bidi w:val="0"/>
        <w:snapToGrid w:val="0"/>
        <w:spacing w:line="360" w:lineRule="auto"/>
        <w:rPr>
          <w:rFonts w:hint="eastAsia"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rPr>
        <w:br w:type="page"/>
      </w:r>
    </w:p>
    <w:p w14:paraId="0A6FAE9B">
      <w:pPr>
        <w:keepNext w:val="0"/>
        <w:keepLines w:val="0"/>
        <w:pageBreakBefore w:val="0"/>
        <w:kinsoku/>
        <w:overflowPunct/>
        <w:bidi w:val="0"/>
        <w:snapToGrid w:val="0"/>
        <w:spacing w:before="1" w:line="360" w:lineRule="auto"/>
        <w:ind w:left="2596" w:right="2595"/>
        <w:jc w:val="center"/>
        <w:outlineLvl w:val="1"/>
        <w:rPr>
          <w:rFonts w:hint="eastAsia" w:ascii="仿宋" w:hAnsi="仿宋" w:eastAsia="仿宋" w:cs="仿宋"/>
          <w:b/>
          <w:color w:val="auto"/>
          <w:sz w:val="24"/>
          <w:szCs w:val="24"/>
          <w:highlight w:val="none"/>
          <w:lang w:val="en-US"/>
        </w:rPr>
      </w:pPr>
      <w:bookmarkStart w:id="481" w:name="_Toc4723"/>
      <w:bookmarkStart w:id="482" w:name="_Toc3482"/>
      <w:r>
        <w:rPr>
          <w:rFonts w:hint="eastAsia" w:ascii="仿宋" w:hAnsi="仿宋" w:eastAsia="仿宋" w:cs="仿宋"/>
          <w:b/>
          <w:color w:val="auto"/>
          <w:sz w:val="24"/>
          <w:szCs w:val="24"/>
          <w:highlight w:val="none"/>
          <w:lang w:val="en-US"/>
        </w:rPr>
        <w:t>（三）近年投融资业绩情况表</w:t>
      </w:r>
      <w:bookmarkEnd w:id="481"/>
      <w:bookmarkEnd w:id="482"/>
    </w:p>
    <w:tbl>
      <w:tblPr>
        <w:tblStyle w:val="24"/>
        <w:tblpPr w:leftFromText="180" w:rightFromText="180" w:vertAnchor="text" w:horzAnchor="page" w:tblpX="1772" w:tblpY="33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780"/>
        <w:gridCol w:w="2578"/>
        <w:gridCol w:w="1929"/>
        <w:gridCol w:w="1756"/>
      </w:tblGrid>
      <w:tr w14:paraId="1001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EB46F4E">
            <w:pPr>
              <w:pStyle w:val="10"/>
              <w:keepNext w:val="0"/>
              <w:keepLines w:val="0"/>
              <w:pageBreakBefore w:val="0"/>
              <w:kinsoku/>
              <w:overflowPunct/>
              <w:bidi w:val="0"/>
              <w:snapToGrid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780" w:type="dxa"/>
            <w:shd w:val="clear" w:color="auto" w:fill="F3F3F3"/>
            <w:vAlign w:val="center"/>
          </w:tcPr>
          <w:p w14:paraId="2AF606F3">
            <w:pPr>
              <w:pStyle w:val="10"/>
              <w:keepNext w:val="0"/>
              <w:keepLines w:val="0"/>
              <w:pageBreakBefore w:val="0"/>
              <w:kinsoku/>
              <w:overflowPunct/>
              <w:bidi w:val="0"/>
              <w:snapToGrid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rPr>
              <w:t>招标</w:t>
            </w:r>
            <w:r>
              <w:rPr>
                <w:rFonts w:hint="eastAsia" w:ascii="仿宋" w:hAnsi="仿宋" w:eastAsia="仿宋" w:cs="仿宋"/>
                <w:b/>
                <w:bCs/>
                <w:color w:val="auto"/>
                <w:sz w:val="21"/>
                <w:szCs w:val="21"/>
                <w:highlight w:val="none"/>
              </w:rPr>
              <w:t>单位名称</w:t>
            </w:r>
          </w:p>
        </w:tc>
        <w:tc>
          <w:tcPr>
            <w:tcW w:w="2578" w:type="dxa"/>
            <w:shd w:val="clear" w:color="auto" w:fill="F3F3F3"/>
            <w:vAlign w:val="center"/>
          </w:tcPr>
          <w:p w14:paraId="5AE1ED36">
            <w:pPr>
              <w:pStyle w:val="10"/>
              <w:keepNext w:val="0"/>
              <w:keepLines w:val="0"/>
              <w:pageBreakBefore w:val="0"/>
              <w:kinsoku/>
              <w:overflowPunct/>
              <w:bidi w:val="0"/>
              <w:snapToGrid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项目名称及主要内容</w:t>
            </w:r>
          </w:p>
        </w:tc>
        <w:tc>
          <w:tcPr>
            <w:tcW w:w="1929" w:type="dxa"/>
            <w:shd w:val="clear" w:color="auto" w:fill="F3F3F3"/>
            <w:vAlign w:val="center"/>
          </w:tcPr>
          <w:p w14:paraId="2EC8B8A5">
            <w:pPr>
              <w:pStyle w:val="10"/>
              <w:keepNext w:val="0"/>
              <w:keepLines w:val="0"/>
              <w:pageBreakBefore w:val="0"/>
              <w:kinsoku/>
              <w:overflowPunct/>
              <w:bidi w:val="0"/>
              <w:snapToGrid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合同金额（万元）</w:t>
            </w:r>
          </w:p>
        </w:tc>
        <w:tc>
          <w:tcPr>
            <w:tcW w:w="1756" w:type="dxa"/>
            <w:shd w:val="clear" w:color="auto" w:fill="F3F3F3"/>
            <w:vAlign w:val="center"/>
          </w:tcPr>
          <w:p w14:paraId="10D6B743">
            <w:pPr>
              <w:pStyle w:val="10"/>
              <w:keepNext w:val="0"/>
              <w:keepLines w:val="0"/>
              <w:pageBreakBefore w:val="0"/>
              <w:kinsoku/>
              <w:overflowPunct/>
              <w:bidi w:val="0"/>
              <w:snapToGrid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联系人及电话</w:t>
            </w:r>
          </w:p>
        </w:tc>
      </w:tr>
      <w:tr w14:paraId="3F4F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2" w:type="dxa"/>
            <w:vAlign w:val="center"/>
          </w:tcPr>
          <w:p w14:paraId="15014FE6">
            <w:pPr>
              <w:pStyle w:val="10"/>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780" w:type="dxa"/>
            <w:vAlign w:val="center"/>
          </w:tcPr>
          <w:p w14:paraId="5ED00E8F">
            <w:pPr>
              <w:pStyle w:val="10"/>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2578" w:type="dxa"/>
            <w:vAlign w:val="center"/>
          </w:tcPr>
          <w:p w14:paraId="7FEBB2A4">
            <w:pPr>
              <w:pStyle w:val="10"/>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1929" w:type="dxa"/>
            <w:vAlign w:val="center"/>
          </w:tcPr>
          <w:p w14:paraId="0B461594">
            <w:pPr>
              <w:pStyle w:val="10"/>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1756" w:type="dxa"/>
            <w:vAlign w:val="center"/>
          </w:tcPr>
          <w:p w14:paraId="6EDF54B0">
            <w:pPr>
              <w:pStyle w:val="10"/>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r w14:paraId="1D56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14:paraId="315AD42E">
            <w:pPr>
              <w:pStyle w:val="10"/>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780" w:type="dxa"/>
            <w:vAlign w:val="center"/>
          </w:tcPr>
          <w:p w14:paraId="137275DF">
            <w:pPr>
              <w:pStyle w:val="10"/>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2578" w:type="dxa"/>
            <w:vAlign w:val="center"/>
          </w:tcPr>
          <w:p w14:paraId="5DF88299">
            <w:pPr>
              <w:pStyle w:val="10"/>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1929" w:type="dxa"/>
            <w:vAlign w:val="center"/>
          </w:tcPr>
          <w:p w14:paraId="10E2EA59">
            <w:pPr>
              <w:pStyle w:val="10"/>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1756" w:type="dxa"/>
            <w:vAlign w:val="center"/>
          </w:tcPr>
          <w:p w14:paraId="31B440D7">
            <w:pPr>
              <w:pStyle w:val="10"/>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r w14:paraId="5D30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12" w:type="dxa"/>
            <w:vAlign w:val="center"/>
          </w:tcPr>
          <w:p w14:paraId="6684D96C">
            <w:pPr>
              <w:pStyle w:val="10"/>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780" w:type="dxa"/>
            <w:vAlign w:val="center"/>
          </w:tcPr>
          <w:p w14:paraId="53139996">
            <w:pPr>
              <w:pStyle w:val="10"/>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2578" w:type="dxa"/>
            <w:vAlign w:val="center"/>
          </w:tcPr>
          <w:p w14:paraId="0EB073F7">
            <w:pPr>
              <w:pStyle w:val="10"/>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1929" w:type="dxa"/>
            <w:vAlign w:val="center"/>
          </w:tcPr>
          <w:p w14:paraId="04DFE9D4">
            <w:pPr>
              <w:pStyle w:val="10"/>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1756" w:type="dxa"/>
            <w:vAlign w:val="center"/>
          </w:tcPr>
          <w:p w14:paraId="349E8362">
            <w:pPr>
              <w:pStyle w:val="10"/>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r w14:paraId="2F16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2" w:type="dxa"/>
            <w:vAlign w:val="center"/>
          </w:tcPr>
          <w:p w14:paraId="1918AA02">
            <w:pPr>
              <w:pStyle w:val="10"/>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780" w:type="dxa"/>
            <w:vAlign w:val="center"/>
          </w:tcPr>
          <w:p w14:paraId="089FFC57">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2578" w:type="dxa"/>
            <w:vAlign w:val="center"/>
          </w:tcPr>
          <w:p w14:paraId="2E571871">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1929" w:type="dxa"/>
            <w:vAlign w:val="center"/>
          </w:tcPr>
          <w:p w14:paraId="05035E1F">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1756" w:type="dxa"/>
            <w:vAlign w:val="center"/>
          </w:tcPr>
          <w:p w14:paraId="3CF7AE52">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r w14:paraId="2B33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2" w:type="dxa"/>
            <w:vAlign w:val="center"/>
          </w:tcPr>
          <w:p w14:paraId="43D9CDDE">
            <w:pPr>
              <w:pStyle w:val="10"/>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780" w:type="dxa"/>
            <w:vAlign w:val="center"/>
          </w:tcPr>
          <w:p w14:paraId="724697CD">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2578" w:type="dxa"/>
            <w:vAlign w:val="center"/>
          </w:tcPr>
          <w:p w14:paraId="4485386A">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1929" w:type="dxa"/>
            <w:vAlign w:val="center"/>
          </w:tcPr>
          <w:p w14:paraId="0BB862A7">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c>
          <w:tcPr>
            <w:tcW w:w="1756" w:type="dxa"/>
            <w:vAlign w:val="center"/>
          </w:tcPr>
          <w:p w14:paraId="04C8F2C3">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tc>
      </w:tr>
    </w:tbl>
    <w:p w14:paraId="7D6749DA">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lang w:val="en-US"/>
        </w:rPr>
      </w:pPr>
    </w:p>
    <w:p w14:paraId="7AE83C98">
      <w:pPr>
        <w:keepNext w:val="0"/>
        <w:keepLines w:val="0"/>
        <w:pageBreakBefore w:val="0"/>
        <w:kinsoku/>
        <w:overflowPunct/>
        <w:bidi w:val="0"/>
        <w:snapToGrid w:val="0"/>
        <w:spacing w:line="360" w:lineRule="auto"/>
        <w:rPr>
          <w:rFonts w:hint="eastAsia" w:ascii="仿宋" w:hAnsi="仿宋" w:eastAsia="仿宋" w:cs="仿宋"/>
          <w:color w:val="auto"/>
          <w:sz w:val="18"/>
          <w:szCs w:val="18"/>
          <w:highlight w:val="none"/>
        </w:rPr>
      </w:pPr>
    </w:p>
    <w:p w14:paraId="63A15768">
      <w:pPr>
        <w:keepNext w:val="0"/>
        <w:keepLines w:val="0"/>
        <w:pageBreakBefore w:val="0"/>
        <w:kinsoku/>
        <w:overflowPunct/>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18"/>
          <w:szCs w:val="18"/>
          <w:highlight w:val="none"/>
        </w:rPr>
        <w:t xml:space="preserve"> 注：本表</w:t>
      </w:r>
      <w:r>
        <w:rPr>
          <w:rFonts w:hint="eastAsia" w:ascii="仿宋" w:hAnsi="仿宋" w:eastAsia="仿宋" w:cs="仿宋"/>
          <w:color w:val="auto"/>
          <w:sz w:val="18"/>
          <w:szCs w:val="18"/>
          <w:highlight w:val="none"/>
          <w:lang w:val="en-US"/>
        </w:rPr>
        <w:t>列近年投融资业绩情况，</w:t>
      </w:r>
      <w:r>
        <w:rPr>
          <w:rFonts w:hint="eastAsia" w:ascii="仿宋" w:hAnsi="仿宋" w:eastAsia="仿宋" w:cs="仿宋"/>
          <w:color w:val="auto"/>
          <w:sz w:val="18"/>
          <w:szCs w:val="18"/>
          <w:highlight w:val="none"/>
        </w:rPr>
        <w:t>后附</w:t>
      </w:r>
      <w:r>
        <w:rPr>
          <w:rFonts w:hint="eastAsia" w:ascii="仿宋" w:hAnsi="仿宋" w:eastAsia="仿宋" w:cs="仿宋"/>
          <w:bCs/>
          <w:color w:val="auto"/>
          <w:sz w:val="18"/>
          <w:szCs w:val="18"/>
          <w:highlight w:val="none"/>
        </w:rPr>
        <w:t>相关证明材料</w:t>
      </w:r>
      <w:r>
        <w:rPr>
          <w:rFonts w:hint="eastAsia" w:ascii="仿宋" w:hAnsi="仿宋" w:eastAsia="仿宋" w:cs="仿宋"/>
          <w:bCs/>
          <w:color w:val="auto"/>
          <w:sz w:val="18"/>
          <w:szCs w:val="18"/>
          <w:highlight w:val="none"/>
          <w:lang w:eastAsia="zh-CN"/>
        </w:rPr>
        <w:t>，</w:t>
      </w:r>
      <w:r>
        <w:rPr>
          <w:rFonts w:hint="eastAsia" w:ascii="仿宋" w:hAnsi="仿宋" w:eastAsia="仿宋" w:cs="仿宋"/>
          <w:color w:val="auto"/>
          <w:sz w:val="18"/>
          <w:szCs w:val="18"/>
          <w:highlight w:val="none"/>
        </w:rPr>
        <w:t>具体年份要求见</w:t>
      </w:r>
      <w:r>
        <w:rPr>
          <w:rFonts w:hint="eastAsia" w:ascii="仿宋" w:hAnsi="仿宋" w:eastAsia="仿宋" w:cs="仿宋"/>
          <w:color w:val="auto"/>
          <w:sz w:val="18"/>
          <w:szCs w:val="18"/>
          <w:highlight w:val="none"/>
          <w:lang w:val="en-US"/>
        </w:rPr>
        <w:t>评标办法</w:t>
      </w:r>
      <w:r>
        <w:rPr>
          <w:rFonts w:hint="eastAsia" w:ascii="仿宋" w:hAnsi="仿宋" w:eastAsia="仿宋" w:cs="仿宋"/>
          <w:color w:val="auto"/>
          <w:sz w:val="18"/>
          <w:szCs w:val="18"/>
          <w:highlight w:val="none"/>
        </w:rPr>
        <w:t>。</w:t>
      </w:r>
    </w:p>
    <w:p w14:paraId="2B7A06F0">
      <w:pPr>
        <w:keepNext w:val="0"/>
        <w:keepLines w:val="0"/>
        <w:pageBreakBefore w:val="0"/>
        <w:numPr>
          <w:ilvl w:val="0"/>
          <w:numId w:val="3"/>
        </w:numPr>
        <w:kinsoku/>
        <w:overflowPunct/>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571649C">
      <w:pPr>
        <w:keepNext w:val="0"/>
        <w:keepLines w:val="0"/>
        <w:pageBreakBefore w:val="0"/>
        <w:kinsoku/>
        <w:overflowPunct/>
        <w:bidi w:val="0"/>
        <w:snapToGrid w:val="0"/>
        <w:spacing w:before="1" w:line="360" w:lineRule="auto"/>
        <w:ind w:left="2596" w:right="2595"/>
        <w:jc w:val="center"/>
        <w:outlineLvl w:val="1"/>
        <w:rPr>
          <w:rFonts w:hint="eastAsia" w:ascii="仿宋" w:hAnsi="仿宋" w:eastAsia="仿宋" w:cs="仿宋"/>
          <w:b/>
          <w:color w:val="auto"/>
          <w:sz w:val="24"/>
          <w:szCs w:val="24"/>
          <w:highlight w:val="none"/>
          <w:lang w:val="en-US"/>
        </w:rPr>
      </w:pPr>
      <w:bookmarkStart w:id="483" w:name="（四）近年发生的诉讼及仲裁情况"/>
      <w:bookmarkEnd w:id="483"/>
      <w:bookmarkStart w:id="484" w:name="_Toc16367"/>
      <w:bookmarkStart w:id="485" w:name="_Toc9603"/>
      <w:r>
        <w:rPr>
          <w:rFonts w:hint="eastAsia" w:ascii="仿宋" w:hAnsi="仿宋" w:eastAsia="仿宋" w:cs="仿宋"/>
          <w:b/>
          <w:color w:val="auto"/>
          <w:sz w:val="24"/>
          <w:szCs w:val="24"/>
          <w:highlight w:val="none"/>
          <w:lang w:val="en-US"/>
        </w:rPr>
        <w:t>（</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lang w:val="en-US"/>
        </w:rPr>
        <w:t>）无重大违法记录声明</w:t>
      </w:r>
      <w:bookmarkEnd w:id="484"/>
      <w:bookmarkEnd w:id="485"/>
    </w:p>
    <w:p w14:paraId="0D337959">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p w14:paraId="624C4551">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0147AEDF">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p w14:paraId="7DB5DDC4">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（供应商名称）郑重声明，我方参加本项目政府采购活动前三年内无重大违法记录，符合《中华人民共和国政府采购法》规定的供应商资格条件。我方对此声明负全部法律责任。</w:t>
      </w:r>
    </w:p>
    <w:p w14:paraId="13354F11">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特此声明。</w:t>
      </w:r>
    </w:p>
    <w:p w14:paraId="7D5C9DE3">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p w14:paraId="0764ECD8">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p>
    <w:p w14:paraId="4685D1ED">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供应商：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（电子签章或盖章）</w:t>
      </w:r>
    </w:p>
    <w:p w14:paraId="574383BD">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法定代表人：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（电子签章</w:t>
      </w:r>
      <w:r>
        <w:rPr>
          <w:rFonts w:hint="eastAsia" w:ascii="仿宋" w:hAnsi="仿宋" w:eastAsia="仿宋" w:cs="仿宋"/>
          <w:color w:val="auto"/>
          <w:sz w:val="21"/>
          <w:szCs w:val="21"/>
          <w:highlight w:val="none"/>
          <w:lang w:val="en-US"/>
        </w:rPr>
        <w:t>或签字</w:t>
      </w:r>
      <w:r>
        <w:rPr>
          <w:rFonts w:hint="eastAsia" w:ascii="仿宋" w:hAnsi="仿宋" w:eastAsia="仿宋" w:cs="仿宋"/>
          <w:color w:val="auto"/>
          <w:sz w:val="21"/>
          <w:szCs w:val="21"/>
          <w:highlight w:val="none"/>
        </w:rPr>
        <w:t>）</w:t>
      </w:r>
    </w:p>
    <w:p w14:paraId="377C5ECA">
      <w:pPr>
        <w:keepNext w:val="0"/>
        <w:keepLines w:val="0"/>
        <w:pageBreakBefore w:val="0"/>
        <w:kinsoku/>
        <w:overflowPunct/>
        <w:bidi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日期：______________</w:t>
      </w:r>
    </w:p>
    <w:p w14:paraId="62073B31">
      <w:pPr>
        <w:pStyle w:val="23"/>
        <w:keepNext w:val="0"/>
        <w:keepLines w:val="0"/>
        <w:pageBreakBefore w:val="0"/>
        <w:kinsoku/>
        <w:overflowPunct/>
        <w:bidi w:val="0"/>
        <w:snapToGrid w:val="0"/>
        <w:spacing w:line="360" w:lineRule="auto"/>
        <w:ind w:left="440" w:firstLine="480"/>
        <w:rPr>
          <w:rFonts w:hint="eastAsia" w:ascii="仿宋" w:hAnsi="仿宋" w:eastAsia="仿宋" w:cs="仿宋"/>
          <w:color w:val="auto"/>
          <w:highlight w:val="none"/>
        </w:rPr>
      </w:pPr>
    </w:p>
    <w:p w14:paraId="63A87728">
      <w:pPr>
        <w:pStyle w:val="5"/>
        <w:keepNext w:val="0"/>
        <w:keepLines w:val="0"/>
        <w:pageBreakBefore w:val="0"/>
        <w:kinsoku/>
        <w:overflowPunct/>
        <w:bidi w:val="0"/>
        <w:snapToGrid w:val="0"/>
        <w:spacing w:before="0" w:line="360" w:lineRule="auto"/>
        <w:ind w:left="0"/>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br w:type="page"/>
      </w:r>
      <w:bookmarkStart w:id="486" w:name="_Toc8617"/>
      <w:bookmarkStart w:id="487" w:name="_Toc19361"/>
      <w:bookmarkStart w:id="488" w:name="_Hlk536544319"/>
      <w:r>
        <w:rPr>
          <w:rFonts w:hint="eastAsia" w:ascii="仿宋" w:hAnsi="仿宋" w:eastAsia="仿宋" w:cs="仿宋"/>
          <w:bCs w:val="0"/>
          <w:color w:val="auto"/>
          <w:sz w:val="24"/>
          <w:szCs w:val="24"/>
          <w:highlight w:val="none"/>
          <w:lang w:val="en-US"/>
        </w:rPr>
        <w:t>（</w:t>
      </w:r>
      <w:r>
        <w:rPr>
          <w:rFonts w:hint="eastAsia" w:ascii="仿宋" w:hAnsi="仿宋" w:eastAsia="仿宋" w:cs="仿宋"/>
          <w:bCs w:val="0"/>
          <w:color w:val="auto"/>
          <w:sz w:val="24"/>
          <w:szCs w:val="24"/>
          <w:highlight w:val="none"/>
          <w:lang w:val="en-US" w:eastAsia="zh-CN"/>
        </w:rPr>
        <w:t>五</w:t>
      </w:r>
      <w:r>
        <w:rPr>
          <w:rFonts w:hint="eastAsia" w:ascii="仿宋" w:hAnsi="仿宋" w:eastAsia="仿宋" w:cs="仿宋"/>
          <w:bCs w:val="0"/>
          <w:color w:val="auto"/>
          <w:sz w:val="24"/>
          <w:szCs w:val="24"/>
          <w:highlight w:val="none"/>
          <w:lang w:val="en-US"/>
        </w:rPr>
        <w:t>）反商业贿赂承诺书</w:t>
      </w:r>
      <w:bookmarkEnd w:id="486"/>
      <w:bookmarkEnd w:id="487"/>
    </w:p>
    <w:p w14:paraId="3A6CE6F6">
      <w:pPr>
        <w:keepNext w:val="0"/>
        <w:keepLines w:val="0"/>
        <w:pageBreakBefore w:val="0"/>
        <w:kinsoku/>
        <w:overflowPunct/>
        <w:bidi w:val="0"/>
        <w:snapToGrid w:val="0"/>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我方承诺：</w:t>
      </w:r>
    </w:p>
    <w:p w14:paraId="28F808C0">
      <w:pPr>
        <w:keepNext w:val="0"/>
        <w:keepLines w:val="0"/>
        <w:pageBreakBefore w:val="0"/>
        <w:kinsoku/>
        <w:overflowPunct/>
        <w:bidi w:val="0"/>
        <w:snapToGrid w:val="0"/>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在</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rPr>
        <w:t xml:space="preserve"> 项目</w:t>
      </w:r>
      <w:r>
        <w:rPr>
          <w:rFonts w:hint="eastAsia" w:ascii="仿宋" w:hAnsi="仿宋" w:eastAsia="仿宋" w:cs="仿宋"/>
          <w:bCs/>
          <w:color w:val="auto"/>
          <w:sz w:val="21"/>
          <w:szCs w:val="21"/>
          <w:highlight w:val="none"/>
          <w:lang w:val="en-US"/>
        </w:rPr>
        <w:t xml:space="preserve"> </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采购项目编号</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rPr>
        <w:t>）招标活动中，我方保证做到：</w:t>
      </w:r>
    </w:p>
    <w:p w14:paraId="197C37A5">
      <w:pPr>
        <w:keepNext w:val="0"/>
        <w:keepLines w:val="0"/>
        <w:pageBreakBefore w:val="0"/>
        <w:kinsoku/>
        <w:overflowPunct/>
        <w:bidi w:val="0"/>
        <w:snapToGrid w:val="0"/>
        <w:spacing w:line="360" w:lineRule="auto"/>
        <w:ind w:firstLine="420" w:firstLineChars="200"/>
        <w:rPr>
          <w:rFonts w:hint="eastAsia" w:ascii="仿宋" w:hAnsi="仿宋" w:eastAsia="仿宋" w:cs="仿宋"/>
          <w:bCs/>
          <w:color w:val="auto"/>
          <w:sz w:val="21"/>
          <w:szCs w:val="21"/>
          <w:highlight w:val="none"/>
        </w:rPr>
      </w:pPr>
      <w:bookmarkStart w:id="489" w:name="_Toc26577"/>
      <w:bookmarkStart w:id="490" w:name="_Toc4138"/>
      <w:bookmarkStart w:id="491" w:name="_Toc1840"/>
      <w:r>
        <w:rPr>
          <w:rFonts w:hint="eastAsia" w:ascii="仿宋" w:hAnsi="仿宋" w:eastAsia="仿宋" w:cs="仿宋"/>
          <w:bCs/>
          <w:color w:val="auto"/>
          <w:sz w:val="21"/>
          <w:szCs w:val="21"/>
          <w:highlight w:val="none"/>
        </w:rPr>
        <w:t>一、公平竞争参加本次招标活动。</w:t>
      </w:r>
      <w:bookmarkEnd w:id="489"/>
      <w:bookmarkEnd w:id="490"/>
      <w:bookmarkEnd w:id="491"/>
    </w:p>
    <w:p w14:paraId="3879C260">
      <w:pPr>
        <w:keepNext w:val="0"/>
        <w:keepLines w:val="0"/>
        <w:pageBreakBefore w:val="0"/>
        <w:kinsoku/>
        <w:overflowPunct/>
        <w:bidi w:val="0"/>
        <w:snapToGrid w:val="0"/>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二、杜绝任何形式的商业贿赂行为。不向国家工作人员、相关工作人员、评审专家及其亲属提供礼品礼金、有价证券、购物券、回扣、佣金、咨询费、劳务费、赞助费、宣传费、宴请；不为其报销各种消费凭证，不支付其旅游、娱乐等费用。</w:t>
      </w:r>
    </w:p>
    <w:p w14:paraId="34582F15">
      <w:pPr>
        <w:keepNext w:val="0"/>
        <w:keepLines w:val="0"/>
        <w:pageBreakBefore w:val="0"/>
        <w:kinsoku/>
        <w:overflowPunct/>
        <w:bidi w:val="0"/>
        <w:snapToGrid w:val="0"/>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三、若出现上述行为，我方及参与投标的工作人员愿意接受按照国家法律法规等有关规定给予的处罚。</w:t>
      </w:r>
    </w:p>
    <w:p w14:paraId="2D7480AA">
      <w:pPr>
        <w:keepNext w:val="0"/>
        <w:keepLines w:val="0"/>
        <w:pageBreakBefore w:val="0"/>
        <w:kinsoku/>
        <w:overflowPunct/>
        <w:bidi w:val="0"/>
        <w:snapToGrid w:val="0"/>
        <w:spacing w:line="360" w:lineRule="auto"/>
        <w:ind w:firstLine="420" w:firstLineChars="200"/>
        <w:rPr>
          <w:rFonts w:hint="eastAsia" w:ascii="仿宋" w:hAnsi="仿宋" w:eastAsia="仿宋" w:cs="仿宋"/>
          <w:bCs/>
          <w:color w:val="auto"/>
          <w:sz w:val="21"/>
          <w:szCs w:val="21"/>
          <w:highlight w:val="none"/>
        </w:rPr>
      </w:pPr>
    </w:p>
    <w:p w14:paraId="1887606A">
      <w:pPr>
        <w:keepNext w:val="0"/>
        <w:keepLines w:val="0"/>
        <w:pageBreakBefore w:val="0"/>
        <w:kinsoku/>
        <w:overflowPunct/>
        <w:bidi w:val="0"/>
        <w:snapToGrid w:val="0"/>
        <w:spacing w:line="360" w:lineRule="auto"/>
        <w:ind w:firstLine="420" w:firstLineChars="20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供应商（电子签章</w:t>
      </w:r>
      <w:r>
        <w:rPr>
          <w:rFonts w:hint="eastAsia" w:ascii="仿宋" w:hAnsi="仿宋" w:eastAsia="仿宋" w:cs="仿宋"/>
          <w:bCs/>
          <w:color w:val="auto"/>
          <w:sz w:val="21"/>
          <w:szCs w:val="21"/>
          <w:highlight w:val="none"/>
          <w:lang w:val="en-US" w:eastAsia="zh-CN"/>
        </w:rPr>
        <w:t>或盖章</w:t>
      </w:r>
      <w:r>
        <w:rPr>
          <w:rFonts w:hint="eastAsia" w:ascii="仿宋" w:hAnsi="仿宋" w:eastAsia="仿宋" w:cs="仿宋"/>
          <w:bCs/>
          <w:color w:val="auto"/>
          <w:sz w:val="21"/>
          <w:szCs w:val="21"/>
          <w:highlight w:val="none"/>
        </w:rPr>
        <w:t>）：</w:t>
      </w:r>
    </w:p>
    <w:p w14:paraId="4582A366">
      <w:pPr>
        <w:keepNext w:val="0"/>
        <w:keepLines w:val="0"/>
        <w:pageBreakBefore w:val="0"/>
        <w:kinsoku/>
        <w:overflowPunct/>
        <w:bidi w:val="0"/>
        <w:snapToGrid w:val="0"/>
        <w:spacing w:line="360" w:lineRule="auto"/>
        <w:ind w:firstLine="420" w:firstLineChars="20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法定代表人（</w:t>
      </w:r>
      <w:r>
        <w:rPr>
          <w:rFonts w:hint="eastAsia" w:ascii="仿宋" w:hAnsi="仿宋" w:eastAsia="仿宋" w:cs="仿宋"/>
          <w:color w:val="auto"/>
          <w:sz w:val="21"/>
          <w:szCs w:val="21"/>
          <w:highlight w:val="none"/>
        </w:rPr>
        <w:t>电子签章</w:t>
      </w:r>
      <w:r>
        <w:rPr>
          <w:rFonts w:hint="eastAsia" w:ascii="仿宋" w:hAnsi="仿宋" w:eastAsia="仿宋" w:cs="仿宋"/>
          <w:color w:val="auto"/>
          <w:highlight w:val="none"/>
          <w:lang w:val="en-US" w:eastAsia="zh-CN"/>
        </w:rPr>
        <w:t>或签字</w:t>
      </w:r>
      <w:r>
        <w:rPr>
          <w:rFonts w:hint="eastAsia" w:ascii="仿宋" w:hAnsi="仿宋" w:eastAsia="仿宋" w:cs="仿宋"/>
          <w:bCs/>
          <w:color w:val="auto"/>
          <w:sz w:val="21"/>
          <w:szCs w:val="21"/>
          <w:highlight w:val="none"/>
        </w:rPr>
        <w:t>）：</w:t>
      </w:r>
    </w:p>
    <w:p w14:paraId="5086DB80">
      <w:pPr>
        <w:keepNext w:val="0"/>
        <w:keepLines w:val="0"/>
        <w:pageBreakBefore w:val="0"/>
        <w:kinsoku/>
        <w:overflowPunct/>
        <w:bidi w:val="0"/>
        <w:snapToGrid w:val="0"/>
        <w:spacing w:line="360"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日期：</w:t>
      </w:r>
    </w:p>
    <w:bookmarkEnd w:id="488"/>
    <w:p w14:paraId="66FD8409">
      <w:pPr>
        <w:keepNext w:val="0"/>
        <w:keepLines w:val="0"/>
        <w:pageBreakBefore w:val="0"/>
        <w:kinsoku/>
        <w:overflowPunct/>
        <w:bidi w:val="0"/>
        <w:snapToGrid w:val="0"/>
        <w:spacing w:line="360" w:lineRule="auto"/>
        <w:ind w:firstLine="480" w:firstLineChars="200"/>
        <w:rPr>
          <w:rFonts w:hint="eastAsia" w:ascii="仿宋" w:hAnsi="仿宋" w:eastAsia="仿宋" w:cs="仿宋"/>
          <w:bCs/>
          <w:color w:val="auto"/>
          <w:sz w:val="24"/>
          <w:highlight w:val="none"/>
        </w:rPr>
      </w:pPr>
    </w:p>
    <w:p w14:paraId="1C6A2213">
      <w:pPr>
        <w:keepNext w:val="0"/>
        <w:keepLines w:val="0"/>
        <w:pageBreakBefore w:val="0"/>
        <w:kinsoku/>
        <w:overflowPunct/>
        <w:bidi w:val="0"/>
        <w:snapToGrid w:val="0"/>
        <w:spacing w:line="360" w:lineRule="auto"/>
        <w:ind w:firstLine="480" w:firstLineChars="200"/>
        <w:rPr>
          <w:rFonts w:hint="eastAsia" w:ascii="仿宋" w:hAnsi="仿宋" w:eastAsia="仿宋" w:cs="仿宋"/>
          <w:bCs/>
          <w:color w:val="auto"/>
          <w:sz w:val="24"/>
          <w:highlight w:val="none"/>
        </w:rPr>
      </w:pPr>
    </w:p>
    <w:p w14:paraId="33E56113">
      <w:pPr>
        <w:keepNext w:val="0"/>
        <w:keepLines w:val="0"/>
        <w:pageBreakBefore w:val="0"/>
        <w:kinsoku/>
        <w:overflowPunct/>
        <w:bidi w:val="0"/>
        <w:snapToGrid w:val="0"/>
        <w:spacing w:line="360" w:lineRule="auto"/>
        <w:rPr>
          <w:rFonts w:hint="eastAsia" w:ascii="仿宋" w:hAnsi="仿宋" w:eastAsia="仿宋" w:cs="仿宋"/>
          <w:color w:val="auto"/>
          <w:sz w:val="24"/>
          <w:highlight w:val="none"/>
        </w:rPr>
      </w:pPr>
    </w:p>
    <w:p w14:paraId="7A357379">
      <w:pPr>
        <w:keepNext w:val="0"/>
        <w:keepLines w:val="0"/>
        <w:pageBreakBefore w:val="0"/>
        <w:kinsoku/>
        <w:overflowPunct/>
        <w:bidi w:val="0"/>
        <w:snapToGrid w:val="0"/>
        <w:spacing w:line="360" w:lineRule="auto"/>
        <w:rPr>
          <w:rFonts w:hint="eastAsia" w:ascii="仿宋" w:hAnsi="仿宋" w:eastAsia="仿宋" w:cs="仿宋"/>
          <w:color w:val="auto"/>
          <w:sz w:val="24"/>
          <w:highlight w:val="none"/>
        </w:rPr>
      </w:pPr>
    </w:p>
    <w:p w14:paraId="6463565F">
      <w:pPr>
        <w:keepNext w:val="0"/>
        <w:keepLines w:val="0"/>
        <w:pageBreakBefore w:val="0"/>
        <w:kinsoku/>
        <w:overflowPunct/>
        <w:bidi w:val="0"/>
        <w:snapToGrid w:val="0"/>
        <w:spacing w:line="360" w:lineRule="auto"/>
        <w:rPr>
          <w:rFonts w:hint="eastAsia" w:ascii="仿宋" w:hAnsi="仿宋" w:eastAsia="仿宋" w:cs="仿宋"/>
          <w:color w:val="auto"/>
          <w:sz w:val="24"/>
          <w:highlight w:val="none"/>
        </w:rPr>
      </w:pPr>
    </w:p>
    <w:p w14:paraId="007ABBC8">
      <w:pPr>
        <w:pStyle w:val="23"/>
        <w:keepNext w:val="0"/>
        <w:keepLines w:val="0"/>
        <w:pageBreakBefore w:val="0"/>
        <w:kinsoku/>
        <w:overflowPunct/>
        <w:bidi w:val="0"/>
        <w:snapToGrid w:val="0"/>
        <w:spacing w:line="360" w:lineRule="auto"/>
        <w:ind w:left="440" w:firstLine="480"/>
        <w:rPr>
          <w:rFonts w:hint="eastAsia" w:ascii="仿宋" w:hAnsi="仿宋" w:eastAsia="仿宋" w:cs="仿宋"/>
          <w:color w:val="auto"/>
          <w:highlight w:val="none"/>
        </w:rPr>
      </w:pPr>
    </w:p>
    <w:p w14:paraId="01D3A509">
      <w:pPr>
        <w:keepNext w:val="0"/>
        <w:keepLines w:val="0"/>
        <w:pageBreakBefore w:val="0"/>
        <w:kinsoku/>
        <w:overflowPunct/>
        <w:bidi w:val="0"/>
        <w:snapToGrid w:val="0"/>
        <w:spacing w:line="360" w:lineRule="auto"/>
        <w:rPr>
          <w:rFonts w:hint="eastAsia" w:ascii="仿宋" w:hAnsi="仿宋" w:eastAsia="仿宋" w:cs="仿宋"/>
          <w:color w:val="auto"/>
          <w:highlight w:val="none"/>
        </w:rPr>
      </w:pPr>
    </w:p>
    <w:p w14:paraId="6D7FF083">
      <w:pPr>
        <w:pStyle w:val="23"/>
        <w:keepNext w:val="0"/>
        <w:keepLines w:val="0"/>
        <w:pageBreakBefore w:val="0"/>
        <w:kinsoku/>
        <w:overflowPunct/>
        <w:bidi w:val="0"/>
        <w:snapToGrid w:val="0"/>
        <w:spacing w:line="360" w:lineRule="auto"/>
        <w:ind w:left="440" w:firstLine="480"/>
        <w:rPr>
          <w:rFonts w:hint="eastAsia" w:ascii="仿宋" w:hAnsi="仿宋" w:eastAsia="仿宋" w:cs="仿宋"/>
          <w:color w:val="auto"/>
          <w:highlight w:val="none"/>
        </w:rPr>
      </w:pPr>
    </w:p>
    <w:p w14:paraId="4C66AFB5">
      <w:pPr>
        <w:keepNext w:val="0"/>
        <w:keepLines w:val="0"/>
        <w:pageBreakBefore w:val="0"/>
        <w:kinsoku/>
        <w:overflowPunct/>
        <w:bidi w:val="0"/>
        <w:snapToGrid w:val="0"/>
        <w:spacing w:line="360" w:lineRule="auto"/>
        <w:rPr>
          <w:rFonts w:hint="eastAsia" w:ascii="仿宋" w:hAnsi="仿宋" w:eastAsia="仿宋" w:cs="仿宋"/>
          <w:color w:val="auto"/>
          <w:highlight w:val="none"/>
        </w:rPr>
      </w:pPr>
    </w:p>
    <w:p w14:paraId="29CF62D6">
      <w:pPr>
        <w:pStyle w:val="23"/>
        <w:keepNext w:val="0"/>
        <w:keepLines w:val="0"/>
        <w:pageBreakBefore w:val="0"/>
        <w:kinsoku/>
        <w:overflowPunct/>
        <w:bidi w:val="0"/>
        <w:snapToGrid w:val="0"/>
        <w:spacing w:line="360" w:lineRule="auto"/>
        <w:ind w:left="440" w:firstLine="480"/>
        <w:rPr>
          <w:rFonts w:hint="eastAsia" w:ascii="仿宋" w:hAnsi="仿宋" w:eastAsia="仿宋" w:cs="仿宋"/>
          <w:color w:val="auto"/>
          <w:highlight w:val="none"/>
        </w:rPr>
      </w:pPr>
    </w:p>
    <w:p w14:paraId="12262BEA">
      <w:pPr>
        <w:keepNext w:val="0"/>
        <w:keepLines w:val="0"/>
        <w:pageBreakBefore w:val="0"/>
        <w:kinsoku/>
        <w:overflowPunct/>
        <w:bidi w:val="0"/>
        <w:snapToGrid w:val="0"/>
        <w:spacing w:line="360" w:lineRule="auto"/>
        <w:rPr>
          <w:rFonts w:hint="eastAsia" w:ascii="仿宋" w:hAnsi="仿宋" w:eastAsia="仿宋" w:cs="仿宋"/>
          <w:color w:val="auto"/>
          <w:highlight w:val="none"/>
        </w:rPr>
      </w:pPr>
    </w:p>
    <w:p w14:paraId="33BFBF1A">
      <w:pPr>
        <w:pStyle w:val="23"/>
        <w:keepNext w:val="0"/>
        <w:keepLines w:val="0"/>
        <w:pageBreakBefore w:val="0"/>
        <w:kinsoku/>
        <w:overflowPunct/>
        <w:bidi w:val="0"/>
        <w:snapToGrid w:val="0"/>
        <w:spacing w:line="360" w:lineRule="auto"/>
        <w:ind w:left="440" w:firstLine="480"/>
        <w:rPr>
          <w:rFonts w:hint="eastAsia" w:ascii="仿宋" w:hAnsi="仿宋" w:eastAsia="仿宋" w:cs="仿宋"/>
          <w:color w:val="auto"/>
          <w:highlight w:val="none"/>
        </w:rPr>
      </w:pPr>
    </w:p>
    <w:p w14:paraId="557B60C7">
      <w:pPr>
        <w:keepNext w:val="0"/>
        <w:keepLines w:val="0"/>
        <w:pageBreakBefore w:val="0"/>
        <w:kinsoku/>
        <w:overflowPunct/>
        <w:bidi w:val="0"/>
        <w:snapToGrid w:val="0"/>
        <w:spacing w:line="360" w:lineRule="auto"/>
        <w:rPr>
          <w:rFonts w:hint="eastAsia" w:ascii="仿宋" w:hAnsi="仿宋" w:eastAsia="仿宋" w:cs="仿宋"/>
          <w:color w:val="auto"/>
          <w:highlight w:val="none"/>
        </w:rPr>
      </w:pPr>
    </w:p>
    <w:p w14:paraId="42B50AD9">
      <w:pPr>
        <w:keepNext w:val="0"/>
        <w:keepLines w:val="0"/>
        <w:pageBreakBefore w:val="0"/>
        <w:kinsoku/>
        <w:overflowPunct/>
        <w:bidi w:val="0"/>
        <w:snapToGrid w:val="0"/>
        <w:spacing w:line="360" w:lineRule="auto"/>
        <w:jc w:val="both"/>
        <w:rPr>
          <w:rFonts w:hint="eastAsia" w:ascii="仿宋" w:hAnsi="仿宋" w:eastAsia="仿宋" w:cs="仿宋"/>
          <w:b/>
          <w:color w:val="auto"/>
          <w:sz w:val="28"/>
          <w:szCs w:val="28"/>
          <w:highlight w:val="none"/>
        </w:rPr>
      </w:pPr>
    </w:p>
    <w:p w14:paraId="24281FCD">
      <w:pPr>
        <w:keepNext w:val="0"/>
        <w:keepLines w:val="0"/>
        <w:pageBreakBefore w:val="0"/>
        <w:kinsoku/>
        <w:overflowPunct/>
        <w:bidi w:val="0"/>
        <w:snapToGrid w:val="0"/>
        <w:spacing w:line="360" w:lineRule="auto"/>
        <w:jc w:val="both"/>
        <w:rPr>
          <w:rFonts w:hint="eastAsia" w:ascii="仿宋" w:hAnsi="仿宋" w:eastAsia="仿宋" w:cs="仿宋"/>
          <w:b/>
          <w:color w:val="auto"/>
          <w:sz w:val="28"/>
          <w:szCs w:val="28"/>
          <w:highlight w:val="none"/>
        </w:rPr>
      </w:pPr>
    </w:p>
    <w:p w14:paraId="3D844179">
      <w:pPr>
        <w:keepNext w:val="0"/>
        <w:keepLines w:val="0"/>
        <w:pageBreakBefore w:val="0"/>
        <w:kinsoku/>
        <w:overflowPunct/>
        <w:bidi w:val="0"/>
        <w:snapToGrid w:val="0"/>
        <w:spacing w:line="360" w:lineRule="auto"/>
        <w:jc w:val="both"/>
        <w:rPr>
          <w:rFonts w:hint="eastAsia" w:ascii="仿宋" w:hAnsi="仿宋" w:eastAsia="仿宋" w:cs="仿宋"/>
          <w:b/>
          <w:color w:val="auto"/>
          <w:sz w:val="28"/>
          <w:szCs w:val="28"/>
          <w:highlight w:val="none"/>
        </w:rPr>
      </w:pPr>
    </w:p>
    <w:p w14:paraId="167F0527">
      <w:pPr>
        <w:bidi w:val="0"/>
        <w:rPr>
          <w:rFonts w:hint="eastAsia"/>
          <w:lang w:val="en-US"/>
        </w:rPr>
      </w:pPr>
    </w:p>
    <w:p w14:paraId="330EEEAB">
      <w:pPr>
        <w:keepNext w:val="0"/>
        <w:keepLines w:val="0"/>
        <w:pageBreakBefore w:val="0"/>
        <w:kinsoku/>
        <w:overflowPunct/>
        <w:bidi w:val="0"/>
        <w:snapToGrid w:val="0"/>
        <w:spacing w:before="1" w:line="360" w:lineRule="auto"/>
        <w:ind w:left="2596" w:right="2595"/>
        <w:jc w:val="center"/>
        <w:outlineLvl w:val="1"/>
        <w:rPr>
          <w:rFonts w:hint="eastAsia" w:ascii="仿宋" w:hAnsi="仿宋" w:eastAsia="仿宋" w:cs="仿宋"/>
          <w:b/>
          <w:color w:val="auto"/>
          <w:sz w:val="24"/>
          <w:szCs w:val="24"/>
          <w:highlight w:val="none"/>
          <w:lang w:val="en-US"/>
        </w:rPr>
      </w:pPr>
      <w:bookmarkStart w:id="492" w:name="_Toc23712"/>
      <w:bookmarkStart w:id="493" w:name="_Toc20579"/>
      <w:r>
        <w:rPr>
          <w:rFonts w:hint="eastAsia" w:ascii="仿宋" w:hAnsi="仿宋" w:eastAsia="仿宋" w:cs="仿宋"/>
          <w:b/>
          <w:color w:val="auto"/>
          <w:sz w:val="24"/>
          <w:szCs w:val="24"/>
          <w:highlight w:val="none"/>
          <w:lang w:val="en-US"/>
        </w:rPr>
        <w:t>（</w:t>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lang w:val="en-US"/>
        </w:rPr>
        <w:t>）服务承诺</w:t>
      </w:r>
      <w:bookmarkEnd w:id="492"/>
      <w:bookmarkEnd w:id="493"/>
    </w:p>
    <w:p w14:paraId="74EA9B78">
      <w:pPr>
        <w:keepNext w:val="0"/>
        <w:keepLines w:val="0"/>
        <w:pageBreakBefore w:val="0"/>
        <w:kinsoku/>
        <w:overflowPunct/>
        <w:bidi w:val="0"/>
        <w:snapToGrid w:val="0"/>
        <w:spacing w:line="360" w:lineRule="auto"/>
        <w:ind w:right="12"/>
        <w:jc w:val="center"/>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lang w:bidi="ar"/>
        </w:rPr>
        <w:t>供应商根据本项目的特点及自身情况、</w:t>
      </w:r>
      <w:r>
        <w:rPr>
          <w:rFonts w:hint="eastAsia" w:ascii="仿宋" w:hAnsi="仿宋" w:eastAsia="仿宋" w:cs="仿宋"/>
          <w:color w:val="auto"/>
          <w:sz w:val="21"/>
          <w:szCs w:val="21"/>
          <w:highlight w:val="none"/>
        </w:rPr>
        <w:t>结合评分办法内容自拟</w:t>
      </w:r>
    </w:p>
    <w:p w14:paraId="05CAE9F7">
      <w:pPr>
        <w:pStyle w:val="5"/>
        <w:keepNext w:val="0"/>
        <w:keepLines w:val="0"/>
        <w:pageBreakBefore w:val="0"/>
        <w:kinsoku/>
        <w:overflowPunct/>
        <w:bidi w:val="0"/>
        <w:snapToGrid w:val="0"/>
        <w:spacing w:before="110" w:line="360" w:lineRule="auto"/>
        <w:ind w:right="2597"/>
        <w:outlineLvl w:val="9"/>
        <w:rPr>
          <w:rFonts w:hint="eastAsia" w:ascii="仿宋" w:hAnsi="仿宋" w:eastAsia="仿宋" w:cs="仿宋"/>
          <w:color w:val="auto"/>
          <w:highlight w:val="none"/>
          <w:lang w:val="en-US"/>
        </w:rPr>
        <w:sectPr>
          <w:pgSz w:w="11850" w:h="16790"/>
          <w:pgMar w:top="1600" w:right="1200" w:bottom="1180" w:left="1200" w:header="850" w:footer="994" w:gutter="0"/>
          <w:pgNumType w:fmt="decimal"/>
          <w:cols w:space="720" w:num="1"/>
        </w:sectPr>
      </w:pPr>
    </w:p>
    <w:p w14:paraId="77D59777">
      <w:pPr>
        <w:pStyle w:val="5"/>
        <w:keepNext w:val="0"/>
        <w:keepLines w:val="0"/>
        <w:pageBreakBefore w:val="0"/>
        <w:kinsoku/>
        <w:overflowPunct/>
        <w:bidi w:val="0"/>
        <w:snapToGrid w:val="0"/>
        <w:spacing w:before="110" w:line="360" w:lineRule="auto"/>
        <w:ind w:right="2597"/>
        <w:rPr>
          <w:rFonts w:hint="eastAsia" w:ascii="仿宋" w:hAnsi="仿宋" w:eastAsia="仿宋" w:cs="仿宋"/>
          <w:color w:val="auto"/>
          <w:highlight w:val="none"/>
        </w:rPr>
      </w:pPr>
      <w:bookmarkStart w:id="494" w:name="_Toc20773"/>
      <w:bookmarkStart w:id="495" w:name="_Toc30267"/>
      <w:r>
        <w:rPr>
          <w:rFonts w:hint="eastAsia" w:ascii="仿宋" w:hAnsi="仿宋" w:eastAsia="仿宋" w:cs="仿宋"/>
          <w:color w:val="auto"/>
          <w:highlight w:val="none"/>
          <w:lang w:val="en-US" w:eastAsia="zh-CN"/>
        </w:rPr>
        <w:t>六</w:t>
      </w:r>
      <w:r>
        <w:rPr>
          <w:rFonts w:hint="eastAsia" w:ascii="仿宋" w:hAnsi="仿宋" w:eastAsia="仿宋" w:cs="仿宋"/>
          <w:color w:val="auto"/>
          <w:highlight w:val="none"/>
          <w:lang w:val="en-US"/>
        </w:rPr>
        <w:t>、</w:t>
      </w:r>
      <w:r>
        <w:rPr>
          <w:rFonts w:hint="eastAsia" w:ascii="仿宋" w:hAnsi="仿宋" w:eastAsia="仿宋" w:cs="仿宋"/>
          <w:color w:val="auto"/>
          <w:highlight w:val="none"/>
        </w:rPr>
        <w:t>项目管理机构</w:t>
      </w:r>
      <w:bookmarkEnd w:id="494"/>
      <w:bookmarkEnd w:id="495"/>
    </w:p>
    <w:p w14:paraId="04BF9E76">
      <w:pPr>
        <w:keepNext w:val="0"/>
        <w:keepLines w:val="0"/>
        <w:pageBreakBefore w:val="0"/>
        <w:kinsoku/>
        <w:overflowPunct/>
        <w:bidi w:val="0"/>
        <w:snapToGrid w:val="0"/>
        <w:spacing w:before="156" w:after="156"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1.项目管理机构组成表</w:t>
      </w:r>
    </w:p>
    <w:tbl>
      <w:tblPr>
        <w:tblStyle w:val="24"/>
        <w:tblW w:w="0" w:type="auto"/>
        <w:tblInd w:w="108" w:type="dxa"/>
        <w:tblLayout w:type="fixed"/>
        <w:tblCellMar>
          <w:top w:w="0" w:type="dxa"/>
          <w:left w:w="108" w:type="dxa"/>
          <w:bottom w:w="0" w:type="dxa"/>
          <w:right w:w="108" w:type="dxa"/>
        </w:tblCellMar>
      </w:tblPr>
      <w:tblGrid>
        <w:gridCol w:w="1021"/>
        <w:gridCol w:w="1020"/>
        <w:gridCol w:w="1020"/>
        <w:gridCol w:w="1625"/>
        <w:gridCol w:w="1108"/>
        <w:gridCol w:w="1133"/>
        <w:gridCol w:w="1222"/>
        <w:gridCol w:w="1020"/>
        <w:gridCol w:w="9"/>
      </w:tblGrid>
      <w:tr w14:paraId="22D21879">
        <w:tblPrEx>
          <w:tblCellMar>
            <w:top w:w="0" w:type="dxa"/>
            <w:left w:w="108" w:type="dxa"/>
            <w:bottom w:w="0" w:type="dxa"/>
            <w:right w:w="108" w:type="dxa"/>
          </w:tblCellMar>
        </w:tblPrEx>
        <w:trPr>
          <w:trHeight w:val="355" w:hRule="atLeast"/>
        </w:trPr>
        <w:tc>
          <w:tcPr>
            <w:tcW w:w="102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DAE1F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职务</w:t>
            </w:r>
          </w:p>
        </w:tc>
        <w:tc>
          <w:tcPr>
            <w:tcW w:w="102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7E19D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102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CFBBA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tc>
        <w:tc>
          <w:tcPr>
            <w:tcW w:w="5088" w:type="dxa"/>
            <w:gridSpan w:val="4"/>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4406545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执业或职业资格证明</w:t>
            </w:r>
          </w:p>
        </w:tc>
        <w:tc>
          <w:tcPr>
            <w:tcW w:w="102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E7129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14:paraId="3DF16FB5">
        <w:tblPrEx>
          <w:tblCellMar>
            <w:top w:w="0" w:type="dxa"/>
            <w:left w:w="108" w:type="dxa"/>
            <w:bottom w:w="0" w:type="dxa"/>
            <w:right w:w="108" w:type="dxa"/>
          </w:tblCellMar>
        </w:tblPrEx>
        <w:trPr>
          <w:gridAfter w:val="1"/>
          <w:wAfter w:w="9" w:type="dxa"/>
          <w:trHeight w:val="355" w:hRule="atLeast"/>
        </w:trPr>
        <w:tc>
          <w:tcPr>
            <w:tcW w:w="102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2EE5E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AB13C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F4E37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E12C9D">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证书名称</w:t>
            </w: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BC54F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级别</w:t>
            </w: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81CAA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证号</w:t>
            </w:r>
          </w:p>
        </w:tc>
        <w:tc>
          <w:tcPr>
            <w:tcW w:w="122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3FCF5B1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w:t>
            </w:r>
          </w:p>
        </w:tc>
        <w:tc>
          <w:tcPr>
            <w:tcW w:w="1020"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64CB8802">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6BE6BC3D">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5D554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1B94C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56474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E96F1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A3DFE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08D2F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66F67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618BA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05DDFB4C">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35429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66925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F82E5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CBDAA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58F51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77562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7FEDDE">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8D61C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22FF528A">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BBABF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6DE5B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7BA0D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9C767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3F2D3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48EE3B">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8F4B1B">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5CAD3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1B9A6EB5">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C40FA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839B6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4B59E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1F88E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2BEE2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DE547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A7254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B88AE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40AE0771">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F593FE">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397F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BA090F">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33C51E">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1C385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A7B1E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D42C6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6DDE4B">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1274370F">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EF3C4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938FBE">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EB269D">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12005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B444F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29F35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DECAA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E0CFC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5BDA7745">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1272B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5DC57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DF6F6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2F752B">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07BBD2">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D5037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30093D">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176B1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7FCD8A08">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16218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EC2B7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9529E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3BDD6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C4254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186CD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643D4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BCDBA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7D874B95">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20D5F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A5127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CB607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3ABBE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BA87F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A16E2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F5979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5C60D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3BF7B770">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3079A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A127F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DBF78B">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DE050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B509F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14717D">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286FE2">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86730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77AFD648">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EA2DB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58311D">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894DFE">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12C43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F73270">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7E83C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8F7D6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5E3B6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29992B6B">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756B6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BE36D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CC0D9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C4776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8D7BF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5C8190">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11E30F">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E80B8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018733ED">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F5E35D">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8E468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AD378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868BF0">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158D9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48025B">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525A9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F5151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2003EEE1">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1124DE">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39C1F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FD89E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9275CD">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B718E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092EE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18CCF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35C7BF">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0ED9240A">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E0090E">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680EE0">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1BE94E">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E2ADF0">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E11D8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5C4C2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FE3E2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6E2F92">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6E38051F">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5D3702">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5CCACF">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48A110">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F6EB90">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FDF02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07CD4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491000">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B2B60B">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77B3A11C">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5D6D7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1CF11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58DCC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9ABB4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33FFC5">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78CE8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36073B">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429D80">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0DB3F813">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7310B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341AB2">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4081D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11BFF2">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FDD770">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A44162">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BFEC9B">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7114F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55BAFE67">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8851BD">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01CA6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05E950">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42452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61B14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95EDE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28D9F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E2414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1045DE2F">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0CAD4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75F9F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F38FBB">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9947BE">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232B5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350BC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90705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AB690E">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21547E0A">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AD2886">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A5970B">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CDB5F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B6E28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0036F2">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4ECA2F">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58BB7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25656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2C66F5A8">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D4504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71D6F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0AD2AF">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EAF14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5F417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D3A4D9">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E1E87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2A42CB">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02EA0E42">
        <w:tblPrEx>
          <w:tblCellMar>
            <w:top w:w="0" w:type="dxa"/>
            <w:left w:w="108" w:type="dxa"/>
            <w:bottom w:w="0" w:type="dxa"/>
            <w:right w:w="108" w:type="dxa"/>
          </w:tblCellMar>
        </w:tblPrEx>
        <w:trPr>
          <w:gridAfter w:val="1"/>
          <w:wAfter w:w="9" w:type="dxa"/>
          <w:trHeight w:val="355"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03AF0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312E60">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1B20DD">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04C134">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898892">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0FE0FA">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DEB1F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50B697">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r w14:paraId="1A2D0124">
        <w:tblPrEx>
          <w:tblCellMar>
            <w:top w:w="0" w:type="dxa"/>
            <w:left w:w="108" w:type="dxa"/>
            <w:bottom w:w="0" w:type="dxa"/>
            <w:right w:w="108" w:type="dxa"/>
          </w:tblCellMar>
        </w:tblPrEx>
        <w:trPr>
          <w:gridAfter w:val="1"/>
          <w:wAfter w:w="9" w:type="dxa"/>
          <w:trHeight w:val="363" w:hRule="atLeast"/>
        </w:trPr>
        <w:tc>
          <w:tcPr>
            <w:tcW w:w="1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C4D0CB">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484732">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6E70D3">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6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8DA91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1F43AC">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1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F4053E">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2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E32508">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49FE21">
            <w:pPr>
              <w:keepNext w:val="0"/>
              <w:keepLines w:val="0"/>
              <w:pageBreakBefore w:val="0"/>
              <w:kinsoku/>
              <w:overflowPunct/>
              <w:bidi w:val="0"/>
              <w:snapToGrid w:val="0"/>
              <w:spacing w:line="360" w:lineRule="auto"/>
              <w:jc w:val="center"/>
              <w:rPr>
                <w:rFonts w:hint="eastAsia" w:ascii="仿宋" w:hAnsi="仿宋" w:eastAsia="仿宋" w:cs="仿宋"/>
                <w:color w:val="auto"/>
                <w:sz w:val="21"/>
                <w:szCs w:val="21"/>
                <w:highlight w:val="none"/>
              </w:rPr>
            </w:pPr>
          </w:p>
        </w:tc>
      </w:tr>
    </w:tbl>
    <w:p w14:paraId="1FAEA776">
      <w:pPr>
        <w:keepNext w:val="0"/>
        <w:keepLines w:val="0"/>
        <w:pageBreakBefore w:val="0"/>
        <w:kinsoku/>
        <w:overflowPunct/>
        <w:bidi w:val="0"/>
        <w:snapToGrid w:val="0"/>
        <w:spacing w:line="360" w:lineRule="auto"/>
        <w:rPr>
          <w:rFonts w:hint="eastAsia" w:ascii="仿宋" w:hAnsi="仿宋" w:eastAsia="仿宋" w:cs="仿宋"/>
          <w:color w:val="auto"/>
          <w:highlight w:val="none"/>
        </w:rPr>
      </w:pPr>
    </w:p>
    <w:p w14:paraId="0105B772">
      <w:pPr>
        <w:pStyle w:val="22"/>
        <w:keepNext w:val="0"/>
        <w:keepLines w:val="0"/>
        <w:pageBreakBefore w:val="0"/>
        <w:kinsoku/>
        <w:overflowPunct/>
        <w:bidi w:val="0"/>
        <w:snapToGrid w:val="0"/>
        <w:spacing w:line="360" w:lineRule="auto"/>
        <w:ind w:firstLine="21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FAE114D">
      <w:pPr>
        <w:pStyle w:val="5"/>
        <w:keepNext w:val="0"/>
        <w:keepLines w:val="0"/>
        <w:pageBreakBefore w:val="0"/>
        <w:kinsoku/>
        <w:overflowPunct/>
        <w:bidi w:val="0"/>
        <w:snapToGrid w:val="0"/>
        <w:spacing w:line="360" w:lineRule="auto"/>
        <w:ind w:right="2595"/>
        <w:rPr>
          <w:rFonts w:hint="eastAsia" w:ascii="仿宋" w:hAnsi="仿宋" w:eastAsia="仿宋" w:cs="仿宋"/>
          <w:color w:val="auto"/>
          <w:highlight w:val="none"/>
          <w:lang w:val="en-US"/>
        </w:rPr>
      </w:pPr>
      <w:bookmarkStart w:id="496" w:name="_Toc46"/>
      <w:bookmarkStart w:id="497" w:name="_Toc1216"/>
      <w:bookmarkStart w:id="498" w:name="_Toc1256"/>
      <w:r>
        <w:rPr>
          <w:rFonts w:hint="eastAsia" w:ascii="仿宋" w:hAnsi="仿宋" w:eastAsia="仿宋" w:cs="仿宋"/>
          <w:color w:val="auto"/>
          <w:highlight w:val="none"/>
          <w:lang w:val="en-US" w:eastAsia="zh-CN"/>
        </w:rPr>
        <w:t>七</w:t>
      </w:r>
      <w:r>
        <w:rPr>
          <w:rFonts w:hint="eastAsia" w:ascii="仿宋" w:hAnsi="仿宋" w:eastAsia="仿宋" w:cs="仿宋"/>
          <w:color w:val="auto"/>
          <w:highlight w:val="none"/>
        </w:rPr>
        <w:t>、</w:t>
      </w:r>
      <w:r>
        <w:rPr>
          <w:rFonts w:hint="eastAsia" w:ascii="仿宋" w:hAnsi="仿宋" w:eastAsia="仿宋" w:cs="仿宋"/>
          <w:color w:val="auto"/>
          <w:highlight w:val="none"/>
          <w:lang w:val="en-US"/>
        </w:rPr>
        <w:t>技术部分</w:t>
      </w:r>
      <w:bookmarkEnd w:id="496"/>
      <w:bookmarkEnd w:id="497"/>
      <w:bookmarkEnd w:id="498"/>
    </w:p>
    <w:p w14:paraId="38AB5F9C">
      <w:pPr>
        <w:pStyle w:val="9"/>
        <w:keepNext w:val="0"/>
        <w:keepLines w:val="0"/>
        <w:pageBreakBefore w:val="0"/>
        <w:kinsoku/>
        <w:overflowPunct/>
        <w:bidi w:val="0"/>
        <w:snapToGrid w:val="0"/>
        <w:spacing w:line="360" w:lineRule="auto"/>
        <w:rPr>
          <w:rFonts w:hint="eastAsia" w:ascii="仿宋" w:hAnsi="仿宋" w:eastAsia="仿宋" w:cs="仿宋"/>
          <w:color w:val="auto"/>
          <w:sz w:val="24"/>
          <w:szCs w:val="24"/>
          <w:highlight w:val="none"/>
          <w:lang w:val="en-US"/>
        </w:rPr>
      </w:pPr>
    </w:p>
    <w:p w14:paraId="1374A79A">
      <w:pPr>
        <w:pStyle w:val="9"/>
        <w:keepNext w:val="0"/>
        <w:keepLines w:val="0"/>
        <w:pageBreakBefore w:val="0"/>
        <w:kinsoku/>
        <w:overflowPunct/>
        <w:bidi w:val="0"/>
        <w:snapToGrid w:val="0"/>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1.融资方案</w:t>
      </w:r>
    </w:p>
    <w:p w14:paraId="4AB4CB8C">
      <w:pPr>
        <w:pStyle w:val="9"/>
        <w:keepNext w:val="0"/>
        <w:keepLines w:val="0"/>
        <w:pageBreakBefore w:val="0"/>
        <w:kinsoku/>
        <w:overflowPunct/>
        <w:bidi w:val="0"/>
        <w:snapToGrid w:val="0"/>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lang w:val="en-US" w:eastAsia="zh-CN"/>
        </w:rPr>
        <w:t>项目公司组建</w:t>
      </w:r>
      <w:r>
        <w:rPr>
          <w:rFonts w:hint="eastAsia" w:ascii="仿宋" w:hAnsi="仿宋" w:eastAsia="仿宋" w:cs="仿宋"/>
          <w:color w:val="auto"/>
          <w:sz w:val="24"/>
          <w:szCs w:val="24"/>
          <w:highlight w:val="none"/>
          <w:lang w:val="en-US"/>
        </w:rPr>
        <w:t>方案</w:t>
      </w:r>
    </w:p>
    <w:p w14:paraId="29D733C7">
      <w:pPr>
        <w:pStyle w:val="9"/>
        <w:keepNext w:val="0"/>
        <w:keepLines w:val="0"/>
        <w:pageBreakBefore w:val="0"/>
        <w:kinsoku/>
        <w:overflowPunct/>
        <w:bidi w:val="0"/>
        <w:snapToGrid w:val="0"/>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rPr>
        <w:t>.运营方案</w:t>
      </w:r>
    </w:p>
    <w:p w14:paraId="0927FA95">
      <w:pPr>
        <w:pStyle w:val="9"/>
        <w:keepNext w:val="0"/>
        <w:keepLines w:val="0"/>
        <w:pageBreakBefore w:val="0"/>
        <w:kinsoku/>
        <w:overflowPunct/>
        <w:bidi w:val="0"/>
        <w:snapToGrid w:val="0"/>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rPr>
        <w:t>.移交方案</w:t>
      </w:r>
    </w:p>
    <w:p w14:paraId="15B4E87E">
      <w:pPr>
        <w:pStyle w:val="9"/>
        <w:keepNext w:val="0"/>
        <w:keepLines w:val="0"/>
        <w:pageBreakBefore w:val="0"/>
        <w:kinsoku/>
        <w:overflowPunct/>
        <w:bidi w:val="0"/>
        <w:snapToGrid w:val="0"/>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w:t>
      </w:r>
    </w:p>
    <w:p w14:paraId="59980DEF">
      <w:pPr>
        <w:pStyle w:val="2"/>
        <w:keepNext w:val="0"/>
        <w:keepLines w:val="0"/>
        <w:pageBreakBefore w:val="0"/>
        <w:kinsoku/>
        <w:overflowPunct/>
        <w:bidi w:val="0"/>
        <w:snapToGrid w:val="0"/>
        <w:spacing w:line="360" w:lineRule="auto"/>
        <w:rPr>
          <w:rFonts w:hint="eastAsia" w:ascii="仿宋" w:hAnsi="仿宋" w:eastAsia="仿宋" w:cs="仿宋"/>
          <w:b/>
          <w:color w:val="auto"/>
          <w:sz w:val="20"/>
          <w:highlight w:val="none"/>
        </w:rPr>
      </w:pPr>
    </w:p>
    <w:p w14:paraId="68A39ED8">
      <w:pPr>
        <w:pStyle w:val="2"/>
        <w:keepNext w:val="0"/>
        <w:keepLines w:val="0"/>
        <w:pageBreakBefore w:val="0"/>
        <w:kinsoku/>
        <w:overflowPunct/>
        <w:bidi w:val="0"/>
        <w:snapToGrid w:val="0"/>
        <w:spacing w:before="4" w:line="360" w:lineRule="auto"/>
        <w:rPr>
          <w:rFonts w:hint="eastAsia" w:ascii="仿宋" w:hAnsi="仿宋" w:eastAsia="仿宋" w:cs="仿宋"/>
          <w:b/>
          <w:color w:val="auto"/>
          <w:sz w:val="18"/>
          <w:highlight w:val="none"/>
        </w:rPr>
      </w:pPr>
    </w:p>
    <w:p w14:paraId="5F54EB95">
      <w:pPr>
        <w:pStyle w:val="2"/>
        <w:keepNext w:val="0"/>
        <w:keepLines w:val="0"/>
        <w:pageBreakBefore w:val="0"/>
        <w:kinsoku/>
        <w:overflowPunct/>
        <w:bidi w:val="0"/>
        <w:snapToGrid w:val="0"/>
        <w:spacing w:line="360" w:lineRule="auto"/>
        <w:ind w:right="450" w:firstLine="480" w:firstLineChars="200"/>
        <w:rPr>
          <w:rFonts w:hint="eastAsia" w:ascii="仿宋" w:hAnsi="仿宋" w:eastAsia="仿宋" w:cs="仿宋"/>
          <w:color w:val="auto"/>
          <w:sz w:val="24"/>
          <w:szCs w:val="24"/>
          <w:highlight w:val="none"/>
        </w:rPr>
      </w:pPr>
    </w:p>
    <w:p w14:paraId="1672A64F">
      <w:pPr>
        <w:pStyle w:val="5"/>
        <w:keepNext w:val="0"/>
        <w:keepLines w:val="0"/>
        <w:pageBreakBefore w:val="0"/>
        <w:kinsoku/>
        <w:overflowPunct/>
        <w:bidi w:val="0"/>
        <w:snapToGrid w:val="0"/>
        <w:spacing w:line="360" w:lineRule="auto"/>
        <w:ind w:right="2595"/>
        <w:outlineLvl w:val="9"/>
        <w:rPr>
          <w:rFonts w:hint="eastAsia" w:ascii="仿宋" w:hAnsi="仿宋" w:eastAsia="仿宋" w:cs="仿宋"/>
          <w:color w:val="auto"/>
          <w:highlight w:val="none"/>
        </w:rPr>
      </w:pPr>
    </w:p>
    <w:p w14:paraId="0D396073">
      <w:pPr>
        <w:pStyle w:val="5"/>
        <w:keepNext w:val="0"/>
        <w:keepLines w:val="0"/>
        <w:pageBreakBefore w:val="0"/>
        <w:kinsoku/>
        <w:overflowPunct/>
        <w:bidi w:val="0"/>
        <w:snapToGrid w:val="0"/>
        <w:spacing w:line="360" w:lineRule="auto"/>
        <w:ind w:right="2595"/>
        <w:outlineLvl w:val="9"/>
        <w:rPr>
          <w:rFonts w:hint="eastAsia" w:ascii="仿宋" w:hAnsi="仿宋" w:eastAsia="仿宋" w:cs="仿宋"/>
          <w:color w:val="auto"/>
          <w:highlight w:val="none"/>
        </w:rPr>
      </w:pPr>
    </w:p>
    <w:p w14:paraId="5AF60E97">
      <w:pPr>
        <w:pStyle w:val="5"/>
        <w:keepNext w:val="0"/>
        <w:keepLines w:val="0"/>
        <w:pageBreakBefore w:val="0"/>
        <w:kinsoku/>
        <w:overflowPunct/>
        <w:bidi w:val="0"/>
        <w:snapToGrid w:val="0"/>
        <w:spacing w:line="360" w:lineRule="auto"/>
        <w:ind w:right="2595"/>
        <w:outlineLvl w:val="9"/>
        <w:rPr>
          <w:rFonts w:hint="eastAsia" w:ascii="仿宋" w:hAnsi="仿宋" w:eastAsia="仿宋" w:cs="仿宋"/>
          <w:color w:val="auto"/>
          <w:highlight w:val="none"/>
        </w:rPr>
      </w:pPr>
    </w:p>
    <w:p w14:paraId="57DD5353">
      <w:pPr>
        <w:pStyle w:val="5"/>
        <w:keepNext w:val="0"/>
        <w:keepLines w:val="0"/>
        <w:pageBreakBefore w:val="0"/>
        <w:kinsoku/>
        <w:overflowPunct/>
        <w:bidi w:val="0"/>
        <w:snapToGrid w:val="0"/>
        <w:spacing w:line="360" w:lineRule="auto"/>
        <w:ind w:right="2595"/>
        <w:outlineLvl w:val="9"/>
        <w:rPr>
          <w:rFonts w:hint="eastAsia" w:ascii="仿宋" w:hAnsi="仿宋" w:eastAsia="仿宋" w:cs="仿宋"/>
          <w:color w:val="auto"/>
          <w:highlight w:val="none"/>
        </w:rPr>
      </w:pPr>
    </w:p>
    <w:p w14:paraId="450D09A6">
      <w:pPr>
        <w:pStyle w:val="5"/>
        <w:keepNext w:val="0"/>
        <w:keepLines w:val="0"/>
        <w:pageBreakBefore w:val="0"/>
        <w:kinsoku/>
        <w:overflowPunct/>
        <w:bidi w:val="0"/>
        <w:snapToGrid w:val="0"/>
        <w:spacing w:line="360" w:lineRule="auto"/>
        <w:ind w:right="2595"/>
        <w:outlineLvl w:val="9"/>
        <w:rPr>
          <w:rFonts w:hint="eastAsia" w:ascii="仿宋" w:hAnsi="仿宋" w:eastAsia="仿宋" w:cs="仿宋"/>
          <w:color w:val="auto"/>
          <w:highlight w:val="none"/>
        </w:rPr>
      </w:pPr>
    </w:p>
    <w:p w14:paraId="1F9DF080">
      <w:pPr>
        <w:pStyle w:val="5"/>
        <w:keepNext w:val="0"/>
        <w:keepLines w:val="0"/>
        <w:pageBreakBefore w:val="0"/>
        <w:kinsoku/>
        <w:overflowPunct/>
        <w:bidi w:val="0"/>
        <w:snapToGrid w:val="0"/>
        <w:spacing w:line="360" w:lineRule="auto"/>
        <w:ind w:right="2595"/>
        <w:outlineLvl w:val="9"/>
        <w:rPr>
          <w:rFonts w:hint="eastAsia" w:ascii="仿宋" w:hAnsi="仿宋" w:eastAsia="仿宋" w:cs="仿宋"/>
          <w:color w:val="auto"/>
          <w:highlight w:val="none"/>
        </w:rPr>
      </w:pPr>
    </w:p>
    <w:p w14:paraId="061FF6C6">
      <w:pPr>
        <w:pStyle w:val="5"/>
        <w:keepNext w:val="0"/>
        <w:keepLines w:val="0"/>
        <w:pageBreakBefore w:val="0"/>
        <w:kinsoku/>
        <w:overflowPunct/>
        <w:bidi w:val="0"/>
        <w:snapToGrid w:val="0"/>
        <w:spacing w:line="360" w:lineRule="auto"/>
        <w:ind w:right="2595"/>
        <w:outlineLvl w:val="9"/>
        <w:rPr>
          <w:rFonts w:hint="eastAsia" w:ascii="仿宋" w:hAnsi="仿宋" w:eastAsia="仿宋" w:cs="仿宋"/>
          <w:color w:val="auto"/>
          <w:highlight w:val="none"/>
        </w:rPr>
      </w:pPr>
    </w:p>
    <w:p w14:paraId="0C55BA46">
      <w:pPr>
        <w:pStyle w:val="5"/>
        <w:keepNext w:val="0"/>
        <w:keepLines w:val="0"/>
        <w:pageBreakBefore w:val="0"/>
        <w:kinsoku/>
        <w:overflowPunct/>
        <w:bidi w:val="0"/>
        <w:snapToGrid w:val="0"/>
        <w:spacing w:line="360" w:lineRule="auto"/>
        <w:ind w:right="2595"/>
        <w:outlineLvl w:val="9"/>
        <w:rPr>
          <w:rFonts w:hint="eastAsia" w:ascii="仿宋" w:hAnsi="仿宋" w:eastAsia="仿宋" w:cs="仿宋"/>
          <w:color w:val="auto"/>
          <w:highlight w:val="none"/>
        </w:rPr>
      </w:pPr>
    </w:p>
    <w:p w14:paraId="4B6AC98A">
      <w:pPr>
        <w:pStyle w:val="5"/>
        <w:keepNext w:val="0"/>
        <w:keepLines w:val="0"/>
        <w:pageBreakBefore w:val="0"/>
        <w:kinsoku/>
        <w:overflowPunct/>
        <w:bidi w:val="0"/>
        <w:snapToGrid w:val="0"/>
        <w:spacing w:line="360" w:lineRule="auto"/>
        <w:ind w:right="2595"/>
        <w:outlineLvl w:val="9"/>
        <w:rPr>
          <w:rFonts w:hint="eastAsia" w:ascii="仿宋" w:hAnsi="仿宋" w:eastAsia="仿宋" w:cs="仿宋"/>
          <w:color w:val="auto"/>
          <w:highlight w:val="none"/>
        </w:rPr>
      </w:pPr>
    </w:p>
    <w:p w14:paraId="42D9CA84">
      <w:pPr>
        <w:pStyle w:val="5"/>
        <w:keepNext w:val="0"/>
        <w:keepLines w:val="0"/>
        <w:pageBreakBefore w:val="0"/>
        <w:kinsoku/>
        <w:overflowPunct/>
        <w:bidi w:val="0"/>
        <w:snapToGrid w:val="0"/>
        <w:spacing w:line="360" w:lineRule="auto"/>
        <w:ind w:right="2595"/>
        <w:outlineLvl w:val="9"/>
        <w:rPr>
          <w:rFonts w:hint="eastAsia" w:ascii="仿宋" w:hAnsi="仿宋" w:eastAsia="仿宋" w:cs="仿宋"/>
          <w:color w:val="auto"/>
          <w:highlight w:val="none"/>
        </w:rPr>
      </w:pPr>
    </w:p>
    <w:p w14:paraId="04421496">
      <w:pPr>
        <w:pStyle w:val="5"/>
        <w:keepNext w:val="0"/>
        <w:keepLines w:val="0"/>
        <w:pageBreakBefore w:val="0"/>
        <w:kinsoku/>
        <w:overflowPunct/>
        <w:bidi w:val="0"/>
        <w:snapToGrid w:val="0"/>
        <w:spacing w:line="360" w:lineRule="auto"/>
        <w:ind w:right="2595"/>
        <w:outlineLvl w:val="9"/>
        <w:rPr>
          <w:rFonts w:hint="eastAsia" w:ascii="仿宋" w:hAnsi="仿宋" w:eastAsia="仿宋" w:cs="仿宋"/>
          <w:color w:val="auto"/>
          <w:highlight w:val="none"/>
        </w:rPr>
      </w:pPr>
    </w:p>
    <w:p w14:paraId="5D2DA49A">
      <w:pPr>
        <w:pStyle w:val="5"/>
        <w:keepNext w:val="0"/>
        <w:keepLines w:val="0"/>
        <w:pageBreakBefore w:val="0"/>
        <w:kinsoku/>
        <w:overflowPunct/>
        <w:bidi w:val="0"/>
        <w:snapToGrid w:val="0"/>
        <w:spacing w:line="360" w:lineRule="auto"/>
        <w:ind w:right="2595"/>
        <w:outlineLvl w:val="9"/>
        <w:rPr>
          <w:rFonts w:hint="eastAsia" w:ascii="仿宋" w:hAnsi="仿宋" w:eastAsia="仿宋" w:cs="仿宋"/>
          <w:color w:val="auto"/>
          <w:highlight w:val="none"/>
        </w:rPr>
      </w:pPr>
    </w:p>
    <w:p w14:paraId="02D3A83B">
      <w:pPr>
        <w:pStyle w:val="5"/>
        <w:keepNext w:val="0"/>
        <w:keepLines w:val="0"/>
        <w:pageBreakBefore w:val="0"/>
        <w:kinsoku/>
        <w:overflowPunct/>
        <w:bidi w:val="0"/>
        <w:snapToGrid w:val="0"/>
        <w:spacing w:line="360" w:lineRule="auto"/>
        <w:ind w:right="2595"/>
        <w:outlineLvl w:val="9"/>
        <w:rPr>
          <w:rFonts w:hint="eastAsia" w:ascii="仿宋" w:hAnsi="仿宋" w:eastAsia="仿宋" w:cs="仿宋"/>
          <w:color w:val="auto"/>
          <w:highlight w:val="none"/>
        </w:rPr>
      </w:pPr>
    </w:p>
    <w:p w14:paraId="50D8066D">
      <w:pPr>
        <w:pStyle w:val="5"/>
        <w:keepNext w:val="0"/>
        <w:keepLines w:val="0"/>
        <w:pageBreakBefore w:val="0"/>
        <w:kinsoku/>
        <w:overflowPunct/>
        <w:bidi w:val="0"/>
        <w:snapToGrid w:val="0"/>
        <w:spacing w:line="360" w:lineRule="auto"/>
        <w:ind w:right="2595"/>
        <w:outlineLvl w:val="9"/>
        <w:rPr>
          <w:rFonts w:hint="eastAsia" w:ascii="仿宋" w:hAnsi="仿宋" w:eastAsia="仿宋" w:cs="仿宋"/>
          <w:color w:val="auto"/>
          <w:highlight w:val="none"/>
        </w:rPr>
      </w:pPr>
    </w:p>
    <w:p w14:paraId="23C8DE6D">
      <w:pPr>
        <w:pStyle w:val="5"/>
        <w:keepNext w:val="0"/>
        <w:keepLines w:val="0"/>
        <w:pageBreakBefore w:val="0"/>
        <w:kinsoku/>
        <w:overflowPunct/>
        <w:bidi w:val="0"/>
        <w:snapToGrid w:val="0"/>
        <w:spacing w:before="61" w:line="360" w:lineRule="auto"/>
        <w:ind w:right="2597"/>
        <w:rPr>
          <w:rFonts w:hint="eastAsia" w:ascii="仿宋" w:hAnsi="仿宋" w:eastAsia="仿宋" w:cs="仿宋"/>
          <w:color w:val="auto"/>
          <w:highlight w:val="none"/>
          <w:lang w:val="en-US"/>
        </w:rPr>
        <w:sectPr>
          <w:pgSz w:w="11850" w:h="16790"/>
          <w:pgMar w:top="1600" w:right="1200" w:bottom="1180" w:left="1200" w:header="850" w:footer="994" w:gutter="0"/>
          <w:pgNumType w:fmt="decimal"/>
          <w:cols w:space="720" w:num="1"/>
        </w:sectPr>
      </w:pPr>
      <w:bookmarkStart w:id="499" w:name="_Toc1675"/>
    </w:p>
    <w:p w14:paraId="4807F52F">
      <w:pPr>
        <w:pStyle w:val="5"/>
        <w:keepNext w:val="0"/>
        <w:keepLines w:val="0"/>
        <w:pageBreakBefore w:val="0"/>
        <w:kinsoku/>
        <w:overflowPunct/>
        <w:bidi w:val="0"/>
        <w:snapToGrid w:val="0"/>
        <w:spacing w:before="61" w:line="360" w:lineRule="auto"/>
        <w:ind w:right="2597"/>
        <w:rPr>
          <w:rFonts w:hint="eastAsia" w:ascii="仿宋" w:hAnsi="仿宋" w:eastAsia="仿宋" w:cs="仿宋"/>
          <w:color w:val="auto"/>
          <w:highlight w:val="none"/>
        </w:rPr>
      </w:pPr>
      <w:bookmarkStart w:id="500" w:name="_Toc32024"/>
      <w:bookmarkStart w:id="501" w:name="_Toc29242"/>
      <w:r>
        <w:rPr>
          <w:rFonts w:hint="eastAsia" w:ascii="仿宋" w:hAnsi="仿宋" w:eastAsia="仿宋" w:cs="仿宋"/>
          <w:color w:val="auto"/>
          <w:highlight w:val="none"/>
          <w:lang w:val="en-US" w:eastAsia="zh-CN"/>
        </w:rPr>
        <w:t>八</w:t>
      </w:r>
      <w:r>
        <w:rPr>
          <w:rFonts w:hint="eastAsia" w:ascii="仿宋" w:hAnsi="仿宋" w:eastAsia="仿宋" w:cs="仿宋"/>
          <w:color w:val="auto"/>
          <w:highlight w:val="none"/>
        </w:rPr>
        <w:t>、其他材料</w:t>
      </w:r>
      <w:bookmarkEnd w:id="499"/>
      <w:bookmarkEnd w:id="500"/>
      <w:bookmarkEnd w:id="501"/>
    </w:p>
    <w:p w14:paraId="60FDA5CA">
      <w:pPr>
        <w:pStyle w:val="2"/>
        <w:keepNext w:val="0"/>
        <w:keepLines w:val="0"/>
        <w:pageBreakBefore w:val="0"/>
        <w:kinsoku/>
        <w:overflowPunct/>
        <w:bidi w:val="0"/>
        <w:snapToGrid w:val="0"/>
        <w:spacing w:before="43"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供应商认为</w:t>
      </w:r>
      <w:r>
        <w:rPr>
          <w:rFonts w:hint="eastAsia" w:ascii="仿宋" w:hAnsi="仿宋" w:eastAsia="仿宋" w:cs="仿宋"/>
          <w:color w:val="auto"/>
          <w:highlight w:val="none"/>
          <w:lang w:val="en-US"/>
        </w:rPr>
        <w:t>应附</w:t>
      </w:r>
      <w:r>
        <w:rPr>
          <w:rFonts w:hint="eastAsia" w:ascii="仿宋" w:hAnsi="仿宋" w:eastAsia="仿宋" w:cs="仿宋"/>
          <w:color w:val="auto"/>
          <w:highlight w:val="none"/>
        </w:rPr>
        <w:t>的其他</w:t>
      </w:r>
      <w:r>
        <w:rPr>
          <w:rFonts w:hint="eastAsia" w:ascii="仿宋" w:hAnsi="仿宋" w:eastAsia="仿宋" w:cs="仿宋"/>
          <w:color w:val="auto"/>
          <w:highlight w:val="none"/>
          <w:lang w:val="en-US" w:eastAsia="zh-CN"/>
        </w:rPr>
        <w:t>材料</w:t>
      </w:r>
    </w:p>
    <w:p w14:paraId="17C36101">
      <w:pPr>
        <w:pStyle w:val="3"/>
        <w:rPr>
          <w:rFonts w:hint="eastAsia" w:ascii="仿宋" w:hAnsi="仿宋" w:eastAsia="仿宋" w:cs="仿宋"/>
          <w:color w:val="auto"/>
          <w:highlight w:val="none"/>
          <w:lang w:val="en-US" w:eastAsia="zh-CN"/>
        </w:rPr>
      </w:pPr>
    </w:p>
    <w:p w14:paraId="4F75C77A">
      <w:pPr>
        <w:pStyle w:val="2"/>
        <w:rPr>
          <w:rFonts w:hint="eastAsia" w:ascii="仿宋" w:hAnsi="仿宋" w:eastAsia="仿宋" w:cs="仿宋"/>
          <w:color w:val="auto"/>
          <w:highlight w:val="none"/>
          <w:lang w:val="en-US" w:eastAsia="zh-CN"/>
        </w:rPr>
      </w:pPr>
    </w:p>
    <w:p w14:paraId="0CE368C6">
      <w:pPr>
        <w:pStyle w:val="38"/>
        <w:keepNext w:val="0"/>
        <w:keepLines w:val="0"/>
        <w:pageBreakBefore w:val="0"/>
        <w:kinsoku/>
        <w:overflowPunct/>
        <w:bidi w:val="0"/>
        <w:snapToGrid w:val="0"/>
        <w:spacing w:line="360" w:lineRule="auto"/>
        <w:rPr>
          <w:rFonts w:hint="eastAsia" w:ascii="仿宋" w:hAnsi="仿宋" w:eastAsia="仿宋" w:cs="仿宋"/>
          <w:color w:val="auto"/>
          <w:highlight w:val="none"/>
        </w:rPr>
      </w:pPr>
    </w:p>
    <w:sectPr>
      <w:footerReference r:id="rId11" w:type="default"/>
      <w:pgSz w:w="11850" w:h="16790"/>
      <w:pgMar w:top="1600" w:right="1200" w:bottom="1180" w:left="1200" w:header="850" w:footer="99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03C5">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FE56D">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2308C">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2A4B7">
    <w:pPr>
      <w:pStyle w:val="16"/>
      <w:rPr>
        <w:rFonts w:hint="eastAsia" w:ascii="仿宋" w:hAnsi="仿宋" w:eastAsia="仿宋" w:cs="仿宋"/>
        <w:b/>
        <w:bCs/>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AF432">
                          <w:pPr>
                            <w:pStyle w:val="16"/>
                            <w:rPr>
                              <w:rFonts w:hint="eastAsia"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 共 </w:t>
                          </w:r>
                          <w:r>
                            <w:rPr>
                              <w:rFonts w:hint="eastAsia" w:ascii="仿宋" w:hAnsi="仿宋" w:eastAsia="仿宋" w:cs="仿宋"/>
                              <w:b/>
                              <w:bCs/>
                            </w:rPr>
                            <w:fldChar w:fldCharType="begin"/>
                          </w:r>
                          <w:r>
                            <w:rPr>
                              <w:rFonts w:hint="eastAsia" w:ascii="仿宋" w:hAnsi="仿宋" w:eastAsia="仿宋" w:cs="仿宋"/>
                              <w:b/>
                              <w:bCs/>
                            </w:rPr>
                            <w:instrText xml:space="preserve"> NUMPAGES  \* MERGEFORMAT </w:instrText>
                          </w:r>
                          <w:r>
                            <w:rPr>
                              <w:rFonts w:hint="eastAsia" w:ascii="仿宋" w:hAnsi="仿宋" w:eastAsia="仿宋" w:cs="仿宋"/>
                              <w:b/>
                              <w:bCs/>
                            </w:rPr>
                            <w:fldChar w:fldCharType="separate"/>
                          </w:r>
                          <w:r>
                            <w:rPr>
                              <w:rFonts w:hint="eastAsia" w:ascii="仿宋" w:hAnsi="仿宋" w:eastAsia="仿宋" w:cs="仿宋"/>
                              <w:b/>
                              <w:bCs/>
                            </w:rPr>
                            <w:t>61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61AF432">
                    <w:pPr>
                      <w:pStyle w:val="16"/>
                      <w:rPr>
                        <w:rFonts w:hint="eastAsia"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 共 </w:t>
                    </w:r>
                    <w:r>
                      <w:rPr>
                        <w:rFonts w:hint="eastAsia" w:ascii="仿宋" w:hAnsi="仿宋" w:eastAsia="仿宋" w:cs="仿宋"/>
                        <w:b/>
                        <w:bCs/>
                      </w:rPr>
                      <w:fldChar w:fldCharType="begin"/>
                    </w:r>
                    <w:r>
                      <w:rPr>
                        <w:rFonts w:hint="eastAsia" w:ascii="仿宋" w:hAnsi="仿宋" w:eastAsia="仿宋" w:cs="仿宋"/>
                        <w:b/>
                        <w:bCs/>
                      </w:rPr>
                      <w:instrText xml:space="preserve"> NUMPAGES  \* MERGEFORMAT </w:instrText>
                    </w:r>
                    <w:r>
                      <w:rPr>
                        <w:rFonts w:hint="eastAsia" w:ascii="仿宋" w:hAnsi="仿宋" w:eastAsia="仿宋" w:cs="仿宋"/>
                        <w:b/>
                        <w:bCs/>
                      </w:rPr>
                      <w:fldChar w:fldCharType="separate"/>
                    </w:r>
                    <w:r>
                      <w:rPr>
                        <w:rFonts w:hint="eastAsia" w:ascii="仿宋" w:hAnsi="仿宋" w:eastAsia="仿宋" w:cs="仿宋"/>
                        <w:b/>
                        <w:bCs/>
                      </w:rPr>
                      <w:t>61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r>
      <w:rPr>
        <w:rFonts w:hint="eastAsia" w:ascii="仿宋" w:hAnsi="仿宋" w:eastAsia="仿宋" w:cs="仿宋"/>
        <w:b/>
        <w:bCs/>
        <w:lang w:val="en-US" w:eastAsia="zh-CN"/>
      </w:rPr>
      <w:t>中海域安项目管理咨询有限公司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571F4">
    <w:pPr>
      <w:pStyle w:val="16"/>
    </w:pPr>
    <w:r>
      <w:rPr>
        <w:sz w:val="18"/>
      </w:rPr>
      <mc:AlternateContent>
        <mc:Choice Requires="wps">
          <w:drawing>
            <wp:anchor distT="0" distB="0" distL="114300" distR="114300" simplePos="0" relativeHeight="251660288" behindDoc="0" locked="0" layoutInCell="1" allowOverlap="1">
              <wp:simplePos x="0" y="0"/>
              <wp:positionH relativeFrom="margin">
                <wp:posOffset>4292600</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EAC93">
                          <w:pPr>
                            <w:pStyle w:val="16"/>
                            <w:rPr>
                              <w:rFonts w:hint="eastAsia"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 共 </w:t>
                          </w:r>
                          <w:r>
                            <w:rPr>
                              <w:rFonts w:hint="eastAsia" w:ascii="仿宋" w:hAnsi="仿宋" w:eastAsia="仿宋" w:cs="仿宋"/>
                              <w:b/>
                              <w:bCs/>
                            </w:rPr>
                            <w:fldChar w:fldCharType="begin"/>
                          </w:r>
                          <w:r>
                            <w:rPr>
                              <w:rFonts w:hint="eastAsia" w:ascii="仿宋" w:hAnsi="仿宋" w:eastAsia="仿宋" w:cs="仿宋"/>
                              <w:b/>
                              <w:bCs/>
                            </w:rPr>
                            <w:instrText xml:space="preserve"> NUMPAGES  \* MERGEFORMAT </w:instrText>
                          </w:r>
                          <w:r>
                            <w:rPr>
                              <w:rFonts w:hint="eastAsia" w:ascii="仿宋" w:hAnsi="仿宋" w:eastAsia="仿宋" w:cs="仿宋"/>
                              <w:b/>
                              <w:bCs/>
                            </w:rPr>
                            <w:fldChar w:fldCharType="separate"/>
                          </w:r>
                          <w:r>
                            <w:rPr>
                              <w:rFonts w:hint="eastAsia" w:ascii="仿宋" w:hAnsi="仿宋" w:eastAsia="仿宋" w:cs="仿宋"/>
                              <w:b/>
                              <w:bCs/>
                            </w:rPr>
                            <w:t>61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38pt;margin-top:0pt;height:144pt;width:144pt;mso-position-horizontal-relative:margin;mso-wrap-style:none;z-index:251660288;mso-width-relative:page;mso-height-relative:page;" filled="f" stroked="f" coordsize="21600,21600" o:gfxdata="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VaczfWAAAACAEAAA8AAAAAAAAAAQAgAAAAIgAAAGRycy9kb3ducmV2LnhtbFBL&#10;AQIUABQAAAAIAIdO4kCpqK+VMQIAAGMEAAAOAAAAAAAAAAEAIAAAACUBAABkcnMvZTJvRG9jLnht&#10;bFBLBQYAAAAABgAGAFkBAADIBQAAAAA=&#10;">
              <v:fill on="f" focussize="0,0"/>
              <v:stroke on="f" weight="0.5pt"/>
              <v:imagedata o:title=""/>
              <o:lock v:ext="edit" aspectratio="f"/>
              <v:textbox inset="0mm,0mm,0mm,0mm" style="mso-fit-shape-to-text:t;">
                <w:txbxContent>
                  <w:p w14:paraId="233EAC93">
                    <w:pPr>
                      <w:pStyle w:val="16"/>
                      <w:rPr>
                        <w:rFonts w:hint="eastAsia"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 共 </w:t>
                    </w:r>
                    <w:r>
                      <w:rPr>
                        <w:rFonts w:hint="eastAsia" w:ascii="仿宋" w:hAnsi="仿宋" w:eastAsia="仿宋" w:cs="仿宋"/>
                        <w:b/>
                        <w:bCs/>
                      </w:rPr>
                      <w:fldChar w:fldCharType="begin"/>
                    </w:r>
                    <w:r>
                      <w:rPr>
                        <w:rFonts w:hint="eastAsia" w:ascii="仿宋" w:hAnsi="仿宋" w:eastAsia="仿宋" w:cs="仿宋"/>
                        <w:b/>
                        <w:bCs/>
                      </w:rPr>
                      <w:instrText xml:space="preserve"> NUMPAGES  \* MERGEFORMAT </w:instrText>
                    </w:r>
                    <w:r>
                      <w:rPr>
                        <w:rFonts w:hint="eastAsia" w:ascii="仿宋" w:hAnsi="仿宋" w:eastAsia="仿宋" w:cs="仿宋"/>
                        <w:b/>
                        <w:bCs/>
                      </w:rPr>
                      <w:fldChar w:fldCharType="separate"/>
                    </w:r>
                    <w:r>
                      <w:rPr>
                        <w:rFonts w:hint="eastAsia" w:ascii="仿宋" w:hAnsi="仿宋" w:eastAsia="仿宋" w:cs="仿宋"/>
                        <w:b/>
                        <w:bCs/>
                      </w:rPr>
                      <w:t>61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r>
      <w:rPr>
        <w:rFonts w:hint="eastAsia" w:ascii="仿宋" w:hAnsi="仿宋" w:eastAsia="仿宋" w:cs="仿宋"/>
        <w:b/>
        <w:bCs/>
        <w:lang w:val="en-US" w:eastAsia="zh-CN"/>
      </w:rPr>
      <w:t>中海域安项目管理咨询有限公司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54338">
    <w:pPr>
      <w:pStyle w:val="17"/>
      <w:rPr>
        <w:sz w:val="21"/>
        <w:szCs w:val="21"/>
      </w:rPr>
    </w:pPr>
  </w:p>
  <w:p w14:paraId="5B841BF6">
    <w:pPr>
      <w:pStyle w:val="17"/>
      <w:rPr>
        <w:sz w:val="21"/>
        <w:szCs w:val="21"/>
      </w:rPr>
    </w:pPr>
  </w:p>
  <w:p w14:paraId="023A6648">
    <w:pPr>
      <w:pStyle w:val="17"/>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51BC1">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C9520">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7CCAB">
    <w:pPr>
      <w:pStyle w:val="17"/>
      <w:pBdr>
        <w:bottom w:val="dotDash" w:color="auto" w:sz="4" w:space="1"/>
      </w:pBdr>
      <w:rPr>
        <w:rFonts w:ascii="仿宋" w:hAnsi="仿宋" w:eastAsia="仿宋" w:cs="仿宋"/>
        <w:b/>
        <w:bCs/>
        <w:lang w:val="en-US"/>
      </w:rPr>
    </w:pPr>
    <w:r>
      <w:rPr>
        <w:rFonts w:hint="eastAsia" w:ascii="仿宋" w:hAnsi="仿宋" w:eastAsia="仿宋" w:cs="仿宋"/>
        <w:b/>
        <w:bCs/>
        <w:sz w:val="18"/>
        <w:szCs w:val="18"/>
        <w:lang w:val="en-US" w:eastAsia="zh-CN"/>
      </w:rPr>
      <w:t xml:space="preserve">睢县住房和城乡建设局睢县城乡供排水一体化项目（一期）                                 </w:t>
    </w:r>
    <w:r>
      <w:rPr>
        <w:rFonts w:hint="eastAsia" w:ascii="仿宋" w:hAnsi="仿宋" w:eastAsia="仿宋" w:cs="仿宋"/>
        <w:b/>
        <w:bCs/>
        <w:sz w:val="18"/>
        <w:szCs w:val="18"/>
        <w:lang w:val="en-US"/>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1A481"/>
    <w:multiLevelType w:val="singleLevel"/>
    <w:tmpl w:val="E571A481"/>
    <w:lvl w:ilvl="0" w:tentative="0">
      <w:start w:val="3"/>
      <w:numFmt w:val="chineseCounting"/>
      <w:suff w:val="nothing"/>
      <w:lvlText w:val="（%1）"/>
      <w:lvlJc w:val="left"/>
      <w:rPr>
        <w:rFonts w:hint="eastAsia"/>
      </w:rPr>
    </w:lvl>
  </w:abstractNum>
  <w:abstractNum w:abstractNumId="1">
    <w:nsid w:val="0BEAC800"/>
    <w:multiLevelType w:val="singleLevel"/>
    <w:tmpl w:val="0BEAC800"/>
    <w:lvl w:ilvl="0" w:tentative="0">
      <w:start w:val="5"/>
      <w:numFmt w:val="chineseCounting"/>
      <w:suff w:val="nothing"/>
      <w:lvlText w:val="（%1）"/>
      <w:lvlJc w:val="left"/>
      <w:rPr>
        <w:rFonts w:hint="eastAsia"/>
      </w:rPr>
    </w:lvl>
  </w:abstractNum>
  <w:abstractNum w:abstractNumId="2">
    <w:nsid w:val="34DC2FF3"/>
    <w:multiLevelType w:val="singleLevel"/>
    <w:tmpl w:val="34DC2FF3"/>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mFmMmNlNDQ3MWVhZDNlNjE2N2QxZDc5NmUwM2EifQ=="/>
  </w:docVars>
  <w:rsids>
    <w:rsidRoot w:val="00172A27"/>
    <w:rsid w:val="00020ABA"/>
    <w:rsid w:val="000265F3"/>
    <w:rsid w:val="000412FF"/>
    <w:rsid w:val="00064DA1"/>
    <w:rsid w:val="00067CA3"/>
    <w:rsid w:val="000C0D9D"/>
    <w:rsid w:val="000C2D15"/>
    <w:rsid w:val="00120E67"/>
    <w:rsid w:val="001451F8"/>
    <w:rsid w:val="00172A27"/>
    <w:rsid w:val="001D3FAB"/>
    <w:rsid w:val="0024144B"/>
    <w:rsid w:val="00246154"/>
    <w:rsid w:val="00254B02"/>
    <w:rsid w:val="002C4DC4"/>
    <w:rsid w:val="002E3136"/>
    <w:rsid w:val="002F4B0B"/>
    <w:rsid w:val="003B4CF6"/>
    <w:rsid w:val="003C4CE0"/>
    <w:rsid w:val="0041232A"/>
    <w:rsid w:val="004458CF"/>
    <w:rsid w:val="00472441"/>
    <w:rsid w:val="004B0356"/>
    <w:rsid w:val="004C7DDF"/>
    <w:rsid w:val="004D136F"/>
    <w:rsid w:val="00517A8D"/>
    <w:rsid w:val="005409C9"/>
    <w:rsid w:val="0055176E"/>
    <w:rsid w:val="005C4A16"/>
    <w:rsid w:val="005D6E2B"/>
    <w:rsid w:val="005E70BA"/>
    <w:rsid w:val="005E770D"/>
    <w:rsid w:val="00612B13"/>
    <w:rsid w:val="00625E3B"/>
    <w:rsid w:val="00657A19"/>
    <w:rsid w:val="006A0D43"/>
    <w:rsid w:val="006A3102"/>
    <w:rsid w:val="006B10C8"/>
    <w:rsid w:val="006B4897"/>
    <w:rsid w:val="006C0C43"/>
    <w:rsid w:val="007241E2"/>
    <w:rsid w:val="00742861"/>
    <w:rsid w:val="00756DFA"/>
    <w:rsid w:val="007F1DD1"/>
    <w:rsid w:val="007F3F96"/>
    <w:rsid w:val="00805E53"/>
    <w:rsid w:val="0084219C"/>
    <w:rsid w:val="008437CF"/>
    <w:rsid w:val="008762CA"/>
    <w:rsid w:val="00895E56"/>
    <w:rsid w:val="008F6DBC"/>
    <w:rsid w:val="0093642A"/>
    <w:rsid w:val="009929F8"/>
    <w:rsid w:val="009A32D8"/>
    <w:rsid w:val="00A01C19"/>
    <w:rsid w:val="00A104F9"/>
    <w:rsid w:val="00A17E4F"/>
    <w:rsid w:val="00A2780F"/>
    <w:rsid w:val="00A432BA"/>
    <w:rsid w:val="00AD23DF"/>
    <w:rsid w:val="00AF064C"/>
    <w:rsid w:val="00B34491"/>
    <w:rsid w:val="00B4670B"/>
    <w:rsid w:val="00B70B2C"/>
    <w:rsid w:val="00BE686B"/>
    <w:rsid w:val="00C72EE3"/>
    <w:rsid w:val="00CC5279"/>
    <w:rsid w:val="00CE6F7B"/>
    <w:rsid w:val="00D051C7"/>
    <w:rsid w:val="00D310DB"/>
    <w:rsid w:val="00D77BA4"/>
    <w:rsid w:val="00D81653"/>
    <w:rsid w:val="00D83BCE"/>
    <w:rsid w:val="00D842DD"/>
    <w:rsid w:val="00D9088B"/>
    <w:rsid w:val="00DB7031"/>
    <w:rsid w:val="00DB705E"/>
    <w:rsid w:val="00E60C11"/>
    <w:rsid w:val="00E66F7F"/>
    <w:rsid w:val="00F86348"/>
    <w:rsid w:val="00FD67AD"/>
    <w:rsid w:val="00FF41EC"/>
    <w:rsid w:val="01937602"/>
    <w:rsid w:val="01F5121A"/>
    <w:rsid w:val="01FE02EF"/>
    <w:rsid w:val="0225276A"/>
    <w:rsid w:val="02502194"/>
    <w:rsid w:val="02D4178C"/>
    <w:rsid w:val="034361A0"/>
    <w:rsid w:val="03541D67"/>
    <w:rsid w:val="03832066"/>
    <w:rsid w:val="03944A05"/>
    <w:rsid w:val="03A221D2"/>
    <w:rsid w:val="041346FA"/>
    <w:rsid w:val="044D2F7A"/>
    <w:rsid w:val="049441CF"/>
    <w:rsid w:val="04F7784D"/>
    <w:rsid w:val="053041B2"/>
    <w:rsid w:val="05427381"/>
    <w:rsid w:val="0581272D"/>
    <w:rsid w:val="059054D5"/>
    <w:rsid w:val="05937F11"/>
    <w:rsid w:val="059447B4"/>
    <w:rsid w:val="05A65585"/>
    <w:rsid w:val="05BB293E"/>
    <w:rsid w:val="06061CD5"/>
    <w:rsid w:val="06424FA4"/>
    <w:rsid w:val="065C74B0"/>
    <w:rsid w:val="06A44791"/>
    <w:rsid w:val="06B469BB"/>
    <w:rsid w:val="06CD0FA6"/>
    <w:rsid w:val="07A13475"/>
    <w:rsid w:val="07B84A4C"/>
    <w:rsid w:val="07BA58C1"/>
    <w:rsid w:val="08546264"/>
    <w:rsid w:val="086106DA"/>
    <w:rsid w:val="087A46B6"/>
    <w:rsid w:val="08DB15A3"/>
    <w:rsid w:val="09034D98"/>
    <w:rsid w:val="091420A1"/>
    <w:rsid w:val="0924104B"/>
    <w:rsid w:val="097E58C9"/>
    <w:rsid w:val="09BC5903"/>
    <w:rsid w:val="09C569F3"/>
    <w:rsid w:val="0A06584F"/>
    <w:rsid w:val="0A391C3C"/>
    <w:rsid w:val="0AA5749A"/>
    <w:rsid w:val="0B0A708A"/>
    <w:rsid w:val="0B7E3F43"/>
    <w:rsid w:val="0C83692B"/>
    <w:rsid w:val="0CF8715C"/>
    <w:rsid w:val="0D056EE6"/>
    <w:rsid w:val="0D115A0D"/>
    <w:rsid w:val="0D6D766F"/>
    <w:rsid w:val="0E366181"/>
    <w:rsid w:val="0EA90448"/>
    <w:rsid w:val="0EBB2E47"/>
    <w:rsid w:val="0F050AFD"/>
    <w:rsid w:val="0FEF0407"/>
    <w:rsid w:val="1000334F"/>
    <w:rsid w:val="10762500"/>
    <w:rsid w:val="107957C3"/>
    <w:rsid w:val="110C538B"/>
    <w:rsid w:val="11D10E37"/>
    <w:rsid w:val="11EF7039"/>
    <w:rsid w:val="12667CE0"/>
    <w:rsid w:val="12783C74"/>
    <w:rsid w:val="12A948C4"/>
    <w:rsid w:val="12C314F6"/>
    <w:rsid w:val="12D145DD"/>
    <w:rsid w:val="130420A1"/>
    <w:rsid w:val="13B80076"/>
    <w:rsid w:val="13C84880"/>
    <w:rsid w:val="14330B3E"/>
    <w:rsid w:val="14455AD9"/>
    <w:rsid w:val="14656187"/>
    <w:rsid w:val="1472197D"/>
    <w:rsid w:val="14954EC1"/>
    <w:rsid w:val="14B50267"/>
    <w:rsid w:val="14C36CE1"/>
    <w:rsid w:val="14FF68C9"/>
    <w:rsid w:val="150B14C0"/>
    <w:rsid w:val="152018D0"/>
    <w:rsid w:val="15CF4A39"/>
    <w:rsid w:val="15D24CE4"/>
    <w:rsid w:val="167C7996"/>
    <w:rsid w:val="168F6E52"/>
    <w:rsid w:val="16AA1F89"/>
    <w:rsid w:val="16C72A31"/>
    <w:rsid w:val="170B340A"/>
    <w:rsid w:val="17176770"/>
    <w:rsid w:val="1726688B"/>
    <w:rsid w:val="17446F41"/>
    <w:rsid w:val="175912EC"/>
    <w:rsid w:val="17730111"/>
    <w:rsid w:val="17EB5D38"/>
    <w:rsid w:val="17FC4518"/>
    <w:rsid w:val="180B55F7"/>
    <w:rsid w:val="18323D3C"/>
    <w:rsid w:val="18341C17"/>
    <w:rsid w:val="18D26F21"/>
    <w:rsid w:val="1926685E"/>
    <w:rsid w:val="194414ED"/>
    <w:rsid w:val="196A3594"/>
    <w:rsid w:val="199356C9"/>
    <w:rsid w:val="19A06E4E"/>
    <w:rsid w:val="1A182F10"/>
    <w:rsid w:val="1AD87489"/>
    <w:rsid w:val="1B27435F"/>
    <w:rsid w:val="1B55402F"/>
    <w:rsid w:val="1B824ADD"/>
    <w:rsid w:val="1BB21813"/>
    <w:rsid w:val="1BE305D1"/>
    <w:rsid w:val="1C056CE6"/>
    <w:rsid w:val="1C17754C"/>
    <w:rsid w:val="1C465AED"/>
    <w:rsid w:val="1D80365A"/>
    <w:rsid w:val="1DC56732"/>
    <w:rsid w:val="1E100BF4"/>
    <w:rsid w:val="1E16189B"/>
    <w:rsid w:val="1E2035C0"/>
    <w:rsid w:val="1E341C40"/>
    <w:rsid w:val="1E3B6335"/>
    <w:rsid w:val="1E472722"/>
    <w:rsid w:val="1FD63C58"/>
    <w:rsid w:val="2061303F"/>
    <w:rsid w:val="2113714B"/>
    <w:rsid w:val="21221ACE"/>
    <w:rsid w:val="212D42E0"/>
    <w:rsid w:val="21496696"/>
    <w:rsid w:val="21623738"/>
    <w:rsid w:val="218B6927"/>
    <w:rsid w:val="21B8531C"/>
    <w:rsid w:val="21CC5CD7"/>
    <w:rsid w:val="22601428"/>
    <w:rsid w:val="22705D62"/>
    <w:rsid w:val="228B7E22"/>
    <w:rsid w:val="236122E8"/>
    <w:rsid w:val="2393524E"/>
    <w:rsid w:val="23975B13"/>
    <w:rsid w:val="23BA0436"/>
    <w:rsid w:val="24BC3ED0"/>
    <w:rsid w:val="24BE3F17"/>
    <w:rsid w:val="2583295B"/>
    <w:rsid w:val="25967F60"/>
    <w:rsid w:val="26407CF1"/>
    <w:rsid w:val="26952DFA"/>
    <w:rsid w:val="26C2632C"/>
    <w:rsid w:val="26CB47AF"/>
    <w:rsid w:val="26EC36C6"/>
    <w:rsid w:val="26F2086D"/>
    <w:rsid w:val="27361758"/>
    <w:rsid w:val="274D7D4C"/>
    <w:rsid w:val="278173DA"/>
    <w:rsid w:val="279C2E4D"/>
    <w:rsid w:val="27A94A4F"/>
    <w:rsid w:val="27B6645D"/>
    <w:rsid w:val="27EC3AA8"/>
    <w:rsid w:val="28B474A2"/>
    <w:rsid w:val="29124877"/>
    <w:rsid w:val="29460DF7"/>
    <w:rsid w:val="29F85147"/>
    <w:rsid w:val="2A035DD3"/>
    <w:rsid w:val="2AA64C74"/>
    <w:rsid w:val="2AB07478"/>
    <w:rsid w:val="2ABF2776"/>
    <w:rsid w:val="2AD00CC4"/>
    <w:rsid w:val="2AF57117"/>
    <w:rsid w:val="2B150E6F"/>
    <w:rsid w:val="2B2257DD"/>
    <w:rsid w:val="2C100566"/>
    <w:rsid w:val="2C1B1D16"/>
    <w:rsid w:val="2C4F1D1B"/>
    <w:rsid w:val="2C5B5387"/>
    <w:rsid w:val="2C5D2FFF"/>
    <w:rsid w:val="2C9A47FB"/>
    <w:rsid w:val="2CF977FF"/>
    <w:rsid w:val="2D094BA1"/>
    <w:rsid w:val="2D12204A"/>
    <w:rsid w:val="2D275B6C"/>
    <w:rsid w:val="2D524A72"/>
    <w:rsid w:val="2D945BD8"/>
    <w:rsid w:val="2DA4341B"/>
    <w:rsid w:val="2DB75A8F"/>
    <w:rsid w:val="2E0C2373"/>
    <w:rsid w:val="2E550879"/>
    <w:rsid w:val="2EC671DE"/>
    <w:rsid w:val="2EE67FA4"/>
    <w:rsid w:val="2F555DE7"/>
    <w:rsid w:val="2F7B304F"/>
    <w:rsid w:val="2F9E4899"/>
    <w:rsid w:val="2FD57F99"/>
    <w:rsid w:val="30251060"/>
    <w:rsid w:val="309B43DF"/>
    <w:rsid w:val="30B93EDD"/>
    <w:rsid w:val="30FF7DF0"/>
    <w:rsid w:val="3161396D"/>
    <w:rsid w:val="316F2645"/>
    <w:rsid w:val="321A413E"/>
    <w:rsid w:val="32551D13"/>
    <w:rsid w:val="326F3082"/>
    <w:rsid w:val="328777F2"/>
    <w:rsid w:val="32A23F73"/>
    <w:rsid w:val="32F65CA4"/>
    <w:rsid w:val="331A3FC3"/>
    <w:rsid w:val="33227AAB"/>
    <w:rsid w:val="338D3445"/>
    <w:rsid w:val="344E551F"/>
    <w:rsid w:val="346C1534"/>
    <w:rsid w:val="349A4E42"/>
    <w:rsid w:val="34AC1777"/>
    <w:rsid w:val="34CD6807"/>
    <w:rsid w:val="34E71917"/>
    <w:rsid w:val="3598648B"/>
    <w:rsid w:val="36056CF3"/>
    <w:rsid w:val="363D46DF"/>
    <w:rsid w:val="36AD2AFB"/>
    <w:rsid w:val="36CE1F11"/>
    <w:rsid w:val="36CF7624"/>
    <w:rsid w:val="36D152D2"/>
    <w:rsid w:val="36DE0FFD"/>
    <w:rsid w:val="36EA3A8E"/>
    <w:rsid w:val="36FA7D43"/>
    <w:rsid w:val="371614EA"/>
    <w:rsid w:val="373B1B31"/>
    <w:rsid w:val="374A3B3C"/>
    <w:rsid w:val="37594E54"/>
    <w:rsid w:val="37735B95"/>
    <w:rsid w:val="37B10C30"/>
    <w:rsid w:val="37B824AD"/>
    <w:rsid w:val="37CD7357"/>
    <w:rsid w:val="37DF5CCC"/>
    <w:rsid w:val="38365198"/>
    <w:rsid w:val="38705152"/>
    <w:rsid w:val="387F5734"/>
    <w:rsid w:val="3882365D"/>
    <w:rsid w:val="388839DA"/>
    <w:rsid w:val="38C97994"/>
    <w:rsid w:val="39097CED"/>
    <w:rsid w:val="390E3A1F"/>
    <w:rsid w:val="395D1EE3"/>
    <w:rsid w:val="397B0787"/>
    <w:rsid w:val="39D941D3"/>
    <w:rsid w:val="39DE28F9"/>
    <w:rsid w:val="3A152F00"/>
    <w:rsid w:val="3A273012"/>
    <w:rsid w:val="3AB242A2"/>
    <w:rsid w:val="3B4627B5"/>
    <w:rsid w:val="3B78026F"/>
    <w:rsid w:val="3C194CD0"/>
    <w:rsid w:val="3C3C1E27"/>
    <w:rsid w:val="3C4175F0"/>
    <w:rsid w:val="3C4610BF"/>
    <w:rsid w:val="3C627FC6"/>
    <w:rsid w:val="3C711415"/>
    <w:rsid w:val="3C9A01A2"/>
    <w:rsid w:val="3D453803"/>
    <w:rsid w:val="3D454B67"/>
    <w:rsid w:val="3D6A4E53"/>
    <w:rsid w:val="3D84481C"/>
    <w:rsid w:val="3D96587C"/>
    <w:rsid w:val="3DA21307"/>
    <w:rsid w:val="3E3A5E53"/>
    <w:rsid w:val="3E56312C"/>
    <w:rsid w:val="3EF80F9C"/>
    <w:rsid w:val="40112CD1"/>
    <w:rsid w:val="4014591F"/>
    <w:rsid w:val="40196EC9"/>
    <w:rsid w:val="401F7017"/>
    <w:rsid w:val="402623BE"/>
    <w:rsid w:val="40380FDD"/>
    <w:rsid w:val="409A1B62"/>
    <w:rsid w:val="40A62B4A"/>
    <w:rsid w:val="40D3423B"/>
    <w:rsid w:val="40E852A0"/>
    <w:rsid w:val="40E96B1B"/>
    <w:rsid w:val="411464C2"/>
    <w:rsid w:val="420B0812"/>
    <w:rsid w:val="421244DA"/>
    <w:rsid w:val="42A06935"/>
    <w:rsid w:val="42A57DD7"/>
    <w:rsid w:val="42BE2585"/>
    <w:rsid w:val="42CB15AC"/>
    <w:rsid w:val="42DE7EF5"/>
    <w:rsid w:val="42EE6072"/>
    <w:rsid w:val="43071891"/>
    <w:rsid w:val="43E0660D"/>
    <w:rsid w:val="44173F26"/>
    <w:rsid w:val="441D4E82"/>
    <w:rsid w:val="446B3FF0"/>
    <w:rsid w:val="44AB4791"/>
    <w:rsid w:val="44F37694"/>
    <w:rsid w:val="45371F73"/>
    <w:rsid w:val="456D1E74"/>
    <w:rsid w:val="45D00439"/>
    <w:rsid w:val="45D134E2"/>
    <w:rsid w:val="462A5561"/>
    <w:rsid w:val="462D5D28"/>
    <w:rsid w:val="46CD48E5"/>
    <w:rsid w:val="4703100C"/>
    <w:rsid w:val="47734043"/>
    <w:rsid w:val="477B5C36"/>
    <w:rsid w:val="47A50E26"/>
    <w:rsid w:val="47F64AF9"/>
    <w:rsid w:val="4856690B"/>
    <w:rsid w:val="489E43BE"/>
    <w:rsid w:val="489F60A3"/>
    <w:rsid w:val="48D22ABD"/>
    <w:rsid w:val="48DB4E29"/>
    <w:rsid w:val="491E5709"/>
    <w:rsid w:val="49585FAA"/>
    <w:rsid w:val="49CC218A"/>
    <w:rsid w:val="49D42806"/>
    <w:rsid w:val="49F6701D"/>
    <w:rsid w:val="4A84162D"/>
    <w:rsid w:val="4ABD4A9D"/>
    <w:rsid w:val="4AC86DB4"/>
    <w:rsid w:val="4B562B4C"/>
    <w:rsid w:val="4B5E20E0"/>
    <w:rsid w:val="4C02176F"/>
    <w:rsid w:val="4C440B89"/>
    <w:rsid w:val="4C897919"/>
    <w:rsid w:val="4CB8283E"/>
    <w:rsid w:val="4CDA4A7D"/>
    <w:rsid w:val="4D0B4723"/>
    <w:rsid w:val="4D5C4179"/>
    <w:rsid w:val="4D780C5B"/>
    <w:rsid w:val="4D8F087F"/>
    <w:rsid w:val="4D93711E"/>
    <w:rsid w:val="4DA34CEA"/>
    <w:rsid w:val="4DBE1815"/>
    <w:rsid w:val="4E06316C"/>
    <w:rsid w:val="4E3D4904"/>
    <w:rsid w:val="4EC06A1A"/>
    <w:rsid w:val="4EF828FF"/>
    <w:rsid w:val="4F415C97"/>
    <w:rsid w:val="4F4770D5"/>
    <w:rsid w:val="4FF6264E"/>
    <w:rsid w:val="50026E59"/>
    <w:rsid w:val="50106A76"/>
    <w:rsid w:val="503428C9"/>
    <w:rsid w:val="503C15BC"/>
    <w:rsid w:val="50DF7118"/>
    <w:rsid w:val="51001A7C"/>
    <w:rsid w:val="510A5810"/>
    <w:rsid w:val="512B6A1C"/>
    <w:rsid w:val="518A3803"/>
    <w:rsid w:val="51F24DB8"/>
    <w:rsid w:val="52422780"/>
    <w:rsid w:val="525C0CCA"/>
    <w:rsid w:val="52603F26"/>
    <w:rsid w:val="527B764F"/>
    <w:rsid w:val="52DA28C6"/>
    <w:rsid w:val="52EC009E"/>
    <w:rsid w:val="52F95BFD"/>
    <w:rsid w:val="531C78D8"/>
    <w:rsid w:val="53607DC6"/>
    <w:rsid w:val="53C44EDA"/>
    <w:rsid w:val="53D25564"/>
    <w:rsid w:val="5401716C"/>
    <w:rsid w:val="554A6D82"/>
    <w:rsid w:val="559605F0"/>
    <w:rsid w:val="55BB27C8"/>
    <w:rsid w:val="55C33147"/>
    <w:rsid w:val="566D6C27"/>
    <w:rsid w:val="56B42CAF"/>
    <w:rsid w:val="572B155B"/>
    <w:rsid w:val="574E6203"/>
    <w:rsid w:val="579835FE"/>
    <w:rsid w:val="579A45FE"/>
    <w:rsid w:val="58A44E8D"/>
    <w:rsid w:val="597A5896"/>
    <w:rsid w:val="59CE542A"/>
    <w:rsid w:val="59F90361"/>
    <w:rsid w:val="5A4E199A"/>
    <w:rsid w:val="5AAC629D"/>
    <w:rsid w:val="5B7A3A8A"/>
    <w:rsid w:val="5B914771"/>
    <w:rsid w:val="5BB02624"/>
    <w:rsid w:val="5C4510FC"/>
    <w:rsid w:val="5C7E0A2B"/>
    <w:rsid w:val="5CC06518"/>
    <w:rsid w:val="5D080B73"/>
    <w:rsid w:val="5D1F7E9E"/>
    <w:rsid w:val="5D542767"/>
    <w:rsid w:val="5D755212"/>
    <w:rsid w:val="5D80218E"/>
    <w:rsid w:val="5D9B3F92"/>
    <w:rsid w:val="5E8A4984"/>
    <w:rsid w:val="5E9B78B6"/>
    <w:rsid w:val="5ECA0054"/>
    <w:rsid w:val="5ED21052"/>
    <w:rsid w:val="5EE0673C"/>
    <w:rsid w:val="5FBE00F7"/>
    <w:rsid w:val="5FBF073D"/>
    <w:rsid w:val="5FCD1435"/>
    <w:rsid w:val="5FD70B33"/>
    <w:rsid w:val="600A4E5C"/>
    <w:rsid w:val="606306D7"/>
    <w:rsid w:val="60942C0C"/>
    <w:rsid w:val="60B048F6"/>
    <w:rsid w:val="60CB3695"/>
    <w:rsid w:val="615F6C0B"/>
    <w:rsid w:val="61620C98"/>
    <w:rsid w:val="61AF11AB"/>
    <w:rsid w:val="6213584B"/>
    <w:rsid w:val="62200507"/>
    <w:rsid w:val="62467840"/>
    <w:rsid w:val="626B4E5C"/>
    <w:rsid w:val="628B2500"/>
    <w:rsid w:val="62980A0E"/>
    <w:rsid w:val="62A42DCB"/>
    <w:rsid w:val="62BC7E8A"/>
    <w:rsid w:val="62C8521B"/>
    <w:rsid w:val="62FD159A"/>
    <w:rsid w:val="631E07FD"/>
    <w:rsid w:val="633D19E0"/>
    <w:rsid w:val="63571162"/>
    <w:rsid w:val="636075B0"/>
    <w:rsid w:val="639408D8"/>
    <w:rsid w:val="63B42534"/>
    <w:rsid w:val="63E32F60"/>
    <w:rsid w:val="63FD6DFD"/>
    <w:rsid w:val="649B069F"/>
    <w:rsid w:val="64C3558D"/>
    <w:rsid w:val="64F329A7"/>
    <w:rsid w:val="65710788"/>
    <w:rsid w:val="659A2684"/>
    <w:rsid w:val="65BC6EE7"/>
    <w:rsid w:val="65C66843"/>
    <w:rsid w:val="660248ED"/>
    <w:rsid w:val="661D5BE8"/>
    <w:rsid w:val="666153A0"/>
    <w:rsid w:val="666625F0"/>
    <w:rsid w:val="669D55A9"/>
    <w:rsid w:val="66C54B88"/>
    <w:rsid w:val="66E707B8"/>
    <w:rsid w:val="66EB7D93"/>
    <w:rsid w:val="671D330F"/>
    <w:rsid w:val="67340937"/>
    <w:rsid w:val="67DC6983"/>
    <w:rsid w:val="68365AC6"/>
    <w:rsid w:val="68567AD9"/>
    <w:rsid w:val="68744D1D"/>
    <w:rsid w:val="68C03E12"/>
    <w:rsid w:val="68DD5AEA"/>
    <w:rsid w:val="694174F7"/>
    <w:rsid w:val="698D7EAF"/>
    <w:rsid w:val="698E044C"/>
    <w:rsid w:val="69BC1712"/>
    <w:rsid w:val="69D849E3"/>
    <w:rsid w:val="69EB6898"/>
    <w:rsid w:val="6A0E73E7"/>
    <w:rsid w:val="6A1F3FD7"/>
    <w:rsid w:val="6A253D6E"/>
    <w:rsid w:val="6A3C7F57"/>
    <w:rsid w:val="6A7A185E"/>
    <w:rsid w:val="6AD6777D"/>
    <w:rsid w:val="6B1B16F0"/>
    <w:rsid w:val="6B90007E"/>
    <w:rsid w:val="6B9A3DD3"/>
    <w:rsid w:val="6BB74D98"/>
    <w:rsid w:val="6BC85C72"/>
    <w:rsid w:val="6C10111B"/>
    <w:rsid w:val="6C144DDD"/>
    <w:rsid w:val="6C180156"/>
    <w:rsid w:val="6C25553B"/>
    <w:rsid w:val="6C31497D"/>
    <w:rsid w:val="6C3E13FB"/>
    <w:rsid w:val="6D187E1B"/>
    <w:rsid w:val="6D6322DE"/>
    <w:rsid w:val="6D653F4C"/>
    <w:rsid w:val="6D701AC0"/>
    <w:rsid w:val="6DB85F7A"/>
    <w:rsid w:val="6E121D3E"/>
    <w:rsid w:val="6E801352"/>
    <w:rsid w:val="6EDB4CA4"/>
    <w:rsid w:val="6F0A5E01"/>
    <w:rsid w:val="6F1E1D5B"/>
    <w:rsid w:val="6F2D670C"/>
    <w:rsid w:val="6F737C11"/>
    <w:rsid w:val="6FCD7683"/>
    <w:rsid w:val="704064A9"/>
    <w:rsid w:val="704650B1"/>
    <w:rsid w:val="70DC5772"/>
    <w:rsid w:val="71107994"/>
    <w:rsid w:val="71905103"/>
    <w:rsid w:val="71991592"/>
    <w:rsid w:val="72052577"/>
    <w:rsid w:val="722728A4"/>
    <w:rsid w:val="722D41FB"/>
    <w:rsid w:val="72822C59"/>
    <w:rsid w:val="72826667"/>
    <w:rsid w:val="72926A87"/>
    <w:rsid w:val="72982652"/>
    <w:rsid w:val="72E57C77"/>
    <w:rsid w:val="72E90406"/>
    <w:rsid w:val="72FD7064"/>
    <w:rsid w:val="730106C8"/>
    <w:rsid w:val="732A05D0"/>
    <w:rsid w:val="733E4C42"/>
    <w:rsid w:val="734A3521"/>
    <w:rsid w:val="7371416A"/>
    <w:rsid w:val="739C63EE"/>
    <w:rsid w:val="73D41929"/>
    <w:rsid w:val="743E1DBC"/>
    <w:rsid w:val="745D4F25"/>
    <w:rsid w:val="747970DE"/>
    <w:rsid w:val="74AE06F7"/>
    <w:rsid w:val="74DB1CCB"/>
    <w:rsid w:val="74F86373"/>
    <w:rsid w:val="752C4FB9"/>
    <w:rsid w:val="754B18FF"/>
    <w:rsid w:val="758E15E0"/>
    <w:rsid w:val="75CE7863"/>
    <w:rsid w:val="76207FB8"/>
    <w:rsid w:val="763410EB"/>
    <w:rsid w:val="76464FB9"/>
    <w:rsid w:val="76AF6B15"/>
    <w:rsid w:val="76ED16C3"/>
    <w:rsid w:val="778F3CFF"/>
    <w:rsid w:val="779574AA"/>
    <w:rsid w:val="77980CE3"/>
    <w:rsid w:val="77A31445"/>
    <w:rsid w:val="77C25BB3"/>
    <w:rsid w:val="78096A27"/>
    <w:rsid w:val="78273D1A"/>
    <w:rsid w:val="79430C27"/>
    <w:rsid w:val="798D6652"/>
    <w:rsid w:val="79AE28D6"/>
    <w:rsid w:val="7A117160"/>
    <w:rsid w:val="7A3223D7"/>
    <w:rsid w:val="7A4203A7"/>
    <w:rsid w:val="7AC4277B"/>
    <w:rsid w:val="7AC9187E"/>
    <w:rsid w:val="7AE7589E"/>
    <w:rsid w:val="7AED1D6F"/>
    <w:rsid w:val="7B033297"/>
    <w:rsid w:val="7B477C97"/>
    <w:rsid w:val="7B4B6E3C"/>
    <w:rsid w:val="7B8F775D"/>
    <w:rsid w:val="7BCF0E0C"/>
    <w:rsid w:val="7C0B6745"/>
    <w:rsid w:val="7C6C1ECE"/>
    <w:rsid w:val="7C8308B6"/>
    <w:rsid w:val="7CD11E78"/>
    <w:rsid w:val="7D095C16"/>
    <w:rsid w:val="7D1A1C28"/>
    <w:rsid w:val="7D592003"/>
    <w:rsid w:val="7D593D8A"/>
    <w:rsid w:val="7DC60C68"/>
    <w:rsid w:val="7DCC7F6A"/>
    <w:rsid w:val="7DEE67F7"/>
    <w:rsid w:val="7E352E79"/>
    <w:rsid w:val="7EA82B76"/>
    <w:rsid w:val="7EF64443"/>
    <w:rsid w:val="7F1C06B8"/>
    <w:rsid w:val="7F403C57"/>
    <w:rsid w:val="7F5027B9"/>
    <w:rsid w:val="7FFE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link w:val="65"/>
    <w:qFormat/>
    <w:uiPriority w:val="99"/>
    <w:pPr>
      <w:spacing w:before="38"/>
      <w:ind w:right="574"/>
      <w:jc w:val="center"/>
      <w:outlineLvl w:val="0"/>
    </w:pPr>
    <w:rPr>
      <w:b/>
      <w:bCs/>
      <w:sz w:val="44"/>
      <w:szCs w:val="44"/>
    </w:rPr>
  </w:style>
  <w:style w:type="paragraph" w:styleId="5">
    <w:name w:val="heading 2"/>
    <w:basedOn w:val="1"/>
    <w:next w:val="1"/>
    <w:qFormat/>
    <w:uiPriority w:val="1"/>
    <w:pPr>
      <w:spacing w:before="62"/>
      <w:ind w:left="2596"/>
      <w:jc w:val="center"/>
      <w:outlineLvl w:val="1"/>
    </w:pPr>
    <w:rPr>
      <w:b/>
      <w:bCs/>
      <w:sz w:val="28"/>
      <w:szCs w:val="28"/>
    </w:rPr>
  </w:style>
  <w:style w:type="paragraph" w:styleId="6">
    <w:name w:val="heading 3"/>
    <w:basedOn w:val="1"/>
    <w:next w:val="1"/>
    <w:qFormat/>
    <w:uiPriority w:val="1"/>
    <w:pPr>
      <w:ind w:right="578"/>
      <w:jc w:val="center"/>
      <w:outlineLvl w:val="2"/>
    </w:pPr>
    <w:rPr>
      <w:sz w:val="28"/>
      <w:szCs w:val="28"/>
    </w:rPr>
  </w:style>
  <w:style w:type="paragraph" w:styleId="7">
    <w:name w:val="heading 4"/>
    <w:basedOn w:val="1"/>
    <w:next w:val="1"/>
    <w:qFormat/>
    <w:uiPriority w:val="1"/>
    <w:pPr>
      <w:ind w:left="702" w:hanging="483"/>
      <w:outlineLvl w:val="3"/>
    </w:pPr>
    <w:rPr>
      <w:b/>
      <w:bCs/>
      <w:sz w:val="24"/>
      <w:szCs w:val="24"/>
    </w:rPr>
  </w:style>
  <w:style w:type="paragraph" w:styleId="8">
    <w:name w:val="heading 5"/>
    <w:basedOn w:val="1"/>
    <w:next w:val="1"/>
    <w:qFormat/>
    <w:uiPriority w:val="1"/>
    <w:pPr>
      <w:ind w:left="1062" w:hanging="423"/>
      <w:outlineLvl w:val="4"/>
    </w:pPr>
    <w:rPr>
      <w:b/>
      <w:bCs/>
      <w:sz w:val="21"/>
      <w:szCs w:val="21"/>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0"/>
    <w:qFormat/>
    <w:uiPriority w:val="1"/>
    <w:rPr>
      <w:sz w:val="21"/>
      <w:szCs w:val="21"/>
    </w:rPr>
  </w:style>
  <w:style w:type="paragraph" w:styleId="3">
    <w:name w:val="Body Text 2"/>
    <w:basedOn w:val="1"/>
    <w:next w:val="2"/>
    <w:link w:val="64"/>
    <w:qFormat/>
    <w:uiPriority w:val="0"/>
    <w:pPr>
      <w:spacing w:line="360" w:lineRule="auto"/>
    </w:pPr>
    <w:rPr>
      <w:sz w:val="24"/>
      <w:szCs w:val="20"/>
    </w:rPr>
  </w:style>
  <w:style w:type="paragraph" w:styleId="9">
    <w:name w:val="Normal Indent"/>
    <w:basedOn w:val="1"/>
    <w:qFormat/>
    <w:uiPriority w:val="0"/>
    <w:pPr>
      <w:ind w:firstLine="420"/>
    </w:pPr>
  </w:style>
  <w:style w:type="paragraph" w:styleId="10">
    <w:name w:val="caption"/>
    <w:basedOn w:val="1"/>
    <w:next w:val="1"/>
    <w:qFormat/>
    <w:uiPriority w:val="0"/>
    <w:rPr>
      <w:rFonts w:ascii="Arial" w:hAnsi="Arial" w:eastAsia="黑体" w:cs="Arial"/>
      <w:sz w:val="20"/>
      <w:szCs w:val="20"/>
    </w:rPr>
  </w:style>
  <w:style w:type="paragraph" w:styleId="11">
    <w:name w:val="toa heading"/>
    <w:basedOn w:val="1"/>
    <w:next w:val="1"/>
    <w:qFormat/>
    <w:uiPriority w:val="0"/>
    <w:pPr>
      <w:spacing w:before="120"/>
    </w:pPr>
    <w:rPr>
      <w:rFonts w:ascii="Arial" w:hAnsi="Arial" w:cs="Arial"/>
      <w:sz w:val="24"/>
      <w:szCs w:val="24"/>
    </w:rPr>
  </w:style>
  <w:style w:type="paragraph" w:styleId="12">
    <w:name w:val="annotation text"/>
    <w:basedOn w:val="1"/>
    <w:qFormat/>
    <w:uiPriority w:val="0"/>
  </w:style>
  <w:style w:type="paragraph" w:styleId="13">
    <w:name w:val="Body Text Indent"/>
    <w:basedOn w:val="1"/>
    <w:next w:val="14"/>
    <w:link w:val="61"/>
    <w:qFormat/>
    <w:uiPriority w:val="99"/>
    <w:pPr>
      <w:spacing w:after="120"/>
      <w:ind w:left="420" w:leftChars="200"/>
    </w:pPr>
    <w:rPr>
      <w:sz w:val="24"/>
    </w:rPr>
  </w:style>
  <w:style w:type="paragraph" w:styleId="14">
    <w:name w:val="envelope return"/>
    <w:basedOn w:val="1"/>
    <w:qFormat/>
    <w:uiPriority w:val="0"/>
    <w:pPr>
      <w:snapToGrid w:val="0"/>
    </w:pPr>
    <w:rPr>
      <w:rFonts w:ascii="Arial" w:hAnsi="Arial"/>
    </w:rPr>
  </w:style>
  <w:style w:type="paragraph" w:styleId="15">
    <w:name w:val="toc 3"/>
    <w:basedOn w:val="1"/>
    <w:next w:val="1"/>
    <w:qFormat/>
    <w:uiPriority w:val="39"/>
    <w:pPr>
      <w:ind w:left="420"/>
    </w:pPr>
    <w:rPr>
      <w:iCs/>
    </w:rPr>
  </w:style>
  <w:style w:type="paragraph" w:styleId="16">
    <w:name w:val="footer"/>
    <w:basedOn w:val="1"/>
    <w:qFormat/>
    <w:uiPriority w:val="0"/>
    <w:pPr>
      <w:tabs>
        <w:tab w:val="center" w:pos="4153"/>
        <w:tab w:val="right" w:pos="8306"/>
      </w:tabs>
      <w:snapToGrid w:val="0"/>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1"/>
    <w:pPr>
      <w:spacing w:before="4"/>
      <w:ind w:right="228"/>
      <w:jc w:val="right"/>
    </w:pPr>
    <w:rPr>
      <w:b/>
      <w:bCs/>
      <w:sz w:val="21"/>
      <w:szCs w:val="21"/>
    </w:rPr>
  </w:style>
  <w:style w:type="paragraph" w:styleId="19">
    <w:name w:val="toc 2"/>
    <w:basedOn w:val="1"/>
    <w:next w:val="1"/>
    <w:qFormat/>
    <w:uiPriority w:val="1"/>
    <w:pPr>
      <w:spacing w:before="2"/>
      <w:ind w:right="228"/>
      <w:jc w:val="right"/>
    </w:pPr>
    <w:rPr>
      <w:sz w:val="21"/>
      <w:szCs w:val="21"/>
    </w:rPr>
  </w:style>
  <w:style w:type="paragraph" w:styleId="20">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Normal (Web)"/>
    <w:basedOn w:val="1"/>
    <w:qFormat/>
    <w:uiPriority w:val="0"/>
    <w:pPr>
      <w:spacing w:beforeAutospacing="1" w:afterAutospacing="1"/>
    </w:pPr>
    <w:rPr>
      <w:rFonts w:cs="Times New Roman"/>
      <w:sz w:val="24"/>
      <w:lang w:val="en-US" w:bidi="ar-SA"/>
    </w:rPr>
  </w:style>
  <w:style w:type="paragraph" w:styleId="22">
    <w:name w:val="Body Text First Indent"/>
    <w:basedOn w:val="2"/>
    <w:next w:val="23"/>
    <w:qFormat/>
    <w:uiPriority w:val="0"/>
    <w:pPr>
      <w:ind w:firstLine="420" w:firstLineChars="100"/>
    </w:pPr>
  </w:style>
  <w:style w:type="paragraph" w:styleId="23">
    <w:name w:val="Body Text First Indent 2"/>
    <w:basedOn w:val="13"/>
    <w:next w:val="1"/>
    <w:link w:val="62"/>
    <w:qFormat/>
    <w:uiPriority w:val="0"/>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FollowedHyperlink"/>
    <w:basedOn w:val="26"/>
    <w:qFormat/>
    <w:uiPriority w:val="0"/>
    <w:rPr>
      <w:rFonts w:ascii="微软雅黑" w:hAnsi="微软雅黑" w:eastAsia="微软雅黑" w:cs="微软雅黑"/>
      <w:color w:val="428BCA"/>
      <w:u w:val="none"/>
    </w:rPr>
  </w:style>
  <w:style w:type="character" w:styleId="29">
    <w:name w:val="HTML Definition"/>
    <w:basedOn w:val="26"/>
    <w:qFormat/>
    <w:uiPriority w:val="0"/>
    <w:rPr>
      <w:i/>
      <w:iCs/>
    </w:rPr>
  </w:style>
  <w:style w:type="character" w:styleId="30">
    <w:name w:val="HTML Typewriter"/>
    <w:basedOn w:val="26"/>
    <w:qFormat/>
    <w:uiPriority w:val="0"/>
    <w:rPr>
      <w:rFonts w:hint="default" w:ascii="monospace" w:hAnsi="monospace" w:eastAsia="monospace" w:cs="monospace"/>
      <w:sz w:val="20"/>
    </w:rPr>
  </w:style>
  <w:style w:type="character" w:styleId="31">
    <w:name w:val="HTML Acronym"/>
    <w:basedOn w:val="26"/>
    <w:qFormat/>
    <w:uiPriority w:val="0"/>
  </w:style>
  <w:style w:type="character" w:styleId="32">
    <w:name w:val="HTML Variable"/>
    <w:basedOn w:val="26"/>
    <w:qFormat/>
    <w:uiPriority w:val="0"/>
  </w:style>
  <w:style w:type="character" w:styleId="33">
    <w:name w:val="Hyperlink"/>
    <w:basedOn w:val="26"/>
    <w:qFormat/>
    <w:uiPriority w:val="0"/>
    <w:rPr>
      <w:rFonts w:hint="eastAsia" w:ascii="微软雅黑" w:hAnsi="微软雅黑" w:eastAsia="微软雅黑" w:cs="微软雅黑"/>
      <w:color w:val="428BCA"/>
      <w:u w:val="none"/>
    </w:rPr>
  </w:style>
  <w:style w:type="character" w:styleId="34">
    <w:name w:val="HTML Code"/>
    <w:basedOn w:val="26"/>
    <w:qFormat/>
    <w:uiPriority w:val="0"/>
    <w:rPr>
      <w:rFonts w:hint="default" w:ascii="Consolas" w:hAnsi="Consolas" w:eastAsia="Consolas" w:cs="Consolas"/>
      <w:color w:val="C7254E"/>
      <w:sz w:val="21"/>
      <w:szCs w:val="21"/>
      <w:shd w:val="clear" w:color="auto" w:fill="F9F2F4"/>
    </w:rPr>
  </w:style>
  <w:style w:type="character" w:styleId="35">
    <w:name w:val="HTML Cite"/>
    <w:basedOn w:val="26"/>
    <w:qFormat/>
    <w:uiPriority w:val="0"/>
  </w:style>
  <w:style w:type="character" w:styleId="36">
    <w:name w:val="HTML Keyboard"/>
    <w:basedOn w:val="26"/>
    <w:qFormat/>
    <w:uiPriority w:val="0"/>
    <w:rPr>
      <w:rFonts w:hint="default" w:ascii="Consolas" w:hAnsi="Consolas" w:eastAsia="Consolas" w:cs="Consolas"/>
      <w:color w:val="FFFFFF"/>
      <w:sz w:val="21"/>
      <w:szCs w:val="21"/>
      <w:shd w:val="clear" w:color="auto" w:fill="333333"/>
    </w:rPr>
  </w:style>
  <w:style w:type="character" w:styleId="37">
    <w:name w:val="HTML Sample"/>
    <w:basedOn w:val="26"/>
    <w:qFormat/>
    <w:uiPriority w:val="0"/>
    <w:rPr>
      <w:rFonts w:ascii="Consolas" w:hAnsi="Consolas" w:eastAsia="Consolas" w:cs="Consolas"/>
      <w:sz w:val="21"/>
      <w:szCs w:val="21"/>
    </w:rPr>
  </w:style>
  <w:style w:type="paragraph" w:customStyle="1" w:styleId="38">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Blockquote"/>
    <w:basedOn w:val="1"/>
    <w:next w:val="1"/>
    <w:qFormat/>
    <w:uiPriority w:val="0"/>
    <w:pPr>
      <w:spacing w:before="100" w:after="100"/>
      <w:ind w:left="360" w:right="360"/>
    </w:pPr>
    <w:rPr>
      <w:sz w:val="24"/>
      <w:szCs w:val="20"/>
    </w:rPr>
  </w:style>
  <w:style w:type="paragraph" w:customStyle="1" w:styleId="40">
    <w:name w:val="无间隔1"/>
    <w:qFormat/>
    <w:uiPriority w:val="0"/>
    <w:pPr>
      <w:widowControl w:val="0"/>
      <w:jc w:val="both"/>
    </w:pPr>
    <w:rPr>
      <w:rFonts w:ascii="Calibri" w:hAnsi="Calibri" w:eastAsia="宋体" w:cs="Times New Roman"/>
      <w:kern w:val="2"/>
      <w:sz w:val="21"/>
      <w:szCs w:val="22"/>
      <w:lang w:val="en-US" w:eastAsia="zh-CN" w:bidi="ar-SA"/>
    </w:rPr>
  </w:style>
  <w:style w:type="table" w:customStyle="1" w:styleId="41">
    <w:name w:val="Table Normal"/>
    <w:semiHidden/>
    <w:unhideWhenUsed/>
    <w:qFormat/>
    <w:uiPriority w:val="2"/>
    <w:tblPr>
      <w:tblCellMar>
        <w:top w:w="0" w:type="dxa"/>
        <w:left w:w="0" w:type="dxa"/>
        <w:bottom w:w="0" w:type="dxa"/>
        <w:right w:w="0" w:type="dxa"/>
      </w:tblCellMar>
    </w:tblPr>
  </w:style>
  <w:style w:type="paragraph" w:styleId="42">
    <w:name w:val="List Paragraph"/>
    <w:basedOn w:val="1"/>
    <w:qFormat/>
    <w:uiPriority w:val="1"/>
    <w:pPr>
      <w:ind w:left="220" w:firstLine="420"/>
    </w:pPr>
  </w:style>
  <w:style w:type="paragraph" w:customStyle="1" w:styleId="43">
    <w:name w:val="Table Paragraph"/>
    <w:basedOn w:val="1"/>
    <w:qFormat/>
    <w:uiPriority w:val="1"/>
  </w:style>
  <w:style w:type="paragraph" w:customStyle="1" w:styleId="44">
    <w:name w:val="样式 标题 3 + (中文) 黑体 小四 非加粗 段前: 7.8 磅 段后: 0 磅 行距: 固定值 20 磅"/>
    <w:basedOn w:val="6"/>
    <w:qFormat/>
    <w:uiPriority w:val="0"/>
    <w:pPr>
      <w:spacing w:line="400" w:lineRule="exact"/>
    </w:pPr>
    <w:rPr>
      <w:rFonts w:eastAsia="黑体"/>
      <w:sz w:val="24"/>
      <w:szCs w:val="20"/>
    </w:rPr>
  </w:style>
  <w:style w:type="character" w:customStyle="1" w:styleId="45">
    <w:name w:val="ask-title2"/>
    <w:basedOn w:val="26"/>
    <w:qFormat/>
    <w:uiPriority w:val="0"/>
  </w:style>
  <w:style w:type="paragraph" w:customStyle="1" w:styleId="46">
    <w:name w:val="列出段落1"/>
    <w:basedOn w:val="1"/>
    <w:qFormat/>
    <w:uiPriority w:val="0"/>
    <w:pPr>
      <w:ind w:firstLine="420" w:firstLineChars="200"/>
    </w:pPr>
  </w:style>
  <w:style w:type="paragraph" w:customStyle="1" w:styleId="47">
    <w:name w:val="样式 标题 2 + Times New Roman 四号 非加粗 段前: 5 磅 段后: 0 磅 行距: 固定值 20..."/>
    <w:basedOn w:val="5"/>
    <w:qFormat/>
    <w:uiPriority w:val="0"/>
    <w:pPr>
      <w:spacing w:before="100" w:line="400" w:lineRule="exact"/>
      <w:ind w:left="0"/>
      <w:jc w:val="both"/>
    </w:pPr>
    <w:rPr>
      <w:rFonts w:ascii="Times New Roman" w:hAnsi="Times New Roman"/>
      <w:szCs w:val="20"/>
    </w:rPr>
  </w:style>
  <w:style w:type="paragraph" w:customStyle="1" w:styleId="48">
    <w:name w:val="No Spacing1"/>
    <w:basedOn w:val="1"/>
    <w:qFormat/>
    <w:uiPriority w:val="0"/>
    <w:pPr>
      <w:spacing w:line="400" w:lineRule="exact"/>
    </w:pPr>
    <w:rPr>
      <w:sz w:val="24"/>
    </w:rPr>
  </w:style>
  <w:style w:type="paragraph" w:customStyle="1" w:styleId="49">
    <w:name w:val="文档正文"/>
    <w:basedOn w:val="1"/>
    <w:qFormat/>
    <w:uiPriority w:val="0"/>
    <w:pPr>
      <w:adjustRightInd w:val="0"/>
      <w:spacing w:line="480" w:lineRule="atLeast"/>
      <w:ind w:firstLine="567"/>
      <w:textAlignment w:val="baseline"/>
    </w:pPr>
    <w:rPr>
      <w:rFonts w:ascii="仿宋_GB2312" w:eastAsia="仿宋_GB2312"/>
      <w:sz w:val="28"/>
    </w:rPr>
  </w:style>
  <w:style w:type="paragraph" w:customStyle="1" w:styleId="50">
    <w:name w:val="style4"/>
    <w:basedOn w:val="1"/>
    <w:next w:val="51"/>
    <w:qFormat/>
    <w:uiPriority w:val="99"/>
    <w:pPr>
      <w:widowControl/>
      <w:spacing w:before="280" w:after="280"/>
    </w:pPr>
    <w:rPr>
      <w:sz w:val="18"/>
    </w:rPr>
  </w:style>
  <w:style w:type="paragraph" w:customStyle="1" w:styleId="51">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5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5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character" w:customStyle="1" w:styleId="55">
    <w:name w:val="hover5"/>
    <w:basedOn w:val="26"/>
    <w:qFormat/>
    <w:uiPriority w:val="0"/>
  </w:style>
  <w:style w:type="paragraph" w:customStyle="1" w:styleId="56">
    <w:name w:val="无间隔11"/>
    <w:basedOn w:val="1"/>
    <w:qFormat/>
    <w:uiPriority w:val="1"/>
    <w:pPr>
      <w:spacing w:line="400" w:lineRule="exact"/>
    </w:pPr>
    <w:rPr>
      <w:sz w:val="24"/>
    </w:rPr>
  </w:style>
  <w:style w:type="paragraph" w:customStyle="1" w:styleId="57">
    <w:name w:val="Heading #4|1"/>
    <w:basedOn w:val="1"/>
    <w:qFormat/>
    <w:uiPriority w:val="99"/>
    <w:pPr>
      <w:spacing w:after="380"/>
      <w:jc w:val="center"/>
      <w:outlineLvl w:val="3"/>
    </w:pPr>
    <w:rPr>
      <w:b/>
      <w:bCs/>
      <w:sz w:val="32"/>
      <w:szCs w:val="32"/>
      <w:lang w:val="zh-TW" w:eastAsia="zh-TW"/>
    </w:rPr>
  </w:style>
  <w:style w:type="paragraph" w:customStyle="1" w:styleId="58">
    <w:name w:val="Body text|1"/>
    <w:basedOn w:val="1"/>
    <w:qFormat/>
    <w:uiPriority w:val="99"/>
    <w:pPr>
      <w:spacing w:line="466" w:lineRule="exact"/>
      <w:ind w:firstLine="480"/>
    </w:pPr>
    <w:rPr>
      <w:sz w:val="26"/>
      <w:szCs w:val="26"/>
      <w:lang w:val="zh-TW" w:eastAsia="zh-TW"/>
    </w:rPr>
  </w:style>
  <w:style w:type="character" w:customStyle="1" w:styleId="59">
    <w:name w:val="未处理的提及1"/>
    <w:basedOn w:val="26"/>
    <w:semiHidden/>
    <w:unhideWhenUsed/>
    <w:qFormat/>
    <w:uiPriority w:val="99"/>
    <w:rPr>
      <w:color w:val="605E5C"/>
      <w:shd w:val="clear" w:color="auto" w:fill="E1DFDD"/>
    </w:rPr>
  </w:style>
  <w:style w:type="character" w:customStyle="1" w:styleId="60">
    <w:name w:val="正文文本 字符"/>
    <w:basedOn w:val="26"/>
    <w:link w:val="2"/>
    <w:qFormat/>
    <w:uiPriority w:val="1"/>
    <w:rPr>
      <w:rFonts w:ascii="宋体" w:hAnsi="宋体" w:cs="宋体"/>
      <w:sz w:val="21"/>
      <w:szCs w:val="21"/>
      <w:lang w:val="zh-CN" w:bidi="zh-CN"/>
    </w:rPr>
  </w:style>
  <w:style w:type="character" w:customStyle="1" w:styleId="61">
    <w:name w:val="正文文本缩进 字符"/>
    <w:basedOn w:val="26"/>
    <w:link w:val="13"/>
    <w:qFormat/>
    <w:uiPriority w:val="99"/>
    <w:rPr>
      <w:rFonts w:ascii="宋体" w:hAnsi="宋体" w:cs="宋体"/>
      <w:sz w:val="24"/>
      <w:szCs w:val="22"/>
      <w:lang w:val="zh-CN" w:bidi="zh-CN"/>
    </w:rPr>
  </w:style>
  <w:style w:type="character" w:customStyle="1" w:styleId="62">
    <w:name w:val="正文文本首行缩进 2 字符"/>
    <w:basedOn w:val="61"/>
    <w:link w:val="23"/>
    <w:qFormat/>
    <w:uiPriority w:val="0"/>
    <w:rPr>
      <w:rFonts w:ascii="宋体" w:hAnsi="宋体" w:cs="宋体"/>
      <w:sz w:val="24"/>
      <w:szCs w:val="22"/>
      <w:lang w:val="zh-CN" w:bidi="zh-CN"/>
    </w:rPr>
  </w:style>
  <w:style w:type="character" w:customStyle="1" w:styleId="63">
    <w:name w:val="15"/>
    <w:basedOn w:val="26"/>
    <w:qFormat/>
    <w:uiPriority w:val="0"/>
    <w:rPr>
      <w:rFonts w:hint="default" w:ascii="Calibri" w:hAnsi="Calibri" w:cs="Calibri"/>
      <w:b/>
      <w:bCs/>
      <w:kern w:val="2"/>
      <w:sz w:val="24"/>
      <w:szCs w:val="24"/>
    </w:rPr>
  </w:style>
  <w:style w:type="character" w:customStyle="1" w:styleId="64">
    <w:name w:val="正文文本 2 字符"/>
    <w:basedOn w:val="26"/>
    <w:link w:val="3"/>
    <w:qFormat/>
    <w:uiPriority w:val="0"/>
    <w:rPr>
      <w:rFonts w:ascii="宋体" w:hAnsi="宋体" w:cs="宋体"/>
      <w:sz w:val="24"/>
      <w:lang w:val="zh-CN" w:bidi="zh-CN"/>
    </w:rPr>
  </w:style>
  <w:style w:type="character" w:customStyle="1" w:styleId="65">
    <w:name w:val="标题 1 字符"/>
    <w:basedOn w:val="26"/>
    <w:link w:val="4"/>
    <w:qFormat/>
    <w:uiPriority w:val="99"/>
    <w:rPr>
      <w:rFonts w:ascii="宋体" w:hAnsi="宋体" w:cs="宋体"/>
      <w:b/>
      <w:bCs/>
      <w:sz w:val="44"/>
      <w:szCs w:val="4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11945</Words>
  <Characters>12922</Characters>
  <Lines>232</Lines>
  <Paragraphs>65</Paragraphs>
  <TotalTime>1</TotalTime>
  <ScaleCrop>false</ScaleCrop>
  <LinksUpToDate>false</LinksUpToDate>
  <CharactersWithSpaces>13319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2020-07-14T10:58:00Z</dcterms:created>
  <dc:creator>1</dc:creator>
  <cp:lastModifiedBy>admin</cp:lastModifiedBy>
  <cp:lastPrinted>2021-07-01T10:13:00Z</cp:lastPrinted>
  <dcterms:modified xsi:type="dcterms:W3CDTF">2025-03-13T05:48:15Z</dcterms:modified>
  <dc:title>中华人民共和国</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Creator">
    <vt:lpwstr>WPS 文字</vt:lpwstr>
  </property>
  <property fmtid="{D5CDD505-2E9C-101B-9397-08002B2CF9AE}" pid="4" name="LastSaved">
    <vt:filetime>2020-07-14T00:00:00Z</vt:filetime>
  </property>
  <property fmtid="{D5CDD505-2E9C-101B-9397-08002B2CF9AE}" pid="5" name="KSOProductBuildVer">
    <vt:lpwstr>2052-12.1.0.20305</vt:lpwstr>
  </property>
  <property fmtid="{D5CDD505-2E9C-101B-9397-08002B2CF9AE}" pid="6" name="ICV">
    <vt:lpwstr>BAC3A1FBADF04727BD465823B0E23AFE_13</vt:lpwstr>
  </property>
  <property fmtid="{D5CDD505-2E9C-101B-9397-08002B2CF9AE}" pid="7" name="KSOTemplateDocerSaveRecord">
    <vt:lpwstr>eyJoZGlkIjoiNzYxMjc1OWZmYzlhNzc1NzYwZGM4YjJhNTYwNDUwZDYiLCJ1c2VySWQiOiIzNjU4MDM0NTMifQ==</vt:lpwstr>
  </property>
</Properties>
</file>