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3834A">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32"/>
          <w:szCs w:val="32"/>
          <w:lang w:val="en-US" w:eastAsia="zh-CN"/>
        </w:rPr>
        <w:t>原采购信息内容</w:t>
      </w:r>
      <w:r>
        <w:rPr>
          <w:rFonts w:hint="eastAsia" w:asciiTheme="minorEastAsia" w:hAnsiTheme="minorEastAsia" w:eastAsiaTheme="minorEastAsia" w:cstheme="minorEastAsia"/>
          <w:b/>
          <w:bCs/>
          <w:color w:val="auto"/>
          <w:sz w:val="24"/>
          <w:szCs w:val="24"/>
          <w:lang w:val="en-US" w:eastAsia="zh-CN"/>
        </w:rPr>
        <w:br w:type="textWrapping"/>
      </w: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sz w:val="28"/>
          <w:szCs w:val="28"/>
          <w:lang w:val="en-US" w:eastAsia="zh-CN"/>
        </w:rPr>
        <w:t>原采购文件第二章中“二、技术参数要求”中的内容：</w:t>
      </w:r>
    </w:p>
    <w:p w14:paraId="5F0E764E">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宋体" w:hAnsi="宋体" w:eastAsia="宋体" w:cs="宋体"/>
          <w:b/>
          <w:bCs/>
          <w:color w:val="auto"/>
          <w:spacing w:val="-2"/>
          <w:sz w:val="24"/>
          <w:szCs w:val="24"/>
          <w:lang w:val="en-US" w:eastAsia="zh-CN"/>
        </w:rPr>
        <w:t>（一）</w:t>
      </w:r>
      <w:r>
        <w:rPr>
          <w:rFonts w:hint="eastAsia" w:asciiTheme="minorEastAsia" w:hAnsiTheme="minorEastAsia" w:eastAsiaTheme="minorEastAsia" w:cstheme="minorEastAsia"/>
          <w:b/>
          <w:bCs/>
          <w:color w:val="auto"/>
          <w:sz w:val="24"/>
          <w:szCs w:val="24"/>
          <w:lang w:val="en-US" w:eastAsia="zh-CN"/>
        </w:rPr>
        <w:t>高通量测序仪具体参数要求（核心产品）</w:t>
      </w:r>
    </w:p>
    <w:p w14:paraId="18AD68B2">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b w:val="0"/>
          <w:bCs w:val="0"/>
          <w:color w:val="auto"/>
          <w:spacing w:val="-3"/>
          <w:sz w:val="24"/>
          <w:szCs w:val="24"/>
          <w:lang w:val="en-US" w:eastAsia="zh-CN"/>
        </w:rPr>
      </w:pPr>
      <w:r>
        <w:rPr>
          <w:rFonts w:hint="eastAsia" w:asciiTheme="minorEastAsia" w:hAnsiTheme="minorEastAsia" w:eastAsiaTheme="minorEastAsia" w:cstheme="minorEastAsia"/>
          <w:b w:val="0"/>
          <w:bCs w:val="0"/>
          <w:color w:val="auto"/>
          <w:spacing w:val="-3"/>
          <w:sz w:val="24"/>
          <w:szCs w:val="24"/>
          <w:lang w:val="en-US" w:eastAsia="zh-CN"/>
        </w:rPr>
        <w:t>4.测序模式：可配备自动化单端读取和双端读取，配备多种测序读长，测序读长≥50bp（单端），≥50bp×2（双端），读长调节范围50bp-400bp。配备测序过程中配备边测序、边拆分、边分析功能，配备自动化本地化完成信息分析，分析结束后可以直接输出报告。</w:t>
      </w:r>
    </w:p>
    <w:p w14:paraId="00C81F78">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b w:val="0"/>
          <w:bCs w:val="0"/>
          <w:color w:val="auto"/>
          <w:spacing w:val="-3"/>
          <w:sz w:val="24"/>
          <w:szCs w:val="24"/>
          <w:lang w:val="en-US" w:eastAsia="zh-CN"/>
        </w:rPr>
      </w:pPr>
      <w:r>
        <w:rPr>
          <w:rFonts w:hint="eastAsia" w:asciiTheme="minorEastAsia" w:hAnsiTheme="minorEastAsia" w:eastAsiaTheme="minorEastAsia" w:cstheme="minorEastAsia"/>
          <w:b w:val="0"/>
          <w:bCs w:val="0"/>
          <w:color w:val="auto"/>
          <w:spacing w:val="-3"/>
          <w:sz w:val="24"/>
          <w:szCs w:val="24"/>
          <w:lang w:val="en-US" w:eastAsia="zh-CN"/>
        </w:rPr>
        <w:t>5.数据产出：单张芯片单次运行数据量：最低有效序列数不低于100M，最高有效序列数不低于400M，产出的碱基序列信息不低于120G；</w:t>
      </w:r>
    </w:p>
    <w:p w14:paraId="49A1DF5E">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6</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lang w:val="en-US" w:eastAsia="zh-CN"/>
        </w:rPr>
        <w:t>芯片：</w:t>
      </w:r>
      <w:r>
        <w:rPr>
          <w:rFonts w:hint="eastAsia" w:asciiTheme="minorEastAsia" w:hAnsiTheme="minorEastAsia" w:eastAsiaTheme="minorEastAsia" w:cstheme="minorEastAsia"/>
          <w:color w:val="auto"/>
          <w:spacing w:val="-2"/>
          <w:sz w:val="24"/>
          <w:szCs w:val="24"/>
        </w:rPr>
        <w:t>至少两种通量的芯片可供选择</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单张芯片流道（lane）≥4个</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lang w:val="en-US" w:eastAsia="zh-CN"/>
        </w:rPr>
        <w:t>至少可同时运行4种不同的检测样本（文库）</w:t>
      </w:r>
    </w:p>
    <w:p w14:paraId="5609F6A3">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lang w:val="en-US" w:eastAsia="zh-CN"/>
        </w:rPr>
        <w:t>9</w:t>
      </w:r>
      <w:r>
        <w:rPr>
          <w:rFonts w:hint="eastAsia" w:asciiTheme="minorEastAsia" w:hAnsiTheme="minorEastAsia" w:eastAsiaTheme="minorEastAsia" w:cstheme="minorEastAsia"/>
          <w:color w:val="auto"/>
          <w:spacing w:val="-2"/>
          <w:sz w:val="24"/>
          <w:szCs w:val="24"/>
        </w:rPr>
        <w:t>.测序质量：测序结果给出严格的Q30的数据质量评判，在SE100读长下，标准文库的测序Q30值≥90%</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读取序列PE</w:t>
      </w:r>
      <w:r>
        <w:rPr>
          <w:rFonts w:hint="eastAsia" w:asciiTheme="minorEastAsia" w:hAnsiTheme="minorEastAsia" w:eastAsiaTheme="minorEastAsia" w:cstheme="minorEastAsia"/>
          <w:color w:val="auto"/>
          <w:spacing w:val="-2"/>
          <w:sz w:val="24"/>
          <w:szCs w:val="24"/>
          <w:lang w:val="en-US" w:eastAsia="zh-CN"/>
        </w:rPr>
        <w:t>10</w:t>
      </w:r>
      <w:r>
        <w:rPr>
          <w:rFonts w:hint="eastAsia" w:asciiTheme="minorEastAsia" w:hAnsiTheme="minorEastAsia" w:eastAsiaTheme="minorEastAsia" w:cstheme="minorEastAsia"/>
          <w:color w:val="auto"/>
          <w:spacing w:val="-2"/>
          <w:sz w:val="24"/>
          <w:szCs w:val="24"/>
        </w:rPr>
        <w:t>0及PE150读长下，标准文库的测序Q30值≥85%。</w:t>
      </w:r>
    </w:p>
    <w:p w14:paraId="25CCF066">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3"/>
          <w:sz w:val="24"/>
          <w:szCs w:val="24"/>
          <w:lang w:val="en-US" w:eastAsia="zh-CN"/>
        </w:rPr>
        <w:t>7</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1"/>
          <w:sz w:val="24"/>
          <w:szCs w:val="24"/>
        </w:rPr>
        <w:t>配置系统：无需外置电脑显示器，集成一体式全触屏电脑，全中文操作系统，电容式触摸屏。内置控制电脑配置CPU≥</w:t>
      </w:r>
      <w:r>
        <w:rPr>
          <w:rFonts w:hint="eastAsia" w:asciiTheme="minorEastAsia" w:hAnsiTheme="minorEastAsia" w:eastAsiaTheme="minorEastAsia" w:cstheme="minorEastAsia"/>
          <w:color w:val="auto"/>
          <w:spacing w:val="-1"/>
          <w:sz w:val="24"/>
          <w:szCs w:val="24"/>
          <w:lang w:val="en-US" w:eastAsia="zh-CN"/>
        </w:rPr>
        <w:t>2.8</w:t>
      </w:r>
      <w:r>
        <w:rPr>
          <w:rFonts w:hint="eastAsia" w:asciiTheme="minorEastAsia" w:hAnsiTheme="minorEastAsia" w:eastAsiaTheme="minorEastAsia" w:cstheme="minorEastAsia"/>
          <w:color w:val="auto"/>
          <w:spacing w:val="-1"/>
          <w:sz w:val="24"/>
          <w:szCs w:val="24"/>
        </w:rPr>
        <w:t>GHz，内存≥</w:t>
      </w:r>
      <w:r>
        <w:rPr>
          <w:rFonts w:hint="eastAsia" w:asciiTheme="minorEastAsia" w:hAnsiTheme="minorEastAsia" w:eastAsiaTheme="minorEastAsia" w:cstheme="minorEastAsia"/>
          <w:color w:val="auto"/>
          <w:spacing w:val="-1"/>
          <w:sz w:val="24"/>
          <w:szCs w:val="24"/>
          <w:lang w:val="en-US" w:eastAsia="zh-CN"/>
        </w:rPr>
        <w:t>512</w:t>
      </w:r>
      <w:r>
        <w:rPr>
          <w:rFonts w:hint="eastAsia" w:asciiTheme="minorEastAsia" w:hAnsiTheme="minorEastAsia" w:eastAsiaTheme="minorEastAsia" w:cstheme="minorEastAsia"/>
          <w:color w:val="auto"/>
          <w:spacing w:val="-1"/>
          <w:sz w:val="24"/>
          <w:szCs w:val="24"/>
        </w:rPr>
        <w:t>GB，固态硬盘≥480GB+</w:t>
      </w:r>
      <w:r>
        <w:rPr>
          <w:rFonts w:hint="eastAsia" w:asciiTheme="minorEastAsia" w:hAnsiTheme="minorEastAsia" w:eastAsiaTheme="minorEastAsia" w:cstheme="minorEastAsia"/>
          <w:color w:val="auto"/>
          <w:spacing w:val="-1"/>
          <w:sz w:val="24"/>
          <w:szCs w:val="24"/>
          <w:lang w:val="en-US" w:eastAsia="zh-CN"/>
        </w:rPr>
        <w:t>8</w:t>
      </w:r>
      <w:r>
        <w:rPr>
          <w:rFonts w:hint="eastAsia" w:asciiTheme="minorEastAsia" w:hAnsiTheme="minorEastAsia" w:eastAsiaTheme="minorEastAsia" w:cstheme="minorEastAsia"/>
          <w:color w:val="auto"/>
          <w:spacing w:val="-1"/>
          <w:sz w:val="24"/>
          <w:szCs w:val="24"/>
        </w:rPr>
        <w:t>TB，显示器≥1920×1080分辨率。</w:t>
      </w:r>
      <w:r>
        <w:rPr>
          <w:rFonts w:hint="eastAsia" w:asciiTheme="minorEastAsia" w:hAnsiTheme="minorEastAsia" w:eastAsiaTheme="minorEastAsia" w:cstheme="minorEastAsia"/>
          <w:color w:val="auto"/>
          <w:spacing w:val="-3"/>
          <w:sz w:val="24"/>
          <w:szCs w:val="24"/>
          <w:lang w:val="en-US" w:eastAsia="zh-CN"/>
        </w:rPr>
        <w:t>同时需</w:t>
      </w:r>
      <w:r>
        <w:rPr>
          <w:rFonts w:hint="eastAsia" w:asciiTheme="minorEastAsia" w:hAnsiTheme="minorEastAsia" w:eastAsiaTheme="minorEastAsia" w:cstheme="minorEastAsia"/>
          <w:color w:val="auto"/>
          <w:spacing w:val="-3"/>
          <w:sz w:val="24"/>
          <w:szCs w:val="24"/>
        </w:rPr>
        <w:t>配置</w:t>
      </w:r>
      <w:r>
        <w:rPr>
          <w:rFonts w:hint="eastAsia" w:asciiTheme="minorEastAsia" w:hAnsiTheme="minorEastAsia" w:eastAsiaTheme="minorEastAsia" w:cstheme="minorEastAsia"/>
          <w:color w:val="auto"/>
          <w:spacing w:val="-3"/>
          <w:sz w:val="24"/>
          <w:szCs w:val="24"/>
          <w:lang w:val="en-US" w:eastAsia="zh-CN"/>
        </w:rPr>
        <w:t>UPS电源</w:t>
      </w:r>
      <w:r>
        <w:rPr>
          <w:rFonts w:hint="eastAsia" w:asciiTheme="minorEastAsia" w:hAnsiTheme="minorEastAsia" w:eastAsiaTheme="minorEastAsia" w:cstheme="minorEastAsia"/>
          <w:color w:val="auto"/>
          <w:spacing w:val="-3"/>
          <w:sz w:val="24"/>
          <w:szCs w:val="24"/>
          <w:lang w:eastAsia="zh-CN"/>
        </w:rPr>
        <w:t>1台，</w:t>
      </w:r>
      <w:r>
        <w:rPr>
          <w:rFonts w:hint="eastAsia" w:asciiTheme="minorEastAsia" w:hAnsiTheme="minorEastAsia" w:eastAsiaTheme="minorEastAsia" w:cstheme="minorEastAsia"/>
          <w:color w:val="auto"/>
          <w:spacing w:val="-3"/>
          <w:sz w:val="24"/>
          <w:szCs w:val="24"/>
          <w:lang w:val="en-US" w:eastAsia="zh-CN"/>
        </w:rPr>
        <w:t>可持续供电＞2小时</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lang w:val="en-US" w:eastAsia="zh-CN"/>
        </w:rPr>
        <w:t>配备外接工作站一套</w:t>
      </w:r>
      <w:r>
        <w:rPr>
          <w:rFonts w:hint="eastAsia" w:asciiTheme="minorEastAsia" w:hAnsiTheme="minorEastAsia" w:eastAsiaTheme="minorEastAsia" w:cstheme="minorEastAsia"/>
          <w:color w:val="auto"/>
          <w:spacing w:val="-3"/>
          <w:sz w:val="24"/>
          <w:szCs w:val="24"/>
          <w:lang w:eastAsia="zh-CN"/>
        </w:rPr>
        <w:t>：软件系统配置：CPU Intel</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eastAsia="zh-CN"/>
        </w:rPr>
        <w:t>i</w:t>
      </w:r>
      <w:r>
        <w:rPr>
          <w:rFonts w:hint="eastAsia" w:asciiTheme="minorEastAsia" w:hAnsiTheme="minorEastAsia" w:eastAsiaTheme="minorEastAsia" w:cstheme="minorEastAsia"/>
          <w:color w:val="auto"/>
          <w:spacing w:val="-3"/>
          <w:sz w:val="24"/>
          <w:szCs w:val="24"/>
          <w:lang w:val="en-US" w:eastAsia="zh-CN"/>
        </w:rPr>
        <w:t>5，</w:t>
      </w:r>
      <w:r>
        <w:rPr>
          <w:rFonts w:hint="eastAsia" w:asciiTheme="minorEastAsia" w:hAnsiTheme="minorEastAsia" w:eastAsiaTheme="minorEastAsia" w:cstheme="minorEastAsia"/>
          <w:color w:val="auto"/>
          <w:spacing w:val="-3"/>
          <w:sz w:val="24"/>
          <w:szCs w:val="24"/>
        </w:rPr>
        <w:t>CPU≥</w:t>
      </w:r>
      <w:r>
        <w:rPr>
          <w:rFonts w:hint="eastAsia" w:asciiTheme="minorEastAsia" w:hAnsiTheme="minorEastAsia" w:eastAsiaTheme="minorEastAsia" w:cstheme="minorEastAsia"/>
          <w:color w:val="auto"/>
          <w:spacing w:val="-3"/>
          <w:sz w:val="24"/>
          <w:szCs w:val="24"/>
          <w:lang w:eastAsia="zh-CN"/>
        </w:rPr>
        <w:t>2.80GHz，内存</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eastAsia="zh-CN"/>
        </w:rPr>
        <w:t>64G，机械硬盘</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eastAsia="zh-CN"/>
        </w:rPr>
        <w:t>6TB，操作系统Windows</w:t>
      </w:r>
      <w:r>
        <w:rPr>
          <w:rFonts w:hint="eastAsia" w:asciiTheme="minorEastAsia" w:hAnsiTheme="minorEastAsia" w:eastAsiaTheme="minorEastAsia" w:cstheme="minorEastAsia"/>
          <w:color w:val="auto"/>
          <w:spacing w:val="-3"/>
          <w:sz w:val="24"/>
          <w:szCs w:val="24"/>
          <w:lang w:val="en-US" w:eastAsia="zh-CN"/>
        </w:rPr>
        <w:t>7以上(不断更新)。</w:t>
      </w:r>
    </w:p>
    <w:p w14:paraId="481714BE">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b w:val="0"/>
          <w:bCs w:val="0"/>
          <w:color w:val="auto"/>
          <w:spacing w:val="-3"/>
          <w:sz w:val="24"/>
          <w:szCs w:val="24"/>
          <w:lang w:val="en-US" w:eastAsia="zh-CN"/>
        </w:rPr>
      </w:pPr>
      <w:r>
        <w:rPr>
          <w:rFonts w:hint="eastAsia" w:asciiTheme="minorEastAsia" w:hAnsiTheme="minorEastAsia" w:eastAsiaTheme="minorEastAsia" w:cstheme="minorEastAsia"/>
          <w:b w:val="0"/>
          <w:bCs w:val="0"/>
          <w:color w:val="auto"/>
          <w:spacing w:val="-3"/>
          <w:sz w:val="24"/>
          <w:szCs w:val="24"/>
          <w:lang w:val="en-US" w:eastAsia="zh-CN"/>
        </w:rPr>
        <w:t>★20.测序仪及配套试剂适用范围同时覆盖DNA 和 RNA 基因测序，可用于临床诊断，（需提供相关证明文件）。在按照说明书要求操作环境下，测序仪使用寿命最少为10年。</w:t>
      </w:r>
    </w:p>
    <w:p w14:paraId="0932728F">
      <w:pPr>
        <w:pStyle w:val="3"/>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right="0" w:rightChars="0"/>
        <w:textAlignment w:val="auto"/>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（四）核酸提取仪具体参数要求</w:t>
      </w:r>
    </w:p>
    <w:p w14:paraId="55460A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b w:val="0"/>
          <w:bCs w:val="0"/>
          <w:color w:val="auto"/>
          <w:sz w:val="24"/>
          <w:szCs w:val="24"/>
          <w:lang w:val="en-US" w:eastAsia="zh-CN"/>
        </w:rPr>
        <w:t>10.加热模块：</w:t>
      </w:r>
      <w:r>
        <w:rPr>
          <w:rFonts w:hint="eastAsia" w:asciiTheme="minorEastAsia" w:hAnsiTheme="minorEastAsia" w:eastAsiaTheme="minorEastAsia" w:cstheme="minorEastAsia"/>
          <w:color w:val="auto"/>
          <w:spacing w:val="13"/>
          <w:sz w:val="24"/>
          <w:szCs w:val="24"/>
        </w:rPr>
        <w:t>内置加热模块，</w:t>
      </w:r>
      <w:r>
        <w:rPr>
          <w:rFonts w:hint="eastAsia" w:asciiTheme="minorEastAsia" w:hAnsiTheme="minorEastAsia" w:eastAsiaTheme="minorEastAsia" w:cstheme="minorEastAsia"/>
          <w:b w:val="0"/>
          <w:bCs w:val="0"/>
          <w:color w:val="auto"/>
          <w:sz w:val="24"/>
          <w:szCs w:val="24"/>
          <w:lang w:val="en-US" w:eastAsia="zh-CN"/>
        </w:rPr>
        <w:t>≥4块</w:t>
      </w:r>
      <w:r>
        <w:rPr>
          <w:rFonts w:hint="eastAsia" w:asciiTheme="minorEastAsia" w:hAnsiTheme="minorEastAsia" w:eastAsiaTheme="minorEastAsia" w:cstheme="minorEastAsia"/>
          <w:color w:val="auto"/>
          <w:spacing w:val="13"/>
          <w:sz w:val="24"/>
          <w:szCs w:val="24"/>
        </w:rPr>
        <w:t>无需额外孵育，</w:t>
      </w:r>
      <w:r>
        <w:rPr>
          <w:rFonts w:hint="eastAsia" w:asciiTheme="minorEastAsia" w:hAnsiTheme="minorEastAsia" w:eastAsiaTheme="minorEastAsia" w:cstheme="minorEastAsia"/>
          <w:b w:val="0"/>
          <w:bCs w:val="0"/>
          <w:color w:val="auto"/>
          <w:sz w:val="24"/>
          <w:szCs w:val="24"/>
          <w:lang w:val="en-US" w:eastAsia="zh-CN"/>
        </w:rPr>
        <w:t>加热温度：10~99°</w:t>
      </w:r>
      <w:r>
        <w:rPr>
          <w:rFonts w:hint="eastAsia" w:asciiTheme="minorEastAsia" w:hAnsiTheme="minorEastAsia" w:eastAsiaTheme="minorEastAsia" w:cstheme="minorEastAsia"/>
          <w:color w:val="auto"/>
          <w:spacing w:val="13"/>
          <w:sz w:val="24"/>
          <w:szCs w:val="24"/>
        </w:rPr>
        <w:t>60℃,可进行样本</w:t>
      </w:r>
      <w:r>
        <w:rPr>
          <w:rFonts w:hint="eastAsia" w:asciiTheme="minorEastAsia" w:hAnsiTheme="minorEastAsia" w:eastAsiaTheme="minorEastAsia" w:cstheme="minorEastAsia"/>
          <w:color w:val="auto"/>
          <w:spacing w:val="6"/>
          <w:sz w:val="24"/>
          <w:szCs w:val="24"/>
        </w:rPr>
        <w:t>的加热裂解和核酸的洗脱温育。</w:t>
      </w:r>
    </w:p>
    <w:p w14:paraId="3BA4E065">
      <w:pPr>
        <w:pStyle w:val="3"/>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right="0" w:rightChars="0"/>
        <w:textAlignment w:val="auto"/>
        <w:rPr>
          <w:rFonts w:hint="eastAsia" w:asciiTheme="minorEastAsia" w:hAnsiTheme="minorEastAsia" w:eastAsiaTheme="minorEastAsia" w:cstheme="minorEastAsia"/>
          <w:b/>
          <w:bCs/>
          <w:color w:val="auto"/>
          <w:spacing w:val="-2"/>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pacing w:val="-2"/>
          <w:sz w:val="24"/>
          <w:szCs w:val="24"/>
          <w:lang w:val="en-US" w:eastAsia="zh-CN"/>
        </w:rPr>
        <w:t>PCR 扩增仪具体参数要求：</w:t>
      </w:r>
    </w:p>
    <w:p w14:paraId="6C90E6D8">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val="en-US" w:eastAsia="zh-CN"/>
        </w:rPr>
        <w:t>2.</w:t>
      </w:r>
      <w:r>
        <w:rPr>
          <w:rFonts w:hint="eastAsia" w:asciiTheme="minorEastAsia" w:hAnsiTheme="minorEastAsia" w:eastAsiaTheme="minorEastAsia" w:cstheme="minorEastAsia"/>
          <w:color w:val="auto"/>
          <w:spacing w:val="14"/>
          <w:sz w:val="24"/>
          <w:szCs w:val="24"/>
        </w:rPr>
        <w:t>移液范围：96孔x0.2</w:t>
      </w:r>
      <w:r>
        <w:rPr>
          <w:rFonts w:hint="eastAsia" w:asciiTheme="minorEastAsia" w:hAnsiTheme="minorEastAsia" w:eastAsiaTheme="minorEastAsia" w:cstheme="minorEastAsia"/>
          <w:color w:val="auto"/>
          <w:sz w:val="24"/>
          <w:szCs w:val="24"/>
        </w:rPr>
        <w:t>ml</w:t>
      </w:r>
      <w:r>
        <w:rPr>
          <w:rFonts w:hint="eastAsia" w:asciiTheme="minorEastAsia" w:hAnsiTheme="minorEastAsia" w:eastAsiaTheme="minorEastAsia" w:cstheme="minorEastAsia"/>
          <w:color w:val="auto"/>
          <w:spacing w:val="14"/>
          <w:sz w:val="24"/>
          <w:szCs w:val="24"/>
          <w:lang w:eastAsia="zh-CN"/>
        </w:rPr>
        <w:t>；</w:t>
      </w:r>
    </w:p>
    <w:p w14:paraId="2F8111E8">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textAlignment w:val="auto"/>
        <w:rPr>
          <w:rFonts w:hint="eastAsia" w:asciiTheme="minorEastAsia" w:hAnsiTheme="minorEastAsia" w:eastAsiaTheme="minorEastAsia" w:cstheme="minorEastAsia"/>
          <w:b/>
          <w:bCs/>
          <w:spacing w:val="-2"/>
          <w:sz w:val="24"/>
          <w:szCs w:val="24"/>
          <w:lang w:val="en-US" w:eastAsia="zh-CN"/>
        </w:rPr>
      </w:pPr>
      <w:r>
        <w:rPr>
          <w:rFonts w:hint="eastAsia" w:asciiTheme="minorEastAsia" w:hAnsiTheme="minorEastAsia" w:eastAsiaTheme="minorEastAsia" w:cstheme="minorEastAsia"/>
          <w:b/>
          <w:bCs/>
          <w:sz w:val="24"/>
          <w:szCs w:val="24"/>
          <w:lang w:val="en-US" w:eastAsia="zh-CN"/>
        </w:rPr>
        <w:t>（十四）</w:t>
      </w:r>
      <w:r>
        <w:rPr>
          <w:rFonts w:hint="eastAsia" w:asciiTheme="minorEastAsia" w:hAnsiTheme="minorEastAsia" w:eastAsiaTheme="minorEastAsia" w:cstheme="minorEastAsia"/>
          <w:b/>
          <w:bCs/>
          <w:spacing w:val="-2"/>
          <w:sz w:val="24"/>
          <w:szCs w:val="24"/>
          <w:lang w:val="en-US" w:eastAsia="zh-CN"/>
        </w:rPr>
        <w:t>单通道移液器（0.1-1000</w:t>
      </w:r>
      <w:r>
        <w:rPr>
          <w:rFonts w:hint="eastAsia" w:asciiTheme="minorEastAsia" w:hAnsiTheme="minorEastAsia" w:eastAsiaTheme="minorEastAsia" w:cstheme="minorEastAsia"/>
          <w:b w:val="0"/>
          <w:bCs w:val="0"/>
          <w:sz w:val="24"/>
          <w:szCs w:val="24"/>
          <w:lang w:val="en-US" w:eastAsia="zh-CN"/>
        </w:rPr>
        <w:t>ul/套</w:t>
      </w:r>
      <w:r>
        <w:rPr>
          <w:rFonts w:hint="eastAsia" w:asciiTheme="minorEastAsia" w:hAnsiTheme="minorEastAsia" w:eastAsiaTheme="minorEastAsia" w:cstheme="minorEastAsia"/>
          <w:b/>
          <w:bCs/>
          <w:spacing w:val="-2"/>
          <w:sz w:val="24"/>
          <w:szCs w:val="24"/>
          <w:lang w:val="en-US" w:eastAsia="zh-CN"/>
        </w:rPr>
        <w:t>）具体参数要求：</w:t>
      </w:r>
    </w:p>
    <w:p w14:paraId="56D13359">
      <w:pPr>
        <w:pStyle w:val="3"/>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right="0" w:rightChars="0"/>
        <w:textAlignment w:val="auto"/>
        <w:rPr>
          <w:rFonts w:hint="eastAsia" w:asciiTheme="minorEastAsia" w:hAnsiTheme="minorEastAsia" w:eastAsiaTheme="minorEastAsia" w:cstheme="minorEastAsia"/>
          <w:color w:val="auto"/>
          <w:sz w:val="24"/>
          <w:szCs w:val="24"/>
          <w:highlight w:val="red"/>
          <w:lang w:val="en-US" w:eastAsia="zh-CN"/>
        </w:rPr>
      </w:pPr>
      <w:r>
        <w:rPr>
          <w:rFonts w:hint="eastAsia" w:asciiTheme="minorEastAsia" w:hAnsiTheme="minorEastAsia" w:eastAsiaTheme="minorEastAsia" w:cstheme="minorEastAsia"/>
          <w:b w:val="0"/>
          <w:bCs w:val="0"/>
          <w:color w:val="auto"/>
          <w:sz w:val="24"/>
          <w:szCs w:val="24"/>
          <w:lang w:val="en-US" w:eastAsia="zh-CN"/>
        </w:rPr>
        <w:t>★5、颜色标识移液器量程：量程包括但不限于：0.1-2.5ul，0.5-10uL，2-20ul，5-50ul，10-100ul，20-200ul，30-300ul，100-1,000ul，0.25-2.5mL，0.5-5mL，1-10mL。</w:t>
      </w:r>
    </w:p>
    <w:p w14:paraId="34C23769">
      <w:pPr>
        <w:pStyle w:val="3"/>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right="0" w:right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（十五）上述仪器设备及配套使用的试剂均需具备国家相关主管部门审批的资格证，可用于临床检测，并出具正式临床报告。</w:t>
      </w:r>
    </w:p>
    <w:p w14:paraId="72FF66BE">
      <w:pPr>
        <w:numPr>
          <w:ilvl w:val="0"/>
          <w:numId w:val="0"/>
        </w:numPr>
        <w:rPr>
          <w:rFonts w:hint="eastAsia" w:asciiTheme="minorEastAsia" w:hAnsiTheme="minorEastAsia" w:eastAsiaTheme="minorEastAsia" w:cstheme="minorEastAsia"/>
          <w:sz w:val="24"/>
          <w:szCs w:val="24"/>
          <w:lang w:val="en-US" w:eastAsia="zh-CN"/>
        </w:rPr>
      </w:pPr>
    </w:p>
    <w:p w14:paraId="4649A13E">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sz w:val="28"/>
          <w:szCs w:val="28"/>
          <w:lang w:val="en-US" w:eastAsia="zh-CN"/>
        </w:rPr>
        <w:t>原采购文件第三章“</w:t>
      </w:r>
      <w:r>
        <w:rPr>
          <w:rFonts w:hint="eastAsia" w:asciiTheme="minorEastAsia" w:hAnsiTheme="minorEastAsia" w:eastAsiaTheme="minorEastAsia" w:cstheme="minorEastAsia"/>
          <w:b/>
          <w:color w:val="auto"/>
          <w:sz w:val="28"/>
          <w:szCs w:val="28"/>
        </w:rPr>
        <w:t>评分内容及标准</w:t>
      </w:r>
      <w:r>
        <w:rPr>
          <w:rFonts w:hint="eastAsia" w:asciiTheme="minorEastAsia" w:hAnsiTheme="minorEastAsia" w:eastAsiaTheme="minorEastAsia" w:cstheme="minorEastAsia"/>
          <w:sz w:val="28"/>
          <w:szCs w:val="28"/>
          <w:lang w:val="en-US" w:eastAsia="zh-CN"/>
        </w:rPr>
        <w:t>”</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0"/>
        <w:gridCol w:w="1768"/>
        <w:gridCol w:w="5311"/>
      </w:tblGrid>
      <w:tr w14:paraId="429B4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2958" w:type="dxa"/>
            <w:gridSpan w:val="2"/>
            <w:noWrap/>
            <w:vAlign w:val="center"/>
          </w:tcPr>
          <w:p w14:paraId="12A01F06">
            <w:pPr>
              <w:adjustRightInd w:val="0"/>
              <w:snapToGrid w:val="0"/>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评审因素</w:t>
            </w:r>
          </w:p>
        </w:tc>
        <w:tc>
          <w:tcPr>
            <w:tcW w:w="5311" w:type="dxa"/>
            <w:noWrap/>
            <w:vAlign w:val="center"/>
          </w:tcPr>
          <w:p w14:paraId="7A31B82F">
            <w:pPr>
              <w:adjustRightInd w:val="0"/>
              <w:snapToGrid w:val="0"/>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评分标准</w:t>
            </w:r>
          </w:p>
        </w:tc>
      </w:tr>
      <w:tr w14:paraId="3772F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90" w:type="dxa"/>
            <w:noWrap/>
            <w:vAlign w:val="center"/>
          </w:tcPr>
          <w:p w14:paraId="7123678A">
            <w:pPr>
              <w:widowControl/>
              <w:adjustRightInd w:val="0"/>
              <w:snapToGrid w:val="0"/>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报价分（30分）</w:t>
            </w:r>
          </w:p>
        </w:tc>
        <w:tc>
          <w:tcPr>
            <w:tcW w:w="1768" w:type="dxa"/>
            <w:noWrap/>
            <w:vAlign w:val="center"/>
          </w:tcPr>
          <w:p w14:paraId="197E6110">
            <w:pPr>
              <w:widowControl/>
              <w:adjustRightInd w:val="0"/>
              <w:snapToGrid w:val="0"/>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投标报价</w:t>
            </w:r>
          </w:p>
        </w:tc>
        <w:tc>
          <w:tcPr>
            <w:tcW w:w="5311" w:type="dxa"/>
            <w:noWrap/>
            <w:vAlign w:val="center"/>
          </w:tcPr>
          <w:p w14:paraId="79434380">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价格分应当采用低价优先法计算，</w:t>
            </w:r>
            <w:r>
              <w:rPr>
                <w:rFonts w:hint="eastAsia" w:asciiTheme="minorEastAsia" w:hAnsiTheme="minorEastAsia" w:eastAsiaTheme="minorEastAsia" w:cstheme="minorEastAsia"/>
                <w:color w:val="auto"/>
                <w:sz w:val="24"/>
                <w:szCs w:val="24"/>
                <w:lang w:val="en-US" w:eastAsia="zh-CN"/>
              </w:rPr>
              <w:t>即满足磋商文件要求且最终评审价最低的为评审基准价，其价格分为满分。其他供应商的价格分统一按照下列公式计算：</w:t>
            </w:r>
          </w:p>
          <w:p w14:paraId="262A21AF">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磋商报价得分＝（</w:t>
            </w:r>
            <w:r>
              <w:rPr>
                <w:rFonts w:hint="eastAsia" w:asciiTheme="minorEastAsia" w:hAnsiTheme="minorEastAsia" w:eastAsiaTheme="minorEastAsia" w:cstheme="minorEastAsia"/>
                <w:color w:val="auto"/>
                <w:sz w:val="24"/>
                <w:szCs w:val="24"/>
                <w:lang w:val="en-US" w:eastAsia="zh-CN"/>
              </w:rPr>
              <w:t>评审基准价／最终评审价</w:t>
            </w:r>
            <w:r>
              <w:rPr>
                <w:rFonts w:hint="eastAsia" w:asciiTheme="minorEastAsia" w:hAnsiTheme="minorEastAsia" w:eastAsiaTheme="minorEastAsia" w:cstheme="minorEastAsia"/>
                <w:color w:val="auto"/>
                <w:sz w:val="24"/>
                <w:szCs w:val="24"/>
              </w:rPr>
              <w:t>）×0.3×100</w:t>
            </w:r>
          </w:p>
          <w:p w14:paraId="29A6140F">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sz w:val="24"/>
                <w:szCs w:val="24"/>
                <w:lang w:val="en-US" w:eastAsia="zh-CN"/>
              </w:rPr>
              <w:t>供应商符合价格折扣条件的，以最后一轮次报价调整后的价格作为供应商的最终评审价。</w:t>
            </w:r>
          </w:p>
        </w:tc>
      </w:tr>
      <w:tr w14:paraId="664B0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90" w:type="dxa"/>
            <w:noWrap/>
            <w:vAlign w:val="center"/>
          </w:tcPr>
          <w:p w14:paraId="0D6204FB">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技术分</w:t>
            </w:r>
          </w:p>
          <w:p w14:paraId="4E0709AD">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40</w:t>
            </w:r>
            <w:r>
              <w:rPr>
                <w:rFonts w:hint="eastAsia" w:asciiTheme="minorEastAsia" w:hAnsiTheme="minorEastAsia" w:eastAsiaTheme="minorEastAsia" w:cstheme="minorEastAsia"/>
                <w:b/>
                <w:color w:val="auto"/>
                <w:sz w:val="24"/>
                <w:szCs w:val="24"/>
              </w:rPr>
              <w:t>分)</w:t>
            </w:r>
          </w:p>
        </w:tc>
        <w:tc>
          <w:tcPr>
            <w:tcW w:w="1768" w:type="dxa"/>
            <w:noWrap/>
            <w:vAlign w:val="center"/>
          </w:tcPr>
          <w:p w14:paraId="26FF41E8">
            <w:pPr>
              <w:pStyle w:val="5"/>
              <w:widowControl/>
              <w:spacing w:line="420" w:lineRule="exact"/>
              <w:jc w:val="center"/>
              <w:rPr>
                <w:rFonts w:hint="eastAsia" w:asciiTheme="minorEastAsia" w:hAnsiTheme="minorEastAsia" w:eastAsiaTheme="minorEastAsia" w:cstheme="minorEastAsia"/>
                <w:b/>
                <w:color w:val="auto"/>
                <w:kern w:val="2"/>
                <w:sz w:val="24"/>
                <w:szCs w:val="24"/>
              </w:rPr>
            </w:pPr>
            <w:r>
              <w:rPr>
                <w:rFonts w:hint="eastAsia" w:asciiTheme="minorEastAsia" w:hAnsiTheme="minorEastAsia" w:eastAsiaTheme="minorEastAsia" w:cstheme="minorEastAsia"/>
                <w:b/>
                <w:color w:val="auto"/>
                <w:kern w:val="2"/>
                <w:sz w:val="24"/>
                <w:szCs w:val="24"/>
              </w:rPr>
              <w:t>产品技术指标(</w:t>
            </w:r>
            <w:r>
              <w:rPr>
                <w:rFonts w:hint="eastAsia" w:asciiTheme="minorEastAsia" w:hAnsiTheme="minorEastAsia" w:eastAsiaTheme="minorEastAsia" w:cstheme="minorEastAsia"/>
                <w:b/>
                <w:color w:val="auto"/>
                <w:kern w:val="2"/>
                <w:sz w:val="24"/>
                <w:szCs w:val="24"/>
                <w:lang w:val="en-US" w:eastAsia="zh-CN"/>
              </w:rPr>
              <w:t>40</w:t>
            </w:r>
            <w:r>
              <w:rPr>
                <w:rFonts w:hint="eastAsia" w:asciiTheme="minorEastAsia" w:hAnsiTheme="minorEastAsia" w:eastAsiaTheme="minorEastAsia" w:cstheme="minorEastAsia"/>
                <w:b/>
                <w:color w:val="auto"/>
                <w:kern w:val="2"/>
                <w:sz w:val="24"/>
                <w:szCs w:val="24"/>
              </w:rPr>
              <w:t>分）</w:t>
            </w:r>
          </w:p>
        </w:tc>
        <w:tc>
          <w:tcPr>
            <w:tcW w:w="5311" w:type="dxa"/>
            <w:noWrap/>
            <w:vAlign w:val="center"/>
          </w:tcPr>
          <w:p w14:paraId="5AFF6EE3">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第二章 采购需求 二、技术参数要求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lang w:val="en-US" w:eastAsia="zh-CN"/>
              </w:rPr>
              <w:t>的内容进行</w:t>
            </w:r>
            <w:r>
              <w:rPr>
                <w:rFonts w:hint="eastAsia" w:asciiTheme="minorEastAsia" w:hAnsiTheme="minorEastAsia" w:eastAsiaTheme="minorEastAsia" w:cstheme="minorEastAsia"/>
                <w:color w:val="auto"/>
                <w:sz w:val="24"/>
                <w:szCs w:val="24"/>
              </w:rPr>
              <w:t>响应，所投</w:t>
            </w:r>
            <w:r>
              <w:rPr>
                <w:rFonts w:hint="eastAsia" w:asciiTheme="minorEastAsia" w:hAnsiTheme="minorEastAsia" w:eastAsiaTheme="minorEastAsia" w:cstheme="minorEastAsia"/>
                <w:color w:val="auto"/>
                <w:sz w:val="24"/>
                <w:szCs w:val="24"/>
                <w:lang w:val="en-US" w:eastAsia="zh-CN"/>
              </w:rPr>
              <w:t>产品</w:t>
            </w:r>
            <w:r>
              <w:rPr>
                <w:rFonts w:hint="eastAsia" w:asciiTheme="minorEastAsia" w:hAnsiTheme="minorEastAsia" w:eastAsiaTheme="minorEastAsia" w:cstheme="minorEastAsia"/>
                <w:color w:val="auto"/>
                <w:sz w:val="24"/>
                <w:szCs w:val="24"/>
              </w:rPr>
              <w:t>全部满足磋商文件要求得</w:t>
            </w:r>
            <w:r>
              <w:rPr>
                <w:rFonts w:hint="eastAsia" w:asciiTheme="minorEastAsia" w:hAnsiTheme="minorEastAsia" w:eastAsiaTheme="minorEastAsia" w:cstheme="minorEastAsia"/>
                <w:color w:val="auto"/>
                <w:sz w:val="24"/>
                <w:szCs w:val="24"/>
                <w:lang w:val="en-US" w:eastAsia="zh-CN"/>
              </w:rPr>
              <w:t>40</w:t>
            </w:r>
            <w:r>
              <w:rPr>
                <w:rFonts w:hint="eastAsia" w:asciiTheme="minorEastAsia" w:hAnsiTheme="minorEastAsia" w:eastAsiaTheme="minorEastAsia" w:cstheme="minorEastAsia"/>
                <w:color w:val="auto"/>
                <w:sz w:val="24"/>
                <w:szCs w:val="24"/>
              </w:rPr>
              <w:t>分，技术参数要求标“</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”的为重要技术参数，出现负偏离者，每项扣除</w:t>
            </w:r>
            <w:r>
              <w:rPr>
                <w:rFonts w:hint="eastAsia" w:asciiTheme="minorEastAsia" w:hAnsiTheme="minorEastAsia" w:eastAsiaTheme="minorEastAsia" w:cstheme="minorEastAsia"/>
                <w:color w:val="auto"/>
                <w:sz w:val="24"/>
                <w:szCs w:val="24"/>
                <w:highlight w:val="none"/>
              </w:rPr>
              <w:t xml:space="preserve">技术分 </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分；技术参数要求未标注“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”的为一般性技术参数，出现负偏离者，每项扣除技术分</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扣完为止</w:t>
            </w:r>
            <w:r>
              <w:rPr>
                <w:rFonts w:hint="eastAsia" w:asciiTheme="minorEastAsia" w:hAnsiTheme="minorEastAsia" w:eastAsiaTheme="minorEastAsia" w:cstheme="minorEastAsia"/>
                <w:color w:val="auto"/>
                <w:sz w:val="24"/>
                <w:szCs w:val="24"/>
                <w:highlight w:val="none"/>
              </w:rPr>
              <w:t>。</w:t>
            </w:r>
          </w:p>
          <w:p w14:paraId="632A77E2">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注：1.投标文件《技术响应表》应对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第二章 采购需求 二、技术参数要求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所列要求逐条响应，标注清楚每条参数的偏离情况并提供相关技术证明文件。</w:t>
            </w:r>
          </w:p>
          <w:p w14:paraId="5062F104">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2）供应商所投设备及试剂需提供医疗器械注册证【含附件：产品技术要求（如有）】或医疗器械备案凭证（非医疗器械可不提供），如未按要求提供，则磋商无效。</w:t>
            </w:r>
          </w:p>
          <w:p w14:paraId="1B5BFC0A">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3.需提供产品注册检验报告（完整版）及响应技术参数条款的技术白皮书和彩页等相关文件，并对响应技术参数部分做出明显标注。未提供对应证明材料的，视为不满足该项技术参数要求，做扣分处理。</w:t>
            </w:r>
          </w:p>
        </w:tc>
      </w:tr>
      <w:tr w14:paraId="4F1F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190" w:type="dxa"/>
            <w:vMerge w:val="restart"/>
            <w:noWrap/>
            <w:tcMar>
              <w:top w:w="0" w:type="dxa"/>
              <w:left w:w="28" w:type="dxa"/>
              <w:bottom w:w="0" w:type="dxa"/>
              <w:right w:w="28" w:type="dxa"/>
            </w:tcMar>
            <w:vAlign w:val="center"/>
          </w:tcPr>
          <w:p w14:paraId="7548728E">
            <w:pPr>
              <w:adjustRightInd w:val="0"/>
              <w:snapToGrid w:val="0"/>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商务分</w:t>
            </w:r>
          </w:p>
          <w:p w14:paraId="634F1878">
            <w:pPr>
              <w:adjustRightInd w:val="0"/>
              <w:snapToGrid w:val="0"/>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27</w:t>
            </w:r>
            <w:r>
              <w:rPr>
                <w:rFonts w:hint="eastAsia" w:asciiTheme="minorEastAsia" w:hAnsiTheme="minorEastAsia" w:eastAsiaTheme="minorEastAsia" w:cstheme="minorEastAsia"/>
                <w:b/>
                <w:color w:val="auto"/>
                <w:sz w:val="24"/>
                <w:szCs w:val="24"/>
              </w:rPr>
              <w:t>分）</w:t>
            </w:r>
          </w:p>
        </w:tc>
        <w:tc>
          <w:tcPr>
            <w:tcW w:w="1768" w:type="dxa"/>
            <w:noWrap/>
            <w:vAlign w:val="center"/>
          </w:tcPr>
          <w:p w14:paraId="46C22B7B">
            <w:pPr>
              <w:pStyle w:val="5"/>
              <w:widowControl/>
              <w:spacing w:line="420" w:lineRule="exact"/>
              <w:jc w:val="center"/>
              <w:rPr>
                <w:rFonts w:hint="eastAsia" w:asciiTheme="minorEastAsia" w:hAnsiTheme="minorEastAsia" w:eastAsiaTheme="minorEastAsia" w:cstheme="minorEastAsia"/>
                <w:b/>
                <w:color w:val="auto"/>
                <w:kern w:val="2"/>
                <w:sz w:val="24"/>
                <w:szCs w:val="24"/>
              </w:rPr>
            </w:pPr>
            <w:r>
              <w:rPr>
                <w:rFonts w:hint="eastAsia" w:asciiTheme="minorEastAsia" w:hAnsiTheme="minorEastAsia" w:eastAsiaTheme="minorEastAsia" w:cstheme="minorEastAsia"/>
                <w:b/>
                <w:color w:val="auto"/>
                <w:kern w:val="2"/>
                <w:sz w:val="24"/>
                <w:szCs w:val="24"/>
              </w:rPr>
              <w:t>实施方案</w:t>
            </w:r>
          </w:p>
          <w:p w14:paraId="75702C99">
            <w:pPr>
              <w:pStyle w:val="5"/>
              <w:widowControl/>
              <w:spacing w:line="42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2"/>
                <w:sz w:val="24"/>
                <w:szCs w:val="24"/>
              </w:rPr>
              <w:t>（</w:t>
            </w:r>
            <w:r>
              <w:rPr>
                <w:rFonts w:hint="eastAsia" w:asciiTheme="minorEastAsia" w:hAnsiTheme="minorEastAsia" w:eastAsiaTheme="minorEastAsia" w:cstheme="minorEastAsia"/>
                <w:b/>
                <w:color w:val="auto"/>
                <w:kern w:val="2"/>
                <w:sz w:val="24"/>
                <w:szCs w:val="24"/>
                <w:lang w:val="en-US" w:eastAsia="zh-CN"/>
              </w:rPr>
              <w:t>2</w:t>
            </w:r>
            <w:r>
              <w:rPr>
                <w:rFonts w:hint="eastAsia" w:asciiTheme="minorEastAsia" w:hAnsiTheme="minorEastAsia" w:eastAsiaTheme="minorEastAsia" w:cstheme="minorEastAsia"/>
                <w:b/>
                <w:color w:val="auto"/>
                <w:kern w:val="2"/>
                <w:sz w:val="24"/>
                <w:szCs w:val="24"/>
              </w:rPr>
              <w:t>分）</w:t>
            </w:r>
          </w:p>
        </w:tc>
        <w:tc>
          <w:tcPr>
            <w:tcW w:w="5311" w:type="dxa"/>
            <w:noWrap/>
            <w:vAlign w:val="center"/>
          </w:tcPr>
          <w:p w14:paraId="55650182">
            <w:pPr>
              <w:pStyle w:val="5"/>
              <w:widowControl/>
              <w:spacing w:line="420" w:lineRule="exact"/>
              <w:ind w:left="105" w:leftChars="5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highlight w:val="none"/>
                <w:lang w:val="en-US" w:eastAsia="zh-CN"/>
              </w:rPr>
              <w:t>根据供应商针对本项目提供的项目实施方案进行评分，方案中包括：①产品的供货、安装、调试方案；②产品质量保障措施；每提供一项得1分，最多得2分。方案具体内容应当满足采购人采购需求，专门针对本项目或适用于本项目特性的情形，方案具体内容分项描述完整，不缺少关键节点，方案具体内容不得套用其他项目方案，方案具体内容前后一致、涉及的规范及标准应当符合相关规定及要求。</w:t>
            </w:r>
          </w:p>
        </w:tc>
      </w:tr>
      <w:tr w14:paraId="3471D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190" w:type="dxa"/>
            <w:vMerge w:val="continue"/>
            <w:noWrap/>
            <w:tcMar>
              <w:top w:w="0" w:type="dxa"/>
              <w:left w:w="28" w:type="dxa"/>
              <w:bottom w:w="0" w:type="dxa"/>
              <w:right w:w="28" w:type="dxa"/>
            </w:tcMar>
            <w:vAlign w:val="center"/>
          </w:tcPr>
          <w:p w14:paraId="7339C3F2">
            <w:pPr>
              <w:adjustRightInd w:val="0"/>
              <w:snapToGrid w:val="0"/>
              <w:spacing w:line="360" w:lineRule="auto"/>
              <w:jc w:val="center"/>
              <w:rPr>
                <w:rFonts w:hint="eastAsia" w:asciiTheme="minorEastAsia" w:hAnsiTheme="minorEastAsia" w:eastAsiaTheme="minorEastAsia" w:cstheme="minorEastAsia"/>
                <w:b/>
                <w:color w:val="auto"/>
                <w:sz w:val="24"/>
                <w:szCs w:val="24"/>
              </w:rPr>
            </w:pPr>
          </w:p>
        </w:tc>
        <w:tc>
          <w:tcPr>
            <w:tcW w:w="1768" w:type="dxa"/>
            <w:vMerge w:val="restart"/>
            <w:noWrap/>
            <w:vAlign w:val="center"/>
          </w:tcPr>
          <w:p w14:paraId="00F75697">
            <w:pPr>
              <w:pStyle w:val="5"/>
              <w:widowControl/>
              <w:spacing w:line="420" w:lineRule="exact"/>
              <w:jc w:val="center"/>
              <w:rPr>
                <w:rFonts w:hint="eastAsia" w:asciiTheme="minorEastAsia" w:hAnsiTheme="minorEastAsia" w:eastAsiaTheme="minorEastAsia" w:cstheme="minorEastAsia"/>
                <w:b/>
                <w:color w:val="auto"/>
                <w:kern w:val="2"/>
                <w:sz w:val="24"/>
                <w:szCs w:val="24"/>
                <w:lang w:val="en-US" w:eastAsia="zh-CN"/>
              </w:rPr>
            </w:pPr>
            <w:r>
              <w:rPr>
                <w:rFonts w:hint="eastAsia" w:asciiTheme="minorEastAsia" w:hAnsiTheme="minorEastAsia" w:eastAsiaTheme="minorEastAsia" w:cstheme="minorEastAsia"/>
                <w:b/>
                <w:color w:val="auto"/>
                <w:kern w:val="2"/>
                <w:sz w:val="24"/>
                <w:szCs w:val="24"/>
                <w:lang w:val="en-US" w:eastAsia="zh-CN"/>
              </w:rPr>
              <w:t>试剂优惠</w:t>
            </w:r>
          </w:p>
          <w:p w14:paraId="2DCDC50B">
            <w:pPr>
              <w:pStyle w:val="5"/>
              <w:widowControl/>
              <w:spacing w:line="420" w:lineRule="exact"/>
              <w:jc w:val="center"/>
              <w:rPr>
                <w:rFonts w:hint="eastAsia" w:asciiTheme="minorEastAsia" w:hAnsiTheme="minorEastAsia" w:eastAsiaTheme="minorEastAsia" w:cstheme="minorEastAsia"/>
                <w:b/>
                <w:color w:val="auto"/>
                <w:kern w:val="2"/>
                <w:sz w:val="24"/>
                <w:szCs w:val="24"/>
                <w:lang w:val="en-US" w:eastAsia="zh-CN"/>
              </w:rPr>
            </w:pPr>
            <w:r>
              <w:rPr>
                <w:rFonts w:hint="eastAsia" w:asciiTheme="minorEastAsia" w:hAnsiTheme="minorEastAsia" w:eastAsiaTheme="minorEastAsia" w:cstheme="minorEastAsia"/>
                <w:b/>
                <w:color w:val="auto"/>
                <w:kern w:val="2"/>
                <w:sz w:val="24"/>
                <w:szCs w:val="24"/>
                <w:lang w:val="en-US" w:eastAsia="zh-CN"/>
              </w:rPr>
              <w:t>（11分）</w:t>
            </w:r>
          </w:p>
        </w:tc>
        <w:tc>
          <w:tcPr>
            <w:tcW w:w="5311" w:type="dxa"/>
            <w:noWrap/>
            <w:vAlign w:val="top"/>
          </w:tcPr>
          <w:p w14:paraId="1B6C7DB4">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根据供应商对</w:t>
            </w:r>
            <w:r>
              <w:rPr>
                <w:rFonts w:hint="eastAsia" w:asciiTheme="minorEastAsia" w:hAnsiTheme="minorEastAsia" w:eastAsiaTheme="minorEastAsia" w:cstheme="minorEastAsia"/>
                <w:b/>
                <w:bCs/>
                <w:color w:val="auto"/>
                <w:sz w:val="24"/>
                <w:szCs w:val="24"/>
                <w:highlight w:val="none"/>
                <w:lang w:val="en-US" w:eastAsia="zh-CN" w:bidi="ar-SA"/>
              </w:rPr>
              <w:t>高通量测序仪</w:t>
            </w:r>
            <w:r>
              <w:rPr>
                <w:rFonts w:hint="eastAsia" w:asciiTheme="minorEastAsia" w:hAnsiTheme="minorEastAsia" w:eastAsiaTheme="minorEastAsia" w:cstheme="minorEastAsia"/>
                <w:color w:val="auto"/>
                <w:sz w:val="24"/>
                <w:szCs w:val="24"/>
                <w:highlight w:val="none"/>
                <w:lang w:val="en-US" w:eastAsia="zh-CN" w:bidi="ar-SA"/>
              </w:rPr>
              <w:t>配套试剂报价进行评审：</w:t>
            </w:r>
          </w:p>
          <w:p w14:paraId="17E698FD">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试剂报价最低、完全符合项目需求的得5分；</w:t>
            </w:r>
          </w:p>
          <w:p w14:paraId="7049891C">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试剂报价在最低和最高之间、完全符合项目需求的得3分；</w:t>
            </w:r>
          </w:p>
          <w:p w14:paraId="63861D81">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试剂报价最高、完全符合项目需求的得1分；</w:t>
            </w:r>
          </w:p>
          <w:p w14:paraId="23459648">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未进行试剂单价报价、试剂单价报价缺项、试剂不符合采购需求的不得分。</w:t>
            </w:r>
          </w:p>
        </w:tc>
      </w:tr>
      <w:tr w14:paraId="6FD3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190" w:type="dxa"/>
            <w:vMerge w:val="continue"/>
            <w:noWrap/>
            <w:tcMar>
              <w:top w:w="0" w:type="dxa"/>
              <w:left w:w="28" w:type="dxa"/>
              <w:bottom w:w="0" w:type="dxa"/>
              <w:right w:w="28" w:type="dxa"/>
            </w:tcMar>
            <w:vAlign w:val="center"/>
          </w:tcPr>
          <w:p w14:paraId="5A7BD654">
            <w:pPr>
              <w:adjustRightInd w:val="0"/>
              <w:snapToGrid w:val="0"/>
              <w:spacing w:line="360" w:lineRule="auto"/>
              <w:jc w:val="center"/>
              <w:rPr>
                <w:rFonts w:hint="eastAsia" w:asciiTheme="minorEastAsia" w:hAnsiTheme="minorEastAsia" w:eastAsiaTheme="minorEastAsia" w:cstheme="minorEastAsia"/>
                <w:b/>
                <w:color w:val="auto"/>
                <w:sz w:val="24"/>
                <w:szCs w:val="24"/>
              </w:rPr>
            </w:pPr>
          </w:p>
        </w:tc>
        <w:tc>
          <w:tcPr>
            <w:tcW w:w="1768" w:type="dxa"/>
            <w:vMerge w:val="continue"/>
            <w:noWrap/>
            <w:vAlign w:val="center"/>
          </w:tcPr>
          <w:p w14:paraId="0E14EE66">
            <w:pPr>
              <w:pStyle w:val="5"/>
              <w:widowControl/>
              <w:spacing w:line="420" w:lineRule="exact"/>
              <w:jc w:val="center"/>
              <w:rPr>
                <w:rFonts w:hint="eastAsia" w:asciiTheme="minorEastAsia" w:hAnsiTheme="minorEastAsia" w:eastAsiaTheme="minorEastAsia" w:cstheme="minorEastAsia"/>
                <w:b/>
                <w:color w:val="auto"/>
                <w:kern w:val="2"/>
                <w:sz w:val="24"/>
                <w:szCs w:val="24"/>
                <w:lang w:val="en-US" w:eastAsia="zh-CN"/>
              </w:rPr>
            </w:pPr>
          </w:p>
        </w:tc>
        <w:tc>
          <w:tcPr>
            <w:tcW w:w="5311" w:type="dxa"/>
            <w:noWrap/>
            <w:vAlign w:val="top"/>
          </w:tcPr>
          <w:p w14:paraId="254B8AA6">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根据供应商对</w:t>
            </w:r>
            <w:r>
              <w:rPr>
                <w:rFonts w:hint="eastAsia" w:asciiTheme="minorEastAsia" w:hAnsiTheme="minorEastAsia" w:eastAsiaTheme="minorEastAsia" w:cstheme="minorEastAsia"/>
                <w:b/>
                <w:bCs/>
                <w:color w:val="auto"/>
                <w:sz w:val="24"/>
                <w:szCs w:val="24"/>
                <w:highlight w:val="none"/>
                <w:lang w:val="en-US" w:eastAsia="zh-CN" w:bidi="ar-SA"/>
              </w:rPr>
              <w:t>基因测序文库构建系统（仪）</w:t>
            </w:r>
            <w:r>
              <w:rPr>
                <w:rFonts w:hint="eastAsia" w:asciiTheme="minorEastAsia" w:hAnsiTheme="minorEastAsia" w:eastAsiaTheme="minorEastAsia" w:cstheme="minorEastAsia"/>
                <w:color w:val="auto"/>
                <w:sz w:val="24"/>
                <w:szCs w:val="24"/>
                <w:highlight w:val="none"/>
                <w:lang w:val="en-US" w:eastAsia="zh-CN" w:bidi="ar-SA"/>
              </w:rPr>
              <w:t>配套试剂报价进行评审：</w:t>
            </w:r>
          </w:p>
          <w:p w14:paraId="64943B51">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试剂报价最低、完全符合项目需求的得3分；</w:t>
            </w:r>
          </w:p>
          <w:p w14:paraId="23CE80C0">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试剂报价在最低和最高之间、完全符合项目需求的得2分；</w:t>
            </w:r>
          </w:p>
          <w:p w14:paraId="1DE80973">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试剂报价最高、完全符合项目需求的得1分；</w:t>
            </w:r>
          </w:p>
          <w:p w14:paraId="4F3D179B">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未进行试剂单价报价、试剂报价缺项、试剂不符合采购需求的不得分。</w:t>
            </w:r>
          </w:p>
        </w:tc>
      </w:tr>
      <w:tr w14:paraId="6871E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190" w:type="dxa"/>
            <w:vMerge w:val="continue"/>
            <w:noWrap/>
            <w:tcMar>
              <w:top w:w="0" w:type="dxa"/>
              <w:left w:w="28" w:type="dxa"/>
              <w:bottom w:w="0" w:type="dxa"/>
              <w:right w:w="28" w:type="dxa"/>
            </w:tcMar>
            <w:vAlign w:val="center"/>
          </w:tcPr>
          <w:p w14:paraId="39F03F8F">
            <w:pPr>
              <w:adjustRightInd w:val="0"/>
              <w:snapToGrid w:val="0"/>
              <w:spacing w:line="360" w:lineRule="auto"/>
              <w:jc w:val="center"/>
              <w:rPr>
                <w:rFonts w:hint="eastAsia" w:asciiTheme="minorEastAsia" w:hAnsiTheme="minorEastAsia" w:eastAsiaTheme="minorEastAsia" w:cstheme="minorEastAsia"/>
                <w:b/>
                <w:color w:val="auto"/>
                <w:sz w:val="24"/>
                <w:szCs w:val="24"/>
              </w:rPr>
            </w:pPr>
          </w:p>
        </w:tc>
        <w:tc>
          <w:tcPr>
            <w:tcW w:w="1768" w:type="dxa"/>
            <w:vMerge w:val="continue"/>
            <w:noWrap/>
            <w:vAlign w:val="center"/>
          </w:tcPr>
          <w:p w14:paraId="0AAE885F">
            <w:pPr>
              <w:pStyle w:val="5"/>
              <w:widowControl/>
              <w:spacing w:line="420" w:lineRule="exact"/>
              <w:jc w:val="center"/>
              <w:rPr>
                <w:rFonts w:hint="eastAsia" w:asciiTheme="minorEastAsia" w:hAnsiTheme="minorEastAsia" w:eastAsiaTheme="minorEastAsia" w:cstheme="minorEastAsia"/>
                <w:b/>
                <w:color w:val="auto"/>
                <w:kern w:val="2"/>
                <w:sz w:val="24"/>
                <w:szCs w:val="24"/>
                <w:lang w:val="en-US" w:eastAsia="zh-CN"/>
              </w:rPr>
            </w:pPr>
          </w:p>
        </w:tc>
        <w:tc>
          <w:tcPr>
            <w:tcW w:w="5311" w:type="dxa"/>
            <w:shd w:val="clear" w:color="auto" w:fill="auto"/>
            <w:noWrap/>
            <w:vAlign w:val="top"/>
          </w:tcPr>
          <w:p w14:paraId="4571B9B3">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根据供应商对</w:t>
            </w:r>
            <w:r>
              <w:rPr>
                <w:rFonts w:hint="eastAsia" w:asciiTheme="minorEastAsia" w:hAnsiTheme="minorEastAsia" w:eastAsiaTheme="minorEastAsia" w:cstheme="minorEastAsia"/>
                <w:b/>
                <w:bCs/>
                <w:color w:val="auto"/>
                <w:sz w:val="24"/>
                <w:szCs w:val="24"/>
                <w:highlight w:val="none"/>
                <w:lang w:val="en-US" w:eastAsia="zh-CN"/>
              </w:rPr>
              <w:t>核酸提取仪</w:t>
            </w:r>
            <w:r>
              <w:rPr>
                <w:rFonts w:hint="eastAsia" w:asciiTheme="minorEastAsia" w:hAnsiTheme="minorEastAsia" w:eastAsiaTheme="minorEastAsia" w:cstheme="minorEastAsia"/>
                <w:color w:val="auto"/>
                <w:sz w:val="24"/>
                <w:szCs w:val="24"/>
                <w:highlight w:val="none"/>
                <w:lang w:val="en-US" w:eastAsia="zh-CN" w:bidi="ar-SA"/>
              </w:rPr>
              <w:t>配套试剂报价进行评审：</w:t>
            </w:r>
          </w:p>
          <w:p w14:paraId="4D538BC5">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试剂报价最低、完全符合项目需求的得3分；</w:t>
            </w:r>
          </w:p>
          <w:p w14:paraId="2FAA11C2">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试剂报价在最低和最高之间、完全符合项目需求的得2分；</w:t>
            </w:r>
          </w:p>
          <w:p w14:paraId="3B9657B1">
            <w:pPr>
              <w:widowControl/>
              <w:numPr>
                <w:ilvl w:val="0"/>
                <w:numId w:val="0"/>
              </w:numPr>
              <w:wordWrap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试剂报价最高、完全符合项目需求的得1分；</w:t>
            </w:r>
          </w:p>
          <w:p w14:paraId="257E2DA8">
            <w:pPr>
              <w:widowControl/>
              <w:numPr>
                <w:ilvl w:val="0"/>
                <w:numId w:val="0"/>
              </w:numPr>
              <w:wordWrap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未进行试剂单价报价、试剂报价缺项、试剂不符合采购需求的不得分。</w:t>
            </w:r>
          </w:p>
        </w:tc>
      </w:tr>
      <w:tr w14:paraId="3006C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190" w:type="dxa"/>
            <w:vMerge w:val="continue"/>
            <w:noWrap/>
            <w:tcMar>
              <w:top w:w="0" w:type="dxa"/>
              <w:left w:w="28" w:type="dxa"/>
              <w:bottom w:w="0" w:type="dxa"/>
              <w:right w:w="28" w:type="dxa"/>
            </w:tcMar>
            <w:vAlign w:val="center"/>
          </w:tcPr>
          <w:p w14:paraId="127098D5">
            <w:pPr>
              <w:adjustRightInd w:val="0"/>
              <w:snapToGrid w:val="0"/>
              <w:spacing w:line="360" w:lineRule="auto"/>
              <w:jc w:val="center"/>
              <w:rPr>
                <w:rFonts w:hint="eastAsia" w:asciiTheme="minorEastAsia" w:hAnsiTheme="minorEastAsia" w:eastAsiaTheme="minorEastAsia" w:cstheme="minorEastAsia"/>
                <w:b/>
                <w:color w:val="auto"/>
                <w:sz w:val="24"/>
                <w:szCs w:val="24"/>
              </w:rPr>
            </w:pPr>
          </w:p>
        </w:tc>
        <w:tc>
          <w:tcPr>
            <w:tcW w:w="1768" w:type="dxa"/>
            <w:noWrap/>
            <w:vAlign w:val="center"/>
          </w:tcPr>
          <w:p w14:paraId="64FF9AF0">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优惠承诺（</w:t>
            </w: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分）</w:t>
            </w:r>
          </w:p>
        </w:tc>
        <w:tc>
          <w:tcPr>
            <w:tcW w:w="5311" w:type="dxa"/>
            <w:noWrap/>
            <w:vAlign w:val="center"/>
          </w:tcPr>
          <w:p w14:paraId="6E7C8810">
            <w:pPr>
              <w:pStyle w:val="9"/>
              <w:spacing w:line="36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根据供应商在满足采购文件要求的基础上另外提出的优惠承诺进行评比：每提供一项对采购人有利的、切实可行的实质性优惠承诺得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分，最多得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分。未提供者不得分。 </w:t>
            </w:r>
          </w:p>
        </w:tc>
      </w:tr>
      <w:tr w14:paraId="1078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190" w:type="dxa"/>
            <w:vMerge w:val="continue"/>
            <w:noWrap/>
            <w:tcMar>
              <w:top w:w="0" w:type="dxa"/>
              <w:left w:w="28" w:type="dxa"/>
              <w:bottom w:w="0" w:type="dxa"/>
              <w:right w:w="28" w:type="dxa"/>
            </w:tcMar>
            <w:vAlign w:val="center"/>
          </w:tcPr>
          <w:p w14:paraId="7977B7FE">
            <w:pPr>
              <w:adjustRightInd w:val="0"/>
              <w:snapToGrid w:val="0"/>
              <w:spacing w:line="360" w:lineRule="auto"/>
              <w:jc w:val="center"/>
              <w:rPr>
                <w:rFonts w:hint="eastAsia" w:asciiTheme="minorEastAsia" w:hAnsiTheme="minorEastAsia" w:eastAsiaTheme="minorEastAsia" w:cstheme="minorEastAsia"/>
                <w:b/>
                <w:color w:val="auto"/>
                <w:sz w:val="24"/>
                <w:szCs w:val="24"/>
              </w:rPr>
            </w:pPr>
          </w:p>
        </w:tc>
        <w:tc>
          <w:tcPr>
            <w:tcW w:w="1768" w:type="dxa"/>
            <w:noWrap/>
            <w:vAlign w:val="center"/>
          </w:tcPr>
          <w:p w14:paraId="4ACAFCDA">
            <w:pPr>
              <w:pStyle w:val="5"/>
              <w:widowControl/>
              <w:spacing w:line="420" w:lineRule="exact"/>
              <w:jc w:val="center"/>
              <w:rPr>
                <w:rFonts w:hint="eastAsia" w:asciiTheme="minorEastAsia" w:hAnsiTheme="minorEastAsia" w:eastAsiaTheme="minorEastAsia" w:cstheme="minorEastAsia"/>
                <w:b/>
                <w:color w:val="auto"/>
                <w:kern w:val="2"/>
                <w:sz w:val="24"/>
                <w:szCs w:val="24"/>
              </w:rPr>
            </w:pPr>
            <w:r>
              <w:rPr>
                <w:rFonts w:hint="eastAsia" w:asciiTheme="minorEastAsia" w:hAnsiTheme="minorEastAsia" w:eastAsiaTheme="minorEastAsia" w:cstheme="minorEastAsia"/>
                <w:b/>
                <w:color w:val="auto"/>
                <w:kern w:val="2"/>
                <w:sz w:val="24"/>
                <w:szCs w:val="24"/>
              </w:rPr>
              <w:t>售后服务方案</w:t>
            </w:r>
          </w:p>
          <w:p w14:paraId="18217CB7">
            <w:pPr>
              <w:pStyle w:val="5"/>
              <w:widowControl/>
              <w:spacing w:line="42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2"/>
                <w:sz w:val="24"/>
                <w:szCs w:val="24"/>
              </w:rPr>
              <w:t>（</w:t>
            </w:r>
            <w:r>
              <w:rPr>
                <w:rFonts w:hint="eastAsia" w:asciiTheme="minorEastAsia" w:hAnsiTheme="minorEastAsia" w:eastAsiaTheme="minorEastAsia" w:cstheme="minorEastAsia"/>
                <w:b/>
                <w:color w:val="auto"/>
                <w:kern w:val="2"/>
                <w:sz w:val="24"/>
                <w:szCs w:val="24"/>
                <w:lang w:val="en-US" w:eastAsia="zh-CN"/>
              </w:rPr>
              <w:t>10</w:t>
            </w:r>
            <w:r>
              <w:rPr>
                <w:rFonts w:hint="eastAsia" w:asciiTheme="minorEastAsia" w:hAnsiTheme="minorEastAsia" w:eastAsiaTheme="minorEastAsia" w:cstheme="minorEastAsia"/>
                <w:b/>
                <w:color w:val="auto"/>
                <w:kern w:val="2"/>
                <w:sz w:val="24"/>
                <w:szCs w:val="24"/>
              </w:rPr>
              <w:t>分）</w:t>
            </w:r>
          </w:p>
        </w:tc>
        <w:tc>
          <w:tcPr>
            <w:tcW w:w="5311" w:type="dxa"/>
            <w:noWrap/>
            <w:vAlign w:val="center"/>
          </w:tcPr>
          <w:p w14:paraId="54E30818">
            <w:pPr>
              <w:widowControl/>
              <w:spacing w:line="440" w:lineRule="exact"/>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根据供应商针对本项目提供的售后服务方案进行评分，方案中包括：①</w:t>
            </w:r>
            <w:r>
              <w:rPr>
                <w:rFonts w:hint="eastAsia" w:asciiTheme="minorEastAsia" w:hAnsiTheme="minorEastAsia" w:eastAsiaTheme="minorEastAsia" w:cstheme="minorEastAsia"/>
                <w:color w:val="auto"/>
                <w:sz w:val="24"/>
                <w:szCs w:val="24"/>
                <w:highlight w:val="none"/>
                <w:lang w:val="en-US" w:eastAsia="zh-CN"/>
              </w:rPr>
              <w:t>售后服务流程；</w:t>
            </w:r>
            <w:r>
              <w:rPr>
                <w:rFonts w:hint="eastAsia" w:asciiTheme="minorEastAsia" w:hAnsiTheme="minorEastAsia" w:eastAsiaTheme="minorEastAsia" w:cstheme="minorEastAsia"/>
                <w:color w:val="auto"/>
                <w:kern w:val="2"/>
                <w:sz w:val="24"/>
                <w:szCs w:val="24"/>
                <w:highlight w:val="none"/>
                <w:lang w:val="en-US" w:eastAsia="zh-CN"/>
              </w:rPr>
              <w:t>②</w:t>
            </w:r>
            <w:r>
              <w:rPr>
                <w:rFonts w:hint="eastAsia" w:asciiTheme="minorEastAsia" w:hAnsiTheme="minorEastAsia" w:eastAsiaTheme="minorEastAsia" w:cstheme="minorEastAsia"/>
                <w:color w:val="auto"/>
                <w:sz w:val="24"/>
                <w:szCs w:val="24"/>
                <w:highlight w:val="none"/>
                <w:lang w:val="en-US" w:eastAsia="zh-CN"/>
              </w:rPr>
              <w:t>服务站点设立，售后服务团队</w:t>
            </w:r>
            <w:r>
              <w:rPr>
                <w:rFonts w:hint="eastAsia" w:asciiTheme="minorEastAsia" w:hAnsiTheme="minorEastAsia" w:eastAsiaTheme="minorEastAsia" w:cstheme="minorEastAsia"/>
                <w:color w:val="auto"/>
                <w:kern w:val="2"/>
                <w:sz w:val="24"/>
                <w:szCs w:val="24"/>
                <w:highlight w:val="none"/>
                <w:lang w:val="en-US" w:eastAsia="zh-CN"/>
              </w:rPr>
              <w:t>（职责及分工、技术专业及工作经验）</w:t>
            </w:r>
            <w:r>
              <w:rPr>
                <w:rFonts w:hint="eastAsia" w:asciiTheme="minorEastAsia" w:hAnsiTheme="minorEastAsia" w:eastAsiaTheme="minorEastAsia" w:cstheme="minorEastAsia"/>
                <w:color w:val="auto"/>
                <w:sz w:val="24"/>
                <w:szCs w:val="24"/>
                <w:highlight w:val="none"/>
                <w:lang w:val="en-US" w:eastAsia="zh-CN"/>
              </w:rPr>
              <w:t>及其联系方式、技术水平；</w:t>
            </w:r>
            <w:r>
              <w:rPr>
                <w:rFonts w:hint="eastAsia" w:asciiTheme="minorEastAsia" w:hAnsiTheme="minorEastAsia" w:eastAsiaTheme="minorEastAsia" w:cstheme="minorEastAsia"/>
                <w:color w:val="auto"/>
                <w:kern w:val="2"/>
                <w:sz w:val="24"/>
                <w:szCs w:val="24"/>
                <w:highlight w:val="none"/>
                <w:lang w:val="en-US" w:eastAsia="zh-CN"/>
              </w:rPr>
              <w:t>③</w:t>
            </w:r>
            <w:r>
              <w:rPr>
                <w:rFonts w:hint="eastAsia" w:asciiTheme="minorEastAsia" w:hAnsiTheme="minorEastAsia" w:eastAsiaTheme="minorEastAsia" w:cstheme="minorEastAsia"/>
                <w:color w:val="auto"/>
                <w:sz w:val="24"/>
                <w:szCs w:val="24"/>
                <w:highlight w:val="none"/>
                <w:lang w:val="en-US" w:eastAsia="zh-CN"/>
              </w:rPr>
              <w:t>现场服务措施（如故障响应时间、故障处理方案等）；</w:t>
            </w:r>
            <w:r>
              <w:rPr>
                <w:rFonts w:hint="eastAsia" w:asciiTheme="minorEastAsia" w:hAnsiTheme="minorEastAsia" w:eastAsiaTheme="minorEastAsia" w:cstheme="minorEastAsia"/>
                <w:color w:val="auto"/>
                <w:kern w:val="2"/>
                <w:sz w:val="24"/>
                <w:szCs w:val="24"/>
                <w:highlight w:val="none"/>
                <w:lang w:val="en-US" w:eastAsia="zh-CN"/>
              </w:rPr>
              <w:t>④日常巡检、日常</w:t>
            </w:r>
            <w:r>
              <w:rPr>
                <w:rFonts w:hint="eastAsia" w:asciiTheme="minorEastAsia" w:hAnsiTheme="minorEastAsia" w:eastAsiaTheme="minorEastAsia" w:cstheme="minorEastAsia"/>
                <w:color w:val="auto"/>
                <w:sz w:val="24"/>
                <w:szCs w:val="24"/>
                <w:highlight w:val="none"/>
                <w:lang w:val="en-US" w:eastAsia="zh-CN"/>
              </w:rPr>
              <w:t>维修保养具体措施；</w:t>
            </w:r>
            <w:r>
              <w:rPr>
                <w:rFonts w:hint="eastAsia" w:asciiTheme="minorEastAsia" w:hAnsiTheme="minorEastAsia" w:eastAsiaTheme="minorEastAsia" w:cstheme="minorEastAsia"/>
                <w:color w:val="auto"/>
                <w:kern w:val="2"/>
                <w:sz w:val="24"/>
                <w:szCs w:val="24"/>
                <w:highlight w:val="none"/>
                <w:lang w:val="en-US" w:eastAsia="zh-CN"/>
              </w:rPr>
              <w:t>⑤备品备件的保障供应；</w:t>
            </w:r>
          </w:p>
          <w:p w14:paraId="76A71141">
            <w:pPr>
              <w:pStyle w:val="5"/>
              <w:widowControl/>
              <w:spacing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每提供一项得2分，最多得10分。方案具体内容应当满足采购人采购需求，专门针对本项目或适用于本项目特性的情形，方案具体内容分项描述完整，不缺少关键节点，方案具体内容不得套用其他项目方案，方案具体内容前后一致、涉及的规范及标准应当符合相关规定及要求。</w:t>
            </w:r>
          </w:p>
        </w:tc>
      </w:tr>
      <w:tr w14:paraId="11872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190" w:type="dxa"/>
            <w:vMerge w:val="continue"/>
            <w:noWrap/>
            <w:tcMar>
              <w:top w:w="0" w:type="dxa"/>
              <w:left w:w="28" w:type="dxa"/>
              <w:bottom w:w="0" w:type="dxa"/>
              <w:right w:w="28" w:type="dxa"/>
            </w:tcMar>
            <w:vAlign w:val="center"/>
          </w:tcPr>
          <w:p w14:paraId="3F6369D6">
            <w:pPr>
              <w:adjustRightInd w:val="0"/>
              <w:snapToGrid w:val="0"/>
              <w:spacing w:line="360" w:lineRule="auto"/>
              <w:jc w:val="center"/>
              <w:rPr>
                <w:rFonts w:hint="eastAsia" w:asciiTheme="minorEastAsia" w:hAnsiTheme="minorEastAsia" w:eastAsiaTheme="minorEastAsia" w:cstheme="minorEastAsia"/>
                <w:b/>
                <w:color w:val="auto"/>
                <w:sz w:val="24"/>
                <w:szCs w:val="24"/>
              </w:rPr>
            </w:pPr>
          </w:p>
        </w:tc>
        <w:tc>
          <w:tcPr>
            <w:tcW w:w="1768" w:type="dxa"/>
            <w:noWrap/>
            <w:vAlign w:val="center"/>
          </w:tcPr>
          <w:p w14:paraId="75DD96DA">
            <w:pPr>
              <w:pStyle w:val="5"/>
              <w:widowControl/>
              <w:spacing w:line="420" w:lineRule="exact"/>
              <w:jc w:val="center"/>
              <w:rPr>
                <w:rFonts w:hint="eastAsia" w:asciiTheme="minorEastAsia" w:hAnsiTheme="minorEastAsia" w:eastAsiaTheme="minorEastAsia" w:cstheme="minorEastAsia"/>
                <w:b/>
                <w:color w:val="auto"/>
                <w:kern w:val="2"/>
                <w:sz w:val="24"/>
                <w:szCs w:val="24"/>
              </w:rPr>
            </w:pPr>
            <w:r>
              <w:rPr>
                <w:rFonts w:hint="eastAsia" w:asciiTheme="minorEastAsia" w:hAnsiTheme="minorEastAsia" w:eastAsiaTheme="minorEastAsia" w:cstheme="minorEastAsia"/>
                <w:b/>
                <w:color w:val="auto"/>
                <w:kern w:val="2"/>
                <w:sz w:val="24"/>
                <w:szCs w:val="24"/>
              </w:rPr>
              <w:t>培训方案</w:t>
            </w:r>
          </w:p>
          <w:p w14:paraId="6F18913B">
            <w:pPr>
              <w:pStyle w:val="5"/>
              <w:widowControl/>
              <w:spacing w:line="420" w:lineRule="exact"/>
              <w:jc w:val="center"/>
              <w:rPr>
                <w:rFonts w:hint="eastAsia" w:asciiTheme="minorEastAsia" w:hAnsiTheme="minorEastAsia" w:eastAsiaTheme="minorEastAsia" w:cstheme="minorEastAsia"/>
                <w:b/>
                <w:color w:val="auto"/>
                <w:kern w:val="2"/>
                <w:sz w:val="24"/>
                <w:szCs w:val="24"/>
              </w:rPr>
            </w:pPr>
            <w:r>
              <w:rPr>
                <w:rFonts w:hint="eastAsia" w:asciiTheme="minorEastAsia" w:hAnsiTheme="minorEastAsia" w:eastAsiaTheme="minorEastAsia" w:cstheme="minorEastAsia"/>
                <w:b/>
                <w:color w:val="auto"/>
                <w:kern w:val="2"/>
                <w:sz w:val="24"/>
                <w:szCs w:val="24"/>
              </w:rPr>
              <w:t>（</w:t>
            </w:r>
            <w:r>
              <w:rPr>
                <w:rFonts w:hint="eastAsia" w:asciiTheme="minorEastAsia" w:hAnsiTheme="minorEastAsia" w:eastAsiaTheme="minorEastAsia" w:cstheme="minorEastAsia"/>
                <w:b/>
                <w:color w:val="auto"/>
                <w:kern w:val="2"/>
                <w:sz w:val="24"/>
                <w:szCs w:val="24"/>
                <w:lang w:val="en-US" w:eastAsia="zh-CN"/>
              </w:rPr>
              <w:t>2</w:t>
            </w:r>
            <w:r>
              <w:rPr>
                <w:rFonts w:hint="eastAsia" w:asciiTheme="minorEastAsia" w:hAnsiTheme="minorEastAsia" w:eastAsiaTheme="minorEastAsia" w:cstheme="minorEastAsia"/>
                <w:b/>
                <w:color w:val="auto"/>
                <w:kern w:val="2"/>
                <w:sz w:val="24"/>
                <w:szCs w:val="24"/>
              </w:rPr>
              <w:t>分）</w:t>
            </w:r>
          </w:p>
        </w:tc>
        <w:tc>
          <w:tcPr>
            <w:tcW w:w="5311" w:type="dxa"/>
            <w:noWrap/>
            <w:vAlign w:val="center"/>
          </w:tcPr>
          <w:p w14:paraId="61CDB2C4">
            <w:pPr>
              <w:pStyle w:val="5"/>
              <w:widowControl/>
              <w:spacing w:line="420" w:lineRule="exact"/>
              <w:ind w:left="105" w:leftChars="5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根据供应商针对本项目提供的培训方案进行评分，方案中包括：①培训内容；②培训人员安排及培训计划</w:t>
            </w:r>
          </w:p>
          <w:p w14:paraId="171444FF">
            <w:pPr>
              <w:pStyle w:val="5"/>
              <w:widowControl/>
              <w:spacing w:line="420" w:lineRule="exact"/>
              <w:ind w:left="105" w:leftChars="5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每提供一项得1分，最多得2分。方案具体内容应当满足采购人采购需求，专门针对本项目或适用于本项目特性的情形，方案具体内容分项描述完整，不缺少关键节点，方案具体内容不得套用其他项目方案，方案具体内容前后一致、涉及的规范及标准应当符合相关规定及要求。</w:t>
            </w:r>
          </w:p>
        </w:tc>
      </w:tr>
      <w:tr w14:paraId="3E2C4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4" w:hRule="atLeast"/>
          <w:jc w:val="center"/>
        </w:trPr>
        <w:tc>
          <w:tcPr>
            <w:tcW w:w="1190" w:type="dxa"/>
            <w:noWrap/>
            <w:tcMar>
              <w:top w:w="0" w:type="dxa"/>
              <w:left w:w="28" w:type="dxa"/>
              <w:bottom w:w="0" w:type="dxa"/>
              <w:right w:w="28" w:type="dxa"/>
            </w:tcMar>
            <w:vAlign w:val="center"/>
          </w:tcPr>
          <w:p w14:paraId="4921268E">
            <w:pPr>
              <w:adjustRightInd w:val="0"/>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资信及其他部分（</w:t>
            </w: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rPr>
              <w:t>分）</w:t>
            </w:r>
          </w:p>
        </w:tc>
        <w:tc>
          <w:tcPr>
            <w:tcW w:w="1768" w:type="dxa"/>
            <w:noWrap/>
            <w:vAlign w:val="center"/>
          </w:tcPr>
          <w:p w14:paraId="1909CBA3">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业绩（</w:t>
            </w: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分）</w:t>
            </w:r>
          </w:p>
        </w:tc>
        <w:tc>
          <w:tcPr>
            <w:tcW w:w="5311" w:type="dxa"/>
            <w:noWrap/>
            <w:vAlign w:val="center"/>
          </w:tcPr>
          <w:p w14:paraId="5562F848">
            <w:pPr>
              <w:pStyle w:val="9"/>
              <w:spacing w:line="360" w:lineRule="auto"/>
              <w:ind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供应商自2022年1月1日以来（以合同签订时间为准）有过类似项目供应经验的（合同甲方须为货物使用单位，合同标的物须涵盖本项目核心产品），每提供1个合同得1分，最多得3分。未提供者不得分。</w:t>
            </w:r>
          </w:p>
          <w:p w14:paraId="218A025B">
            <w:pPr>
              <w:pStyle w:val="9"/>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注：提供合同扫描件（</w:t>
            </w:r>
            <w:r>
              <w:rPr>
                <w:rFonts w:hint="eastAsia" w:asciiTheme="minorEastAsia" w:hAnsiTheme="minorEastAsia" w:eastAsiaTheme="minorEastAsia" w:cstheme="minorEastAsia"/>
                <w:color w:val="auto"/>
                <w:kern w:val="2"/>
                <w:sz w:val="24"/>
                <w:szCs w:val="24"/>
                <w:highlight w:val="none"/>
                <w:lang w:val="en-US" w:eastAsia="zh-CN" w:bidi="ar-SA"/>
              </w:rPr>
              <w:t>有涂抹或遮盖的，视为无效证明资料</w:t>
            </w:r>
            <w:r>
              <w:rPr>
                <w:rFonts w:hint="eastAsia" w:asciiTheme="minorEastAsia" w:hAnsiTheme="minorEastAsia" w:eastAsiaTheme="minorEastAsia" w:cstheme="minorEastAsia"/>
                <w:color w:val="auto"/>
                <w:sz w:val="24"/>
                <w:szCs w:val="24"/>
                <w:highlight w:val="none"/>
                <w:lang w:val="en-US" w:eastAsia="zh-CN"/>
              </w:rPr>
              <w:t>）</w:t>
            </w:r>
          </w:p>
        </w:tc>
      </w:tr>
      <w:tr w14:paraId="6544E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8269" w:type="dxa"/>
            <w:gridSpan w:val="3"/>
            <w:noWrap/>
            <w:tcMar>
              <w:top w:w="0" w:type="dxa"/>
              <w:left w:w="28" w:type="dxa"/>
              <w:bottom w:w="0" w:type="dxa"/>
              <w:right w:w="28" w:type="dxa"/>
            </w:tcMar>
            <w:vAlign w:val="center"/>
          </w:tcPr>
          <w:p w14:paraId="7AFF99AB">
            <w:pPr>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注：详细评审中涉及得分要求提供证明材料的，证明材料扫描件</w:t>
            </w:r>
            <w:r>
              <w:rPr>
                <w:rFonts w:hint="eastAsia" w:asciiTheme="minorEastAsia" w:hAnsiTheme="minorEastAsia" w:eastAsiaTheme="minorEastAsia" w:cstheme="minorEastAsia"/>
                <w:color w:val="auto"/>
                <w:sz w:val="24"/>
                <w:szCs w:val="24"/>
                <w:lang w:val="en-US" w:eastAsia="zh-CN"/>
              </w:rPr>
              <w:t>或复印件</w:t>
            </w:r>
            <w:r>
              <w:rPr>
                <w:rFonts w:hint="eastAsia" w:asciiTheme="minorEastAsia" w:hAnsiTheme="minorEastAsia" w:eastAsiaTheme="minorEastAsia" w:cstheme="minorEastAsia"/>
                <w:color w:val="auto"/>
                <w:sz w:val="24"/>
                <w:szCs w:val="24"/>
              </w:rPr>
              <w:t>需附在响应文件内。</w:t>
            </w:r>
          </w:p>
        </w:tc>
      </w:tr>
    </w:tbl>
    <w:p w14:paraId="27949AFD">
      <w:pPr>
        <w:pStyle w:val="6"/>
        <w:numPr>
          <w:ilvl w:val="0"/>
          <w:numId w:val="0"/>
        </w:numPr>
        <w:ind w:leftChars="200"/>
        <w:rPr>
          <w:rFonts w:hint="eastAsia" w:asciiTheme="minorEastAsia" w:hAnsiTheme="minorEastAsia" w:eastAsiaTheme="minorEastAsia" w:cstheme="minorEastAsia"/>
          <w:b/>
          <w:bCs/>
          <w:color w:val="FF0000"/>
          <w:sz w:val="32"/>
          <w:szCs w:val="32"/>
          <w:lang w:val="en-US" w:eastAsia="zh-CN"/>
        </w:rPr>
      </w:pPr>
      <w:r>
        <w:rPr>
          <w:rFonts w:hint="eastAsia" w:asciiTheme="minorEastAsia" w:hAnsiTheme="minorEastAsia" w:eastAsiaTheme="minorEastAsia" w:cstheme="minorEastAsia"/>
          <w:b/>
          <w:bCs/>
          <w:color w:val="FF0000"/>
          <w:sz w:val="32"/>
          <w:szCs w:val="32"/>
          <w:lang w:val="en-US" w:eastAsia="zh-CN"/>
        </w:rPr>
        <w:t>现变更为：</w:t>
      </w:r>
    </w:p>
    <w:p w14:paraId="73C7593F">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sz w:val="28"/>
          <w:szCs w:val="28"/>
          <w:lang w:val="en-US" w:eastAsia="zh-CN"/>
        </w:rPr>
        <w:t>采购文件第二章中“二技术参数要求”中的内容：</w:t>
      </w:r>
    </w:p>
    <w:p w14:paraId="551DDEF3">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（一）高通量测序仪具体参数要求（核心产品）</w:t>
      </w:r>
    </w:p>
    <w:p w14:paraId="1D0D4686">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b w:val="0"/>
          <w:bCs w:val="0"/>
          <w:color w:val="auto"/>
          <w:spacing w:val="-3"/>
          <w:sz w:val="24"/>
          <w:szCs w:val="24"/>
          <w:lang w:val="en-US" w:eastAsia="zh-CN"/>
        </w:rPr>
      </w:pPr>
      <w:r>
        <w:rPr>
          <w:rFonts w:hint="eastAsia" w:asciiTheme="minorEastAsia" w:hAnsiTheme="minorEastAsia" w:eastAsiaTheme="minorEastAsia" w:cstheme="minorEastAsia"/>
          <w:b w:val="0"/>
          <w:bCs w:val="0"/>
          <w:color w:val="auto"/>
          <w:spacing w:val="-3"/>
          <w:sz w:val="24"/>
          <w:szCs w:val="24"/>
          <w:lang w:val="en-US" w:eastAsia="zh-CN"/>
        </w:rPr>
        <w:t>4.测序模式：可配备自动化单端读取和双端读取，配备多种测序读长，测序读长≥50bp（单端），≥50bp×2（双端），读长调节范围50bp-300bp。配备测序过程中配备边测序、边拆分、边分析功能，配备自动化本地化完成信息分析，分析结束后可以直接输出报告。</w:t>
      </w:r>
      <w:bookmarkStart w:id="0" w:name="_GoBack"/>
      <w:bookmarkEnd w:id="0"/>
    </w:p>
    <w:p w14:paraId="31EEA2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5.数据产出：</w:t>
      </w:r>
      <w:r>
        <w:rPr>
          <w:rFonts w:hint="eastAsia" w:asciiTheme="minorEastAsia" w:hAnsiTheme="minorEastAsia" w:eastAsiaTheme="minorEastAsia" w:cstheme="minorEastAsia"/>
          <w:b w:val="0"/>
          <w:bCs w:val="0"/>
          <w:color w:val="auto"/>
          <w:kern w:val="0"/>
          <w:sz w:val="24"/>
          <w:szCs w:val="24"/>
          <w:lang w:val="en-US" w:eastAsia="zh-CN" w:bidi="ar"/>
        </w:rPr>
        <w:t>单张芯片单次运行数据量：最低有效序列数不低于80M,最高有效序列数不低于400M,产出的碱基序列信息不低于120G;</w:t>
      </w:r>
    </w:p>
    <w:p w14:paraId="5EBD09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color w:val="auto"/>
          <w:spacing w:val="-2"/>
          <w:sz w:val="24"/>
          <w:szCs w:val="24"/>
          <w:lang w:val="en-US" w:eastAsia="zh-CN"/>
        </w:rPr>
        <w:t>6</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lang w:val="en-US" w:eastAsia="zh-CN"/>
        </w:rPr>
        <w:t>芯片：</w:t>
      </w:r>
      <w:r>
        <w:rPr>
          <w:rFonts w:hint="eastAsia" w:asciiTheme="minorEastAsia" w:hAnsiTheme="minorEastAsia" w:eastAsiaTheme="minorEastAsia" w:cstheme="minorEastAsia"/>
          <w:b w:val="0"/>
          <w:bCs w:val="0"/>
          <w:color w:val="auto"/>
          <w:kern w:val="0"/>
          <w:sz w:val="24"/>
          <w:szCs w:val="24"/>
          <w:lang w:val="en-US" w:eastAsia="zh-CN" w:bidi="ar"/>
        </w:rPr>
        <w:t>至少两种通量的芯片可供选择</w:t>
      </w:r>
      <w:r>
        <w:rPr>
          <w:rFonts w:hint="eastAsia" w:asciiTheme="minorEastAsia" w:hAnsiTheme="minorEastAsia" w:eastAsiaTheme="minorEastAsia" w:cstheme="minorEastAsia"/>
          <w:b/>
          <w:bCs/>
          <w:color w:val="auto"/>
          <w:kern w:val="0"/>
          <w:sz w:val="24"/>
          <w:szCs w:val="24"/>
          <w:lang w:val="en-US" w:eastAsia="zh-CN" w:bidi="ar"/>
        </w:rPr>
        <w:t>。</w:t>
      </w:r>
    </w:p>
    <w:p w14:paraId="0AFA7482">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color w:val="auto"/>
          <w:spacing w:val="-2"/>
          <w:sz w:val="24"/>
          <w:szCs w:val="24"/>
          <w:lang w:val="en-US" w:eastAsia="zh-CN"/>
        </w:rPr>
        <w:t>9</w:t>
      </w:r>
      <w:r>
        <w:rPr>
          <w:rFonts w:hint="eastAsia" w:asciiTheme="minorEastAsia" w:hAnsiTheme="minorEastAsia" w:eastAsiaTheme="minorEastAsia" w:cstheme="minorEastAsia"/>
          <w:color w:val="auto"/>
          <w:spacing w:val="-2"/>
          <w:sz w:val="24"/>
          <w:szCs w:val="24"/>
        </w:rPr>
        <w:t>.测序质量：</w:t>
      </w:r>
      <w:r>
        <w:rPr>
          <w:rFonts w:hint="eastAsia" w:asciiTheme="minorEastAsia" w:hAnsiTheme="minorEastAsia" w:eastAsiaTheme="minorEastAsia" w:cstheme="minorEastAsia"/>
          <w:b w:val="0"/>
          <w:bCs w:val="0"/>
          <w:color w:val="auto"/>
          <w:kern w:val="0"/>
          <w:sz w:val="24"/>
          <w:szCs w:val="24"/>
          <w:lang w:val="en-US" w:eastAsia="zh-CN" w:bidi="ar"/>
        </w:rPr>
        <w:t>测序结果给出严格的Q30的数据质量评判，在SE100读长下，标准文库的测序Q30值≥85%:读取序列PE100及PE150读长下，标准文库的测序Q30值≥80%。</w:t>
      </w:r>
    </w:p>
    <w:p w14:paraId="10D51A0E">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b w:val="0"/>
          <w:bCs w:val="0"/>
          <w:color w:val="auto"/>
          <w:spacing w:val="-3"/>
          <w:sz w:val="24"/>
          <w:szCs w:val="24"/>
          <w:lang w:val="en-US" w:eastAsia="zh-CN"/>
        </w:rPr>
      </w:pPr>
      <w:r>
        <w:rPr>
          <w:rFonts w:hint="eastAsia" w:asciiTheme="minorEastAsia" w:hAnsiTheme="minorEastAsia" w:eastAsiaTheme="minorEastAsia" w:cstheme="minorEastAsia"/>
          <w:b w:val="0"/>
          <w:bCs w:val="0"/>
          <w:color w:val="auto"/>
          <w:spacing w:val="-3"/>
          <w:sz w:val="24"/>
          <w:szCs w:val="24"/>
          <w:lang w:val="en-US" w:eastAsia="zh-CN"/>
        </w:rPr>
        <w:t>17.配置系统：无需外置电脑显示器，集成一体式全触屏电脑，全中文操作系统。同时需配置UPS电源1台，可持续供电≥2小时；配备外接工作站一套：软件系统配置：CPU Intel≥i5，CPU ≥3.00GHz，内存≥64G，机械硬盘≥8TB，操作系统 Windows7以上(相关软硬件需按需更新)。</w:t>
      </w:r>
    </w:p>
    <w:p w14:paraId="09E31AB0">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Theme="minorEastAsia" w:hAnsiTheme="minorEastAsia" w:eastAsiaTheme="minorEastAsia" w:cstheme="minorEastAsia"/>
          <w:b w:val="0"/>
          <w:bCs w:val="0"/>
          <w:color w:val="auto"/>
          <w:spacing w:val="-3"/>
          <w:sz w:val="24"/>
          <w:szCs w:val="24"/>
          <w:lang w:val="en-US" w:eastAsia="zh-CN"/>
        </w:rPr>
      </w:pPr>
      <w:r>
        <w:rPr>
          <w:rFonts w:hint="eastAsia" w:asciiTheme="minorEastAsia" w:hAnsiTheme="minorEastAsia" w:eastAsiaTheme="minorEastAsia" w:cstheme="minorEastAsia"/>
          <w:b w:val="0"/>
          <w:bCs w:val="0"/>
          <w:color w:val="auto"/>
          <w:spacing w:val="-3"/>
          <w:sz w:val="24"/>
          <w:szCs w:val="24"/>
          <w:lang w:val="en-US" w:eastAsia="zh-CN"/>
        </w:rPr>
        <w:t>★20.测序仪及配套试剂适用范围同时覆盖DNA和RNA基因测序，可用于临床诊断，（需提供相关证明文件）。在按照说明书要求操作环境下，测序仪使用寿命为7年。</w:t>
      </w:r>
    </w:p>
    <w:p w14:paraId="02FCAEA5">
      <w:pPr>
        <w:pStyle w:val="3"/>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right="0" w:rightChars="0"/>
        <w:textAlignment w:val="auto"/>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（四）核酸提取仪具体参数要求</w:t>
      </w:r>
    </w:p>
    <w:p w14:paraId="1B2EB8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b w:val="0"/>
          <w:bCs w:val="0"/>
          <w:color w:val="auto"/>
          <w:sz w:val="24"/>
          <w:szCs w:val="24"/>
          <w:lang w:val="en-US" w:eastAsia="zh-CN"/>
        </w:rPr>
        <w:t>10.加热模块：</w:t>
      </w:r>
      <w:r>
        <w:rPr>
          <w:rFonts w:hint="eastAsia" w:asciiTheme="minorEastAsia" w:hAnsiTheme="minorEastAsia" w:eastAsiaTheme="minorEastAsia" w:cstheme="minorEastAsia"/>
          <w:color w:val="auto"/>
          <w:spacing w:val="13"/>
          <w:sz w:val="24"/>
          <w:szCs w:val="24"/>
        </w:rPr>
        <w:t>内置加热模块，</w:t>
      </w:r>
      <w:r>
        <w:rPr>
          <w:rFonts w:hint="eastAsia" w:asciiTheme="minorEastAsia" w:hAnsiTheme="minorEastAsia" w:eastAsiaTheme="minorEastAsia" w:cstheme="minorEastAsia"/>
          <w:b w:val="0"/>
          <w:bCs w:val="0"/>
          <w:color w:val="auto"/>
          <w:sz w:val="24"/>
          <w:szCs w:val="24"/>
          <w:lang w:val="en-US" w:eastAsia="zh-CN"/>
        </w:rPr>
        <w:t>≥4块</w:t>
      </w:r>
      <w:r>
        <w:rPr>
          <w:rFonts w:hint="eastAsia" w:asciiTheme="minorEastAsia" w:hAnsiTheme="minorEastAsia" w:eastAsiaTheme="minorEastAsia" w:cstheme="minorEastAsia"/>
          <w:color w:val="auto"/>
          <w:spacing w:val="13"/>
          <w:sz w:val="24"/>
          <w:szCs w:val="24"/>
        </w:rPr>
        <w:t>无需额外孵育，</w:t>
      </w:r>
      <w:r>
        <w:rPr>
          <w:rFonts w:hint="eastAsia" w:asciiTheme="minorEastAsia" w:hAnsiTheme="minorEastAsia" w:eastAsiaTheme="minorEastAsia" w:cstheme="minorEastAsia"/>
          <w:b w:val="0"/>
          <w:bCs w:val="0"/>
          <w:color w:val="auto"/>
          <w:sz w:val="24"/>
          <w:szCs w:val="24"/>
          <w:lang w:val="en-US" w:eastAsia="zh-CN"/>
        </w:rPr>
        <w:t>加热温度：10~99</w:t>
      </w:r>
      <w:r>
        <w:rPr>
          <w:rFonts w:hint="eastAsia" w:asciiTheme="minorEastAsia" w:hAnsiTheme="minorEastAsia" w:eastAsiaTheme="minorEastAsia" w:cstheme="minorEastAsia"/>
          <w:color w:val="auto"/>
          <w:spacing w:val="13"/>
          <w:sz w:val="24"/>
          <w:szCs w:val="24"/>
        </w:rPr>
        <w:t>℃,可进行样本</w:t>
      </w:r>
      <w:r>
        <w:rPr>
          <w:rFonts w:hint="eastAsia" w:asciiTheme="minorEastAsia" w:hAnsiTheme="minorEastAsia" w:eastAsiaTheme="minorEastAsia" w:cstheme="minorEastAsia"/>
          <w:color w:val="auto"/>
          <w:spacing w:val="6"/>
          <w:sz w:val="24"/>
          <w:szCs w:val="24"/>
        </w:rPr>
        <w:t>的加热裂解和核酸的洗脱温育。</w:t>
      </w:r>
    </w:p>
    <w:p w14:paraId="73AFB4BF">
      <w:pPr>
        <w:pStyle w:val="3"/>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right="0" w:rightChars="0"/>
        <w:textAlignment w:val="auto"/>
        <w:rPr>
          <w:rFonts w:hint="eastAsia" w:asciiTheme="minorEastAsia" w:hAnsiTheme="minorEastAsia" w:eastAsiaTheme="minorEastAsia" w:cstheme="minorEastAsia"/>
          <w:b/>
          <w:bCs/>
          <w:color w:val="auto"/>
          <w:spacing w:val="-2"/>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pacing w:val="-2"/>
          <w:sz w:val="24"/>
          <w:szCs w:val="24"/>
          <w:lang w:val="en-US" w:eastAsia="zh-CN"/>
        </w:rPr>
        <w:t>PCR 扩增仪具体参数要求：</w:t>
      </w:r>
    </w:p>
    <w:p w14:paraId="3568EC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2.样品通量：支持0.2ml单管、八联管，96孔模块支持0.2ml×96孔板；</w:t>
      </w:r>
    </w:p>
    <w:p w14:paraId="2C73C879">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textAlignment w:val="auto"/>
        <w:rPr>
          <w:rFonts w:hint="eastAsia" w:asciiTheme="minorEastAsia" w:hAnsiTheme="minorEastAsia" w:eastAsiaTheme="minorEastAsia" w:cstheme="minorEastAsia"/>
          <w:b/>
          <w:bCs/>
          <w:spacing w:val="-2"/>
          <w:sz w:val="24"/>
          <w:szCs w:val="24"/>
          <w:lang w:val="en-US" w:eastAsia="zh-CN"/>
        </w:rPr>
      </w:pPr>
      <w:r>
        <w:rPr>
          <w:rFonts w:hint="eastAsia" w:asciiTheme="minorEastAsia" w:hAnsiTheme="minorEastAsia" w:eastAsiaTheme="minorEastAsia" w:cstheme="minorEastAsia"/>
          <w:b/>
          <w:bCs/>
          <w:sz w:val="24"/>
          <w:szCs w:val="24"/>
          <w:lang w:val="en-US" w:eastAsia="zh-CN"/>
        </w:rPr>
        <w:t>（十四）</w:t>
      </w:r>
      <w:r>
        <w:rPr>
          <w:rFonts w:hint="eastAsia" w:asciiTheme="minorEastAsia" w:hAnsiTheme="minorEastAsia" w:eastAsiaTheme="minorEastAsia" w:cstheme="minorEastAsia"/>
          <w:b/>
          <w:bCs/>
          <w:spacing w:val="-2"/>
          <w:sz w:val="24"/>
          <w:szCs w:val="24"/>
          <w:lang w:val="en-US" w:eastAsia="zh-CN"/>
        </w:rPr>
        <w:t>单通道移液器（0.1-1000</w:t>
      </w:r>
      <w:r>
        <w:rPr>
          <w:rFonts w:hint="eastAsia" w:asciiTheme="minorEastAsia" w:hAnsiTheme="minorEastAsia" w:eastAsiaTheme="minorEastAsia" w:cstheme="minorEastAsia"/>
          <w:b w:val="0"/>
          <w:bCs w:val="0"/>
          <w:sz w:val="24"/>
          <w:szCs w:val="24"/>
          <w:lang w:val="en-US" w:eastAsia="zh-CN"/>
        </w:rPr>
        <w:t>ul/套</w:t>
      </w:r>
      <w:r>
        <w:rPr>
          <w:rFonts w:hint="eastAsia" w:asciiTheme="minorEastAsia" w:hAnsiTheme="minorEastAsia" w:eastAsiaTheme="minorEastAsia" w:cstheme="minorEastAsia"/>
          <w:b/>
          <w:bCs/>
          <w:spacing w:val="-2"/>
          <w:sz w:val="24"/>
          <w:szCs w:val="24"/>
          <w:lang w:val="en-US" w:eastAsia="zh-CN"/>
        </w:rPr>
        <w:t>）具体参数要求：</w:t>
      </w:r>
    </w:p>
    <w:p w14:paraId="4CE1F2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★5、颜色标识移液器量程：量程包括但不限于：0.1-2.5ul，0.5-10uL，2-20ul，5-50ul，10-100ul，20-200ul，30-300ul，100-1,000ul，0.5-5mL，1-10mL。</w:t>
      </w:r>
    </w:p>
    <w:p w14:paraId="2AD88E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b/>
          <w:bCs/>
          <w:color w:val="auto"/>
          <w:sz w:val="24"/>
          <w:szCs w:val="24"/>
          <w:lang w:val="en-US" w:eastAsia="zh-CN"/>
        </w:rPr>
        <w:t>（十五）</w:t>
      </w:r>
      <w:r>
        <w:rPr>
          <w:rFonts w:hint="eastAsia" w:asciiTheme="minorEastAsia" w:hAnsiTheme="minorEastAsia" w:eastAsiaTheme="minorEastAsia" w:cstheme="minorEastAsia"/>
          <w:color w:val="auto"/>
          <w:kern w:val="0"/>
          <w:sz w:val="24"/>
          <w:szCs w:val="24"/>
          <w:lang w:val="en-US" w:eastAsia="zh-CN" w:bidi="ar"/>
        </w:rPr>
        <w:t>上述仪器设备配套使用的试剂均需具备相关主管部门审批的资格证，可用于临床检测，并出具正式临床报告。</w:t>
      </w:r>
    </w:p>
    <w:p w14:paraId="39F9C9C2">
      <w:pPr>
        <w:numPr>
          <w:ilvl w:val="0"/>
          <w:numId w:val="0"/>
        </w:numPr>
        <w:rPr>
          <w:rFonts w:hint="eastAsia" w:asciiTheme="minorEastAsia" w:hAnsiTheme="minorEastAsia" w:eastAsiaTheme="minorEastAsia" w:cstheme="minorEastAsia"/>
          <w:sz w:val="24"/>
          <w:szCs w:val="24"/>
          <w:lang w:val="en-US" w:eastAsia="zh-CN"/>
        </w:rPr>
      </w:pPr>
    </w:p>
    <w:p w14:paraId="47C98399">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32"/>
          <w:szCs w:val="32"/>
          <w:lang w:val="en-US" w:eastAsia="zh-CN"/>
        </w:rPr>
        <w:t>二、</w:t>
      </w:r>
      <w:r>
        <w:rPr>
          <w:rFonts w:hint="eastAsia" w:asciiTheme="minorEastAsia" w:hAnsiTheme="minorEastAsia" w:eastAsiaTheme="minorEastAsia" w:cstheme="minorEastAsia"/>
          <w:sz w:val="28"/>
          <w:szCs w:val="28"/>
          <w:lang w:val="en-US" w:eastAsia="zh-CN"/>
        </w:rPr>
        <w:t>采购文件第三章“评分内容及标准”</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0"/>
        <w:gridCol w:w="1768"/>
        <w:gridCol w:w="5311"/>
      </w:tblGrid>
      <w:tr w14:paraId="1D05A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2958" w:type="dxa"/>
            <w:gridSpan w:val="2"/>
            <w:noWrap/>
            <w:vAlign w:val="center"/>
          </w:tcPr>
          <w:p w14:paraId="109DC5F6">
            <w:pPr>
              <w:adjustRightInd w:val="0"/>
              <w:snapToGrid w:val="0"/>
              <w:spacing w:line="360" w:lineRule="auto"/>
              <w:jc w:val="center"/>
              <w:rPr>
                <w:rFonts w:ascii="宋体" w:hAnsi="宋体" w:cs="宋体"/>
                <w:b/>
                <w:bCs/>
                <w:color w:val="auto"/>
                <w:sz w:val="24"/>
              </w:rPr>
            </w:pPr>
            <w:r>
              <w:rPr>
                <w:rFonts w:hint="eastAsia" w:ascii="宋体" w:hAnsi="宋体" w:cs="宋体"/>
                <w:b/>
                <w:bCs/>
                <w:color w:val="auto"/>
                <w:sz w:val="24"/>
              </w:rPr>
              <w:t>评审因素</w:t>
            </w:r>
          </w:p>
        </w:tc>
        <w:tc>
          <w:tcPr>
            <w:tcW w:w="5311" w:type="dxa"/>
            <w:noWrap/>
            <w:vAlign w:val="center"/>
          </w:tcPr>
          <w:p w14:paraId="13403BAA">
            <w:pPr>
              <w:adjustRightInd w:val="0"/>
              <w:snapToGrid w:val="0"/>
              <w:spacing w:line="360" w:lineRule="auto"/>
              <w:jc w:val="center"/>
              <w:rPr>
                <w:rFonts w:ascii="宋体" w:hAnsi="宋体" w:cs="宋体"/>
                <w:b/>
                <w:bCs/>
                <w:color w:val="auto"/>
                <w:sz w:val="24"/>
              </w:rPr>
            </w:pPr>
            <w:r>
              <w:rPr>
                <w:rFonts w:hint="eastAsia" w:ascii="宋体" w:hAnsi="宋体" w:cs="宋体"/>
                <w:b/>
                <w:bCs/>
                <w:color w:val="auto"/>
                <w:sz w:val="24"/>
              </w:rPr>
              <w:t>评分标准</w:t>
            </w:r>
          </w:p>
        </w:tc>
      </w:tr>
      <w:tr w14:paraId="45883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90" w:type="dxa"/>
            <w:noWrap/>
            <w:vAlign w:val="center"/>
          </w:tcPr>
          <w:p w14:paraId="104FE9A5">
            <w:pPr>
              <w:widowControl/>
              <w:adjustRightInd w:val="0"/>
              <w:snapToGrid w:val="0"/>
              <w:spacing w:line="360" w:lineRule="auto"/>
              <w:jc w:val="center"/>
              <w:rPr>
                <w:rFonts w:ascii="宋体" w:hAnsi="宋体" w:cs="宋体"/>
                <w:b/>
                <w:color w:val="auto"/>
                <w:sz w:val="24"/>
              </w:rPr>
            </w:pPr>
            <w:r>
              <w:rPr>
                <w:rFonts w:hint="eastAsia" w:ascii="宋体" w:hAnsi="宋体" w:cs="宋体"/>
                <w:b/>
                <w:color w:val="auto"/>
                <w:sz w:val="24"/>
              </w:rPr>
              <w:t>报价分（30分）</w:t>
            </w:r>
          </w:p>
        </w:tc>
        <w:tc>
          <w:tcPr>
            <w:tcW w:w="1768" w:type="dxa"/>
            <w:noWrap/>
            <w:vAlign w:val="center"/>
          </w:tcPr>
          <w:p w14:paraId="743B12AF">
            <w:pPr>
              <w:widowControl/>
              <w:adjustRightInd w:val="0"/>
              <w:snapToGrid w:val="0"/>
              <w:spacing w:line="360" w:lineRule="auto"/>
              <w:jc w:val="center"/>
              <w:rPr>
                <w:rFonts w:ascii="宋体" w:hAnsi="宋体" w:cs="宋体"/>
                <w:b/>
                <w:color w:val="auto"/>
                <w:sz w:val="24"/>
              </w:rPr>
            </w:pPr>
            <w:r>
              <w:rPr>
                <w:rFonts w:hint="eastAsia" w:ascii="宋体" w:hAnsi="宋体" w:cs="宋体"/>
                <w:b/>
                <w:color w:val="auto"/>
                <w:sz w:val="24"/>
              </w:rPr>
              <w:t>投标报价</w:t>
            </w:r>
          </w:p>
        </w:tc>
        <w:tc>
          <w:tcPr>
            <w:tcW w:w="5311" w:type="dxa"/>
            <w:noWrap/>
            <w:vAlign w:val="center"/>
          </w:tcPr>
          <w:p w14:paraId="70A46B16">
            <w:pPr>
              <w:spacing w:line="360" w:lineRule="auto"/>
              <w:rPr>
                <w:rFonts w:ascii="宋体" w:hAnsi="宋体" w:cs="宋体"/>
                <w:color w:val="auto"/>
                <w:szCs w:val="21"/>
              </w:rPr>
            </w:pPr>
            <w:r>
              <w:rPr>
                <w:rFonts w:hint="eastAsia" w:ascii="宋体" w:hAnsi="宋体" w:cs="宋体"/>
                <w:color w:val="auto"/>
                <w:szCs w:val="21"/>
              </w:rPr>
              <w:t>价格分应当采用低价优先法计算，</w:t>
            </w:r>
            <w:r>
              <w:rPr>
                <w:rFonts w:hint="eastAsia" w:ascii="宋体" w:hAnsi="宋体" w:cs="宋体"/>
                <w:color w:val="auto"/>
                <w:szCs w:val="21"/>
                <w:lang w:val="en-US" w:eastAsia="zh-CN"/>
              </w:rPr>
              <w:t>即满足磋商文件要求且最终评审价最低的为评审基准价，其价格分为满分。其他供应商的价格分统一按照下列公式计算：</w:t>
            </w:r>
          </w:p>
          <w:p w14:paraId="5E498360">
            <w:pPr>
              <w:spacing w:line="360" w:lineRule="auto"/>
              <w:rPr>
                <w:rFonts w:ascii="宋体" w:hAnsi="宋体" w:cs="宋体"/>
                <w:color w:val="auto"/>
                <w:szCs w:val="21"/>
              </w:rPr>
            </w:pPr>
            <w:r>
              <w:rPr>
                <w:rFonts w:hint="eastAsia" w:ascii="宋体" w:hAnsi="宋体" w:cs="宋体"/>
                <w:color w:val="auto"/>
                <w:szCs w:val="21"/>
              </w:rPr>
              <w:t>磋商报价得分＝（</w:t>
            </w:r>
            <w:r>
              <w:rPr>
                <w:rFonts w:hint="eastAsia" w:ascii="宋体" w:hAnsi="宋体" w:cs="宋体"/>
                <w:color w:val="auto"/>
                <w:szCs w:val="21"/>
                <w:lang w:val="en-US" w:eastAsia="zh-CN"/>
              </w:rPr>
              <w:t>评审基准价／最终评审价</w:t>
            </w:r>
            <w:r>
              <w:rPr>
                <w:rFonts w:hint="eastAsia" w:ascii="宋体" w:hAnsi="宋体" w:cs="宋体"/>
                <w:color w:val="auto"/>
                <w:szCs w:val="21"/>
              </w:rPr>
              <w:t>）×0.3×100</w:t>
            </w:r>
          </w:p>
          <w:p w14:paraId="679D9BA6">
            <w:pPr>
              <w:spacing w:line="360" w:lineRule="auto"/>
              <w:rPr>
                <w:rFonts w:ascii="宋体" w:hAnsi="宋体" w:cs="宋体"/>
                <w:color w:val="auto"/>
                <w:sz w:val="24"/>
              </w:rPr>
            </w:pPr>
            <w:r>
              <w:rPr>
                <w:rFonts w:hint="eastAsia"/>
                <w:color w:val="auto"/>
              </w:rPr>
              <w:t>注：</w:t>
            </w:r>
            <w:r>
              <w:rPr>
                <w:rFonts w:hint="eastAsia"/>
                <w:color w:val="auto"/>
                <w:lang w:val="en-US" w:eastAsia="zh-CN"/>
              </w:rPr>
              <w:t>供应商符合价格折扣条件的，以最后一轮次报价调整后的价格作为供应商的最终评审价。</w:t>
            </w:r>
          </w:p>
        </w:tc>
      </w:tr>
      <w:tr w14:paraId="60F9D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90" w:type="dxa"/>
            <w:noWrap/>
            <w:vAlign w:val="center"/>
          </w:tcPr>
          <w:p w14:paraId="1DD94FC2">
            <w:pPr>
              <w:spacing w:line="360" w:lineRule="auto"/>
              <w:jc w:val="center"/>
              <w:rPr>
                <w:rFonts w:ascii="宋体" w:hAnsi="宋体" w:cs="宋体"/>
                <w:b/>
                <w:color w:val="auto"/>
                <w:sz w:val="24"/>
              </w:rPr>
            </w:pPr>
            <w:r>
              <w:rPr>
                <w:rFonts w:hint="eastAsia" w:ascii="宋体" w:hAnsi="宋体" w:cs="宋体"/>
                <w:b/>
                <w:color w:val="auto"/>
                <w:sz w:val="24"/>
              </w:rPr>
              <w:t>技术分</w:t>
            </w:r>
          </w:p>
          <w:p w14:paraId="4E68479B">
            <w:pPr>
              <w:spacing w:line="360" w:lineRule="auto"/>
              <w:jc w:val="center"/>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en-US" w:eastAsia="zh-CN"/>
              </w:rPr>
              <w:t>40</w:t>
            </w:r>
            <w:r>
              <w:rPr>
                <w:rFonts w:hint="eastAsia" w:ascii="宋体" w:hAnsi="宋体" w:cs="宋体"/>
                <w:b/>
                <w:color w:val="auto"/>
                <w:sz w:val="24"/>
              </w:rPr>
              <w:t>分)</w:t>
            </w:r>
          </w:p>
        </w:tc>
        <w:tc>
          <w:tcPr>
            <w:tcW w:w="1768" w:type="dxa"/>
            <w:noWrap/>
            <w:vAlign w:val="center"/>
          </w:tcPr>
          <w:p w14:paraId="291EA604">
            <w:pPr>
              <w:pStyle w:val="5"/>
              <w:widowControl/>
              <w:spacing w:line="420" w:lineRule="exact"/>
              <w:jc w:val="center"/>
              <w:rPr>
                <w:rFonts w:ascii="宋体" w:hAnsi="宋体" w:cs="宋体"/>
                <w:b/>
                <w:color w:val="auto"/>
                <w:kern w:val="2"/>
              </w:rPr>
            </w:pPr>
            <w:r>
              <w:rPr>
                <w:rFonts w:hint="eastAsia" w:ascii="宋体" w:hAnsi="宋体" w:cs="宋体"/>
                <w:b/>
                <w:color w:val="auto"/>
                <w:kern w:val="2"/>
              </w:rPr>
              <w:t>产品技术指标(</w:t>
            </w:r>
            <w:r>
              <w:rPr>
                <w:rFonts w:hint="eastAsia" w:ascii="宋体" w:hAnsi="宋体" w:cs="宋体"/>
                <w:b/>
                <w:color w:val="auto"/>
                <w:kern w:val="2"/>
                <w:lang w:val="en-US" w:eastAsia="zh-CN"/>
              </w:rPr>
              <w:t>40</w:t>
            </w:r>
            <w:r>
              <w:rPr>
                <w:rFonts w:hint="eastAsia" w:ascii="宋体" w:hAnsi="宋体" w:cs="宋体"/>
                <w:b/>
                <w:color w:val="auto"/>
                <w:kern w:val="2"/>
              </w:rPr>
              <w:t>分）</w:t>
            </w:r>
          </w:p>
        </w:tc>
        <w:tc>
          <w:tcPr>
            <w:tcW w:w="5311" w:type="dxa"/>
            <w:noWrap/>
            <w:vAlign w:val="center"/>
          </w:tcPr>
          <w:p w14:paraId="2C8CB19B">
            <w:pPr>
              <w:spacing w:line="360" w:lineRule="auto"/>
              <w:jc w:val="left"/>
              <w:rPr>
                <w:rFonts w:hint="eastAsia" w:ascii="宋体" w:hAnsi="宋体" w:cs="宋体"/>
                <w:color w:val="auto"/>
                <w:szCs w:val="21"/>
                <w:highlight w:val="none"/>
              </w:rPr>
            </w:pPr>
            <w:r>
              <w:rPr>
                <w:rFonts w:hint="eastAsia" w:ascii="宋体" w:hAnsi="宋体" w:cs="宋体"/>
                <w:color w:val="auto"/>
                <w:szCs w:val="21"/>
                <w:lang w:eastAsia="zh-CN"/>
              </w:rPr>
              <w:t>供应商</w:t>
            </w:r>
            <w:r>
              <w:rPr>
                <w:rFonts w:hint="eastAsia" w:ascii="宋体" w:hAnsi="宋体" w:cs="宋体"/>
                <w:color w:val="auto"/>
                <w:szCs w:val="21"/>
              </w:rPr>
              <w:t>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第二章 采购需求 二、技术参数要求</w:t>
            </w:r>
            <w:r>
              <w:rPr>
                <w:rFonts w:hint="eastAsia" w:ascii="宋体" w:hAnsi="宋体" w:cs="宋体"/>
                <w:color w:val="auto"/>
                <w:szCs w:val="21"/>
                <w:highlight w:val="none"/>
                <w:lang w:eastAsia="zh-CN"/>
              </w:rPr>
              <w:t>”</w:t>
            </w:r>
            <w:r>
              <w:rPr>
                <w:rFonts w:hint="eastAsia" w:ascii="宋体" w:hAnsi="宋体" w:cs="宋体"/>
                <w:color w:val="auto"/>
                <w:szCs w:val="21"/>
                <w:lang w:val="en-US" w:eastAsia="zh-CN"/>
              </w:rPr>
              <w:t>的内容进行</w:t>
            </w:r>
            <w:r>
              <w:rPr>
                <w:rFonts w:hint="eastAsia" w:ascii="宋体" w:hAnsi="宋体" w:cs="宋体"/>
                <w:color w:val="auto"/>
                <w:szCs w:val="21"/>
              </w:rPr>
              <w:t>响应，所投</w:t>
            </w:r>
            <w:r>
              <w:rPr>
                <w:rFonts w:hint="eastAsia" w:ascii="宋体" w:hAnsi="宋体" w:cs="宋体"/>
                <w:color w:val="auto"/>
                <w:szCs w:val="21"/>
                <w:lang w:val="en-US" w:eastAsia="zh-CN"/>
              </w:rPr>
              <w:t>产品</w:t>
            </w:r>
            <w:r>
              <w:rPr>
                <w:rFonts w:hint="eastAsia" w:ascii="宋体" w:hAnsi="宋体" w:cs="宋体"/>
                <w:color w:val="auto"/>
                <w:szCs w:val="21"/>
              </w:rPr>
              <w:t>全部满足磋商文件要求得</w:t>
            </w:r>
            <w:r>
              <w:rPr>
                <w:rFonts w:hint="eastAsia" w:ascii="宋体" w:hAnsi="宋体" w:cs="宋体"/>
                <w:color w:val="auto"/>
                <w:szCs w:val="21"/>
                <w:lang w:val="en-US" w:eastAsia="zh-CN"/>
              </w:rPr>
              <w:t>40</w:t>
            </w:r>
            <w:r>
              <w:rPr>
                <w:rFonts w:hint="eastAsia" w:ascii="宋体" w:hAnsi="宋体" w:cs="宋体"/>
                <w:color w:val="auto"/>
                <w:szCs w:val="21"/>
              </w:rPr>
              <w:t>分，技术参数要求标“</w:t>
            </w:r>
            <w:r>
              <w:rPr>
                <w:rFonts w:hint="eastAsia" w:ascii="宋体" w:hAnsi="宋体" w:cs="宋体"/>
                <w:color w:val="auto"/>
                <w:szCs w:val="21"/>
                <w:lang w:val="en-US" w:eastAsia="zh-CN"/>
              </w:rPr>
              <w:t>★</w:t>
            </w:r>
            <w:r>
              <w:rPr>
                <w:rFonts w:hint="eastAsia" w:ascii="宋体" w:hAnsi="宋体" w:cs="宋体"/>
                <w:color w:val="auto"/>
                <w:szCs w:val="21"/>
              </w:rPr>
              <w:t>”的为重要技术参数，出现负偏离者，每项扣除</w:t>
            </w:r>
            <w:r>
              <w:rPr>
                <w:rFonts w:hint="eastAsia" w:ascii="宋体" w:hAnsi="宋体" w:cs="宋体"/>
                <w:color w:val="auto"/>
                <w:szCs w:val="21"/>
                <w:highlight w:val="none"/>
              </w:rPr>
              <w:t xml:space="preserve">技术分 </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分；技术参数要求未标注“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”的为一般性技术参数，出现负偏离者，每项扣除技术分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扣完为止</w:t>
            </w:r>
            <w:r>
              <w:rPr>
                <w:rFonts w:hint="eastAsia" w:ascii="宋体" w:hAnsi="宋体" w:cs="宋体"/>
                <w:color w:val="auto"/>
                <w:szCs w:val="21"/>
                <w:highlight w:val="none"/>
              </w:rPr>
              <w:t>。</w:t>
            </w:r>
          </w:p>
          <w:p w14:paraId="65FD5166">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注：1.投标文件《技术响应表》应对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第二章 采购需求 二、技术参数要求</w:t>
            </w:r>
            <w:r>
              <w:rPr>
                <w:rFonts w:hint="eastAsia" w:ascii="宋体" w:hAnsi="宋体" w:cs="宋体"/>
                <w:color w:val="auto"/>
                <w:szCs w:val="21"/>
                <w:highlight w:val="none"/>
                <w:lang w:eastAsia="zh-CN"/>
              </w:rPr>
              <w:t>”</w:t>
            </w:r>
            <w:r>
              <w:rPr>
                <w:rFonts w:hint="eastAsia" w:asciiTheme="minorEastAsia" w:hAnsiTheme="minorEastAsia" w:eastAsiaTheme="minorEastAsia" w:cstheme="minorEastAsia"/>
                <w:color w:val="auto"/>
                <w:highlight w:val="none"/>
                <w:lang w:val="en-US" w:eastAsia="zh-CN"/>
              </w:rPr>
              <w:t>所列要求逐条响应，标注清楚每条参数的偏离情况并提供相关技术证明文件。</w:t>
            </w:r>
          </w:p>
          <w:p w14:paraId="366ABD93">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供应商所投设备及</w:t>
            </w:r>
            <w:r>
              <w:rPr>
                <w:rFonts w:hint="eastAsia" w:ascii="宋体" w:hAnsi="宋体" w:cs="宋体"/>
                <w:b/>
                <w:bCs/>
                <w:color w:val="auto"/>
                <w:sz w:val="21"/>
                <w:szCs w:val="21"/>
                <w:highlight w:val="none"/>
                <w:lang w:val="en-US" w:eastAsia="zh-CN"/>
              </w:rPr>
              <w:t>配套</w:t>
            </w:r>
            <w:r>
              <w:rPr>
                <w:rFonts w:hint="eastAsia" w:ascii="宋体" w:hAnsi="宋体" w:eastAsia="宋体" w:cs="宋体"/>
                <w:b/>
                <w:bCs/>
                <w:color w:val="auto"/>
                <w:sz w:val="21"/>
                <w:szCs w:val="21"/>
                <w:highlight w:val="none"/>
                <w:lang w:val="en-US" w:eastAsia="zh-CN"/>
              </w:rPr>
              <w:t>试剂需提供医疗器械注册证【含附件：产品技术要求（如有）】或医疗器械备案凭证（非医疗器械可不提供）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375381D2">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宋体" w:hAnsi="宋体" w:cs="宋体"/>
                <w:color w:val="auto"/>
                <w:sz w:val="24"/>
              </w:rPr>
            </w:pPr>
            <w:r>
              <w:rPr>
                <w:rFonts w:hint="eastAsia" w:asciiTheme="minorEastAsia" w:hAnsiTheme="minorEastAsia" w:eastAsiaTheme="minorEastAsia" w:cstheme="minorEastAsia"/>
                <w:color w:val="auto"/>
                <w:highlight w:val="none"/>
                <w:lang w:val="en-US" w:eastAsia="zh-CN"/>
              </w:rPr>
              <w:t>3.需提供产品注册检验报告（完整版）及响应技术参数条款的技术白皮书和彩页等相关文件，并对响应技术参数部分做出明显标注。未提供对应证明材料的，视为不满足该项技术参数要求，做扣分处理。</w:t>
            </w:r>
          </w:p>
        </w:tc>
      </w:tr>
      <w:tr w14:paraId="65741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190" w:type="dxa"/>
            <w:vMerge w:val="restart"/>
            <w:noWrap/>
            <w:tcMar>
              <w:top w:w="0" w:type="dxa"/>
              <w:left w:w="28" w:type="dxa"/>
              <w:bottom w:w="0" w:type="dxa"/>
              <w:right w:w="28" w:type="dxa"/>
            </w:tcMar>
            <w:vAlign w:val="center"/>
          </w:tcPr>
          <w:p w14:paraId="412A7A1C">
            <w:pPr>
              <w:adjustRightInd w:val="0"/>
              <w:snapToGrid w:val="0"/>
              <w:spacing w:line="360" w:lineRule="auto"/>
              <w:jc w:val="center"/>
              <w:rPr>
                <w:rFonts w:hint="eastAsia" w:ascii="宋体" w:hAnsi="宋体" w:cs="宋体"/>
                <w:b/>
                <w:color w:val="auto"/>
                <w:sz w:val="24"/>
              </w:rPr>
            </w:pPr>
            <w:r>
              <w:rPr>
                <w:rFonts w:hint="eastAsia" w:ascii="宋体" w:hAnsi="宋体" w:cs="宋体"/>
                <w:b/>
                <w:color w:val="auto"/>
                <w:sz w:val="24"/>
              </w:rPr>
              <w:t>商务分</w:t>
            </w:r>
          </w:p>
          <w:p w14:paraId="4AD3F341">
            <w:pPr>
              <w:adjustRightInd w:val="0"/>
              <w:snapToGrid w:val="0"/>
              <w:spacing w:line="360" w:lineRule="auto"/>
              <w:jc w:val="center"/>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en-US" w:eastAsia="zh-CN"/>
              </w:rPr>
              <w:t>26</w:t>
            </w:r>
            <w:r>
              <w:rPr>
                <w:rFonts w:hint="eastAsia" w:ascii="宋体" w:hAnsi="宋体" w:cs="宋体"/>
                <w:b/>
                <w:color w:val="auto"/>
                <w:sz w:val="24"/>
              </w:rPr>
              <w:t>分）</w:t>
            </w:r>
          </w:p>
        </w:tc>
        <w:tc>
          <w:tcPr>
            <w:tcW w:w="1768" w:type="dxa"/>
            <w:noWrap/>
            <w:vAlign w:val="center"/>
          </w:tcPr>
          <w:p w14:paraId="6E3CC404">
            <w:pPr>
              <w:pStyle w:val="5"/>
              <w:widowControl/>
              <w:spacing w:line="420" w:lineRule="exact"/>
              <w:jc w:val="center"/>
              <w:rPr>
                <w:rFonts w:hint="eastAsia" w:ascii="宋体" w:hAnsi="宋体" w:cs="宋体"/>
                <w:b/>
                <w:color w:val="auto"/>
                <w:kern w:val="2"/>
              </w:rPr>
            </w:pPr>
            <w:r>
              <w:rPr>
                <w:rFonts w:hint="eastAsia" w:ascii="宋体" w:hAnsi="宋体" w:cs="宋体"/>
                <w:b/>
                <w:color w:val="auto"/>
                <w:kern w:val="2"/>
              </w:rPr>
              <w:t>实施方案</w:t>
            </w:r>
          </w:p>
          <w:p w14:paraId="17C9A824">
            <w:pPr>
              <w:pStyle w:val="5"/>
              <w:widowControl/>
              <w:spacing w:line="420" w:lineRule="exact"/>
              <w:jc w:val="center"/>
              <w:rPr>
                <w:rFonts w:ascii="宋体" w:hAnsi="宋体" w:cs="宋体"/>
                <w:b/>
                <w:color w:val="auto"/>
              </w:rPr>
            </w:pPr>
            <w:r>
              <w:rPr>
                <w:rFonts w:hint="eastAsia" w:ascii="宋体" w:hAnsi="宋体" w:cs="宋体"/>
                <w:b/>
                <w:color w:val="auto"/>
                <w:kern w:val="2"/>
              </w:rPr>
              <w:t>（</w:t>
            </w:r>
            <w:r>
              <w:rPr>
                <w:rFonts w:hint="eastAsia" w:ascii="宋体" w:hAnsi="宋体" w:cs="宋体"/>
                <w:b/>
                <w:color w:val="auto"/>
                <w:kern w:val="2"/>
                <w:lang w:val="en-US" w:eastAsia="zh-CN"/>
              </w:rPr>
              <w:t>2</w:t>
            </w:r>
            <w:r>
              <w:rPr>
                <w:rFonts w:hint="eastAsia" w:ascii="宋体" w:hAnsi="宋体" w:cs="宋体"/>
                <w:b/>
                <w:color w:val="auto"/>
                <w:kern w:val="2"/>
              </w:rPr>
              <w:t>分）</w:t>
            </w:r>
          </w:p>
        </w:tc>
        <w:tc>
          <w:tcPr>
            <w:tcW w:w="5311" w:type="dxa"/>
            <w:noWrap/>
            <w:vAlign w:val="center"/>
          </w:tcPr>
          <w:p w14:paraId="107A23BE">
            <w:pPr>
              <w:pStyle w:val="5"/>
              <w:widowControl/>
              <w:spacing w:line="420" w:lineRule="exact"/>
              <w:ind w:left="105" w:leftChars="50"/>
              <w:rPr>
                <w:rFonts w:hint="eastAsia" w:ascii="宋体" w:hAnsi="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根据供应商针对本项目提供的项目实施方案进行评分，方案中包括：①产品的供货、安装、调试方案；②产品质量保障措施；每提供一项得</w:t>
            </w:r>
            <w:r>
              <w:rPr>
                <w:rFonts w:hint="eastAsia" w:cs="宋体"/>
                <w:color w:val="auto"/>
                <w:kern w:val="2"/>
                <w:sz w:val="22"/>
                <w:szCs w:val="22"/>
                <w:highlight w:val="none"/>
                <w:lang w:val="en-US" w:eastAsia="zh-CN"/>
              </w:rPr>
              <w:t>1</w:t>
            </w:r>
            <w:r>
              <w:rPr>
                <w:rFonts w:hint="eastAsia" w:ascii="宋体" w:hAnsi="宋体" w:cs="宋体"/>
                <w:color w:val="auto"/>
                <w:kern w:val="2"/>
                <w:sz w:val="22"/>
                <w:szCs w:val="22"/>
                <w:highlight w:val="none"/>
                <w:lang w:val="en-US" w:eastAsia="zh-CN"/>
              </w:rPr>
              <w:t>分，最多得</w:t>
            </w:r>
            <w:r>
              <w:rPr>
                <w:rFonts w:hint="eastAsia" w:cs="宋体"/>
                <w:color w:val="auto"/>
                <w:kern w:val="2"/>
                <w:sz w:val="22"/>
                <w:szCs w:val="22"/>
                <w:highlight w:val="none"/>
                <w:lang w:val="en-US" w:eastAsia="zh-CN"/>
              </w:rPr>
              <w:t>2</w:t>
            </w:r>
            <w:r>
              <w:rPr>
                <w:rFonts w:hint="eastAsia" w:ascii="宋体" w:hAnsi="宋体" w:cs="宋体"/>
                <w:color w:val="auto"/>
                <w:kern w:val="2"/>
                <w:sz w:val="22"/>
                <w:szCs w:val="22"/>
                <w:highlight w:val="none"/>
                <w:lang w:val="en-US" w:eastAsia="zh-CN"/>
              </w:rPr>
              <w:t>分。</w:t>
            </w:r>
          </w:p>
          <w:p w14:paraId="7F086D41">
            <w:pPr>
              <w:pStyle w:val="5"/>
              <w:widowControl/>
              <w:spacing w:line="420" w:lineRule="exact"/>
              <w:ind w:left="105" w:leftChars="50"/>
              <w:rPr>
                <w:rFonts w:ascii="宋体" w:hAnsi="宋体" w:cs="宋体"/>
                <w:color w:val="auto"/>
                <w:kern w:val="2"/>
                <w:sz w:val="22"/>
                <w:szCs w:val="22"/>
              </w:rPr>
            </w:pPr>
            <w:r>
              <w:rPr>
                <w:rFonts w:hint="eastAsia" w:ascii="宋体" w:hAnsi="宋体" w:cs="宋体"/>
                <w:color w:val="auto"/>
                <w:kern w:val="2"/>
                <w:sz w:val="22"/>
                <w:szCs w:val="22"/>
                <w:highlight w:val="none"/>
                <w:lang w:val="en-US" w:eastAsia="zh-CN"/>
              </w:rPr>
              <w:t>方案具体内容应当满足采购人采购需求，专门针对本项目或适用于本项目特性的情形，方案具体内容分项描述完整，不缺少关键节点，方案具体内容不得套用其他项目方案，方案具体内容前后一致、涉及的规范及标准应当符合相关规定及要求。</w:t>
            </w:r>
          </w:p>
        </w:tc>
      </w:tr>
      <w:tr w14:paraId="5504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190" w:type="dxa"/>
            <w:vMerge w:val="continue"/>
            <w:noWrap/>
            <w:tcMar>
              <w:top w:w="0" w:type="dxa"/>
              <w:left w:w="28" w:type="dxa"/>
              <w:bottom w:w="0" w:type="dxa"/>
              <w:right w:w="28" w:type="dxa"/>
            </w:tcMar>
            <w:vAlign w:val="center"/>
          </w:tcPr>
          <w:p w14:paraId="6447BE09">
            <w:pPr>
              <w:adjustRightInd w:val="0"/>
              <w:snapToGrid w:val="0"/>
              <w:spacing w:line="360" w:lineRule="auto"/>
              <w:jc w:val="center"/>
              <w:rPr>
                <w:rFonts w:ascii="宋体" w:hAnsi="宋体" w:cs="宋体"/>
                <w:b/>
                <w:color w:val="auto"/>
                <w:sz w:val="24"/>
              </w:rPr>
            </w:pPr>
          </w:p>
        </w:tc>
        <w:tc>
          <w:tcPr>
            <w:tcW w:w="1768" w:type="dxa"/>
            <w:vMerge w:val="restart"/>
            <w:noWrap/>
            <w:vAlign w:val="center"/>
          </w:tcPr>
          <w:p w14:paraId="1F748E67">
            <w:pPr>
              <w:pStyle w:val="5"/>
              <w:widowControl/>
              <w:spacing w:line="420" w:lineRule="exact"/>
              <w:jc w:val="center"/>
              <w:rPr>
                <w:rFonts w:hint="eastAsia" w:ascii="宋体" w:hAnsi="宋体" w:cs="宋体"/>
                <w:b/>
                <w:color w:val="000000" w:themeColor="text1"/>
                <w:kern w:val="2"/>
                <w:lang w:val="en-US" w:eastAsia="zh-CN"/>
                <w14:textFill>
                  <w14:solidFill>
                    <w14:schemeClr w14:val="tx1"/>
                  </w14:solidFill>
                </w14:textFill>
              </w:rPr>
            </w:pPr>
            <w:r>
              <w:rPr>
                <w:rFonts w:hint="eastAsia" w:ascii="宋体" w:hAnsi="宋体" w:cs="宋体"/>
                <w:b/>
                <w:color w:val="000000" w:themeColor="text1"/>
                <w:kern w:val="2"/>
                <w:lang w:val="en-US" w:eastAsia="zh-CN"/>
                <w14:textFill>
                  <w14:solidFill>
                    <w14:schemeClr w14:val="tx1"/>
                  </w14:solidFill>
                </w14:textFill>
              </w:rPr>
              <w:t>试剂优惠</w:t>
            </w:r>
          </w:p>
          <w:p w14:paraId="11C38DCB">
            <w:pPr>
              <w:pStyle w:val="5"/>
              <w:widowControl/>
              <w:spacing w:line="420" w:lineRule="exact"/>
              <w:jc w:val="center"/>
              <w:rPr>
                <w:rFonts w:hint="default" w:ascii="宋体" w:hAnsi="宋体" w:cs="宋体"/>
                <w:b/>
                <w:color w:val="000000" w:themeColor="text1"/>
                <w:kern w:val="2"/>
                <w:lang w:val="en-US" w:eastAsia="zh-CN"/>
                <w14:textFill>
                  <w14:solidFill>
                    <w14:schemeClr w14:val="tx1"/>
                  </w14:solidFill>
                </w14:textFill>
              </w:rPr>
            </w:pPr>
            <w:r>
              <w:rPr>
                <w:rFonts w:hint="eastAsia" w:ascii="宋体" w:hAnsi="宋体" w:cs="宋体"/>
                <w:b/>
                <w:color w:val="000000" w:themeColor="text1"/>
                <w:kern w:val="2"/>
                <w:lang w:val="en-US" w:eastAsia="zh-CN"/>
                <w14:textFill>
                  <w14:solidFill>
                    <w14:schemeClr w14:val="tx1"/>
                  </w14:solidFill>
                </w14:textFill>
              </w:rPr>
              <w:t>（11分）</w:t>
            </w:r>
          </w:p>
        </w:tc>
        <w:tc>
          <w:tcPr>
            <w:tcW w:w="5311" w:type="dxa"/>
            <w:noWrap/>
            <w:vAlign w:val="top"/>
          </w:tcPr>
          <w:p w14:paraId="7A4E0D9E">
            <w:pPr>
              <w:widowControl/>
              <w:numPr>
                <w:ilvl w:val="0"/>
                <w:numId w:val="0"/>
              </w:numPr>
              <w:wordWrap w:val="0"/>
              <w:spacing w:line="360" w:lineRule="auto"/>
              <w:jc w:val="left"/>
              <w:rPr>
                <w:rFonts w:hint="eastAsia" w:cs="Times New Roman"/>
                <w:color w:val="000000" w:themeColor="text1"/>
                <w:highlight w:val="none"/>
                <w:lang w:val="en-US" w:eastAsia="zh-CN" w:bidi="ar-SA"/>
                <w14:textFill>
                  <w14:solidFill>
                    <w14:schemeClr w14:val="tx1"/>
                  </w14:solidFill>
                </w14:textFill>
              </w:rPr>
            </w:pPr>
            <w:r>
              <w:rPr>
                <w:rFonts w:hint="eastAsia" w:cs="Times New Roman"/>
                <w:color w:val="000000" w:themeColor="text1"/>
                <w:highlight w:val="none"/>
                <w:lang w:val="en-US" w:eastAsia="zh-CN" w:bidi="ar-SA"/>
                <w14:textFill>
                  <w14:solidFill>
                    <w14:schemeClr w14:val="tx1"/>
                  </w14:solidFill>
                </w14:textFill>
              </w:rPr>
              <w:t>根据供应商对</w:t>
            </w:r>
            <w:r>
              <w:rPr>
                <w:rFonts w:hint="eastAsia" w:eastAsia="宋体" w:cs="Times New Roman"/>
                <w:b/>
                <w:bCs/>
                <w:color w:val="000000" w:themeColor="text1"/>
                <w:highlight w:val="none"/>
                <w:lang w:val="en-US" w:eastAsia="zh-CN" w:bidi="ar-SA"/>
                <w14:textFill>
                  <w14:solidFill>
                    <w14:schemeClr w14:val="tx1"/>
                  </w14:solidFill>
                </w14:textFill>
              </w:rPr>
              <w:t>高通量测序仪</w:t>
            </w:r>
            <w:r>
              <w:rPr>
                <w:rFonts w:hint="eastAsia" w:cs="Times New Roman"/>
                <w:color w:val="000000" w:themeColor="text1"/>
                <w:highlight w:val="none"/>
                <w:lang w:val="en-US" w:eastAsia="zh-CN" w:bidi="ar-SA"/>
                <w14:textFill>
                  <w14:solidFill>
                    <w14:schemeClr w14:val="tx1"/>
                  </w14:solidFill>
                </w14:textFill>
              </w:rPr>
              <w:t>配套试剂报价进行评审：</w:t>
            </w:r>
          </w:p>
          <w:p w14:paraId="1D3B9F01">
            <w:pPr>
              <w:widowControl/>
              <w:numPr>
                <w:ilvl w:val="0"/>
                <w:numId w:val="0"/>
              </w:numPr>
              <w:wordWrap w:val="0"/>
              <w:spacing w:line="36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试剂报价最低、完全符合项目需求的得5分；</w:t>
            </w:r>
          </w:p>
          <w:p w14:paraId="10914DFF">
            <w:pPr>
              <w:widowControl/>
              <w:numPr>
                <w:ilvl w:val="0"/>
                <w:numId w:val="0"/>
              </w:numPr>
              <w:wordWrap w:val="0"/>
              <w:spacing w:line="36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试剂报价在最低和最高之间、完全符合项目需求的得3分；</w:t>
            </w:r>
          </w:p>
          <w:p w14:paraId="626BA927">
            <w:pPr>
              <w:widowControl/>
              <w:numPr>
                <w:ilvl w:val="0"/>
                <w:numId w:val="0"/>
              </w:numPr>
              <w:wordWrap w:val="0"/>
              <w:spacing w:line="36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试剂报价最高、完全符合项目需求的得1分；</w:t>
            </w:r>
          </w:p>
          <w:p w14:paraId="48A3D489">
            <w:pPr>
              <w:widowControl/>
              <w:numPr>
                <w:ilvl w:val="0"/>
                <w:numId w:val="0"/>
              </w:numPr>
              <w:wordWrap w:val="0"/>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未进行试剂单价报价、试剂单价报价缺项、试剂不符合采购需求的不得分。</w:t>
            </w:r>
          </w:p>
        </w:tc>
      </w:tr>
      <w:tr w14:paraId="2F62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190" w:type="dxa"/>
            <w:vMerge w:val="continue"/>
            <w:noWrap/>
            <w:tcMar>
              <w:top w:w="0" w:type="dxa"/>
              <w:left w:w="28" w:type="dxa"/>
              <w:bottom w:w="0" w:type="dxa"/>
              <w:right w:w="28" w:type="dxa"/>
            </w:tcMar>
            <w:vAlign w:val="center"/>
          </w:tcPr>
          <w:p w14:paraId="632BAFD7">
            <w:pPr>
              <w:adjustRightInd w:val="0"/>
              <w:snapToGrid w:val="0"/>
              <w:spacing w:line="360" w:lineRule="auto"/>
              <w:jc w:val="center"/>
              <w:rPr>
                <w:rFonts w:ascii="宋体" w:hAnsi="宋体" w:cs="宋体"/>
                <w:b/>
                <w:color w:val="auto"/>
                <w:sz w:val="24"/>
              </w:rPr>
            </w:pPr>
          </w:p>
        </w:tc>
        <w:tc>
          <w:tcPr>
            <w:tcW w:w="1768" w:type="dxa"/>
            <w:vMerge w:val="continue"/>
            <w:noWrap/>
            <w:vAlign w:val="center"/>
          </w:tcPr>
          <w:p w14:paraId="31D709AB">
            <w:pPr>
              <w:pStyle w:val="5"/>
              <w:widowControl/>
              <w:spacing w:line="420" w:lineRule="exact"/>
              <w:jc w:val="center"/>
              <w:rPr>
                <w:rFonts w:hint="eastAsia" w:ascii="宋体" w:hAnsi="宋体" w:cs="宋体"/>
                <w:b/>
                <w:color w:val="000000" w:themeColor="text1"/>
                <w:kern w:val="2"/>
                <w:lang w:val="en-US" w:eastAsia="zh-CN"/>
                <w14:textFill>
                  <w14:solidFill>
                    <w14:schemeClr w14:val="tx1"/>
                  </w14:solidFill>
                </w14:textFill>
              </w:rPr>
            </w:pPr>
          </w:p>
        </w:tc>
        <w:tc>
          <w:tcPr>
            <w:tcW w:w="5311" w:type="dxa"/>
            <w:noWrap/>
            <w:vAlign w:val="top"/>
          </w:tcPr>
          <w:p w14:paraId="52E4DA7F">
            <w:pPr>
              <w:widowControl/>
              <w:numPr>
                <w:ilvl w:val="0"/>
                <w:numId w:val="0"/>
              </w:numPr>
              <w:wordWrap w:val="0"/>
              <w:spacing w:line="360" w:lineRule="auto"/>
              <w:jc w:val="left"/>
              <w:rPr>
                <w:rFonts w:hint="eastAsia" w:cs="Times New Roman"/>
                <w:color w:val="000000" w:themeColor="text1"/>
                <w:highlight w:val="none"/>
                <w:lang w:val="en-US" w:eastAsia="zh-CN" w:bidi="ar-SA"/>
                <w14:textFill>
                  <w14:solidFill>
                    <w14:schemeClr w14:val="tx1"/>
                  </w14:solidFill>
                </w14:textFill>
              </w:rPr>
            </w:pPr>
            <w:r>
              <w:rPr>
                <w:rFonts w:hint="eastAsia" w:cs="Times New Roman"/>
                <w:color w:val="000000" w:themeColor="text1"/>
                <w:highlight w:val="none"/>
                <w:lang w:val="en-US" w:eastAsia="zh-CN" w:bidi="ar-SA"/>
                <w14:textFill>
                  <w14:solidFill>
                    <w14:schemeClr w14:val="tx1"/>
                  </w14:solidFill>
                </w14:textFill>
              </w:rPr>
              <w:t>根据供应商对</w:t>
            </w:r>
            <w:r>
              <w:rPr>
                <w:rFonts w:hint="eastAsia" w:cs="Times New Roman"/>
                <w:b/>
                <w:bCs/>
                <w:color w:val="000000" w:themeColor="text1"/>
                <w:highlight w:val="none"/>
                <w:lang w:val="en-US" w:eastAsia="zh-CN" w:bidi="ar-SA"/>
                <w14:textFill>
                  <w14:solidFill>
                    <w14:schemeClr w14:val="tx1"/>
                  </w14:solidFill>
                </w14:textFill>
              </w:rPr>
              <w:t>基因测序文库构建系统（仪）</w:t>
            </w:r>
            <w:r>
              <w:rPr>
                <w:rFonts w:hint="eastAsia" w:cs="Times New Roman"/>
                <w:color w:val="000000" w:themeColor="text1"/>
                <w:highlight w:val="none"/>
                <w:lang w:val="en-US" w:eastAsia="zh-CN" w:bidi="ar-SA"/>
                <w14:textFill>
                  <w14:solidFill>
                    <w14:schemeClr w14:val="tx1"/>
                  </w14:solidFill>
                </w14:textFill>
              </w:rPr>
              <w:t>配套试剂报价进行评审：</w:t>
            </w:r>
          </w:p>
          <w:p w14:paraId="0A8A5DA5">
            <w:pPr>
              <w:widowControl/>
              <w:numPr>
                <w:ilvl w:val="0"/>
                <w:numId w:val="0"/>
              </w:numPr>
              <w:wordWrap w:val="0"/>
              <w:spacing w:line="360" w:lineRule="auto"/>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试剂报价最低</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default" w:ascii="宋体" w:hAnsi="宋体" w:cs="宋体"/>
                <w:color w:val="000000" w:themeColor="text1"/>
                <w:sz w:val="21"/>
                <w:szCs w:val="21"/>
                <w:highlight w:val="none"/>
                <w:lang w:val="en-US" w:eastAsia="zh-CN"/>
                <w14:textFill>
                  <w14:solidFill>
                    <w14:schemeClr w14:val="tx1"/>
                  </w14:solidFill>
                </w14:textFill>
              </w:rPr>
              <w:t>完全符合项目需求的得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default" w:ascii="宋体" w:hAnsi="宋体" w:cs="宋体"/>
                <w:color w:val="000000" w:themeColor="text1"/>
                <w:sz w:val="21"/>
                <w:szCs w:val="21"/>
                <w:highlight w:val="none"/>
                <w:lang w:val="en-US" w:eastAsia="zh-CN"/>
                <w14:textFill>
                  <w14:solidFill>
                    <w14:schemeClr w14:val="tx1"/>
                  </w14:solidFill>
                </w14:textFill>
              </w:rPr>
              <w:t>分；</w:t>
            </w:r>
          </w:p>
          <w:p w14:paraId="0CC6E65D">
            <w:pPr>
              <w:widowControl/>
              <w:numPr>
                <w:ilvl w:val="0"/>
                <w:numId w:val="0"/>
              </w:numPr>
              <w:wordWrap w:val="0"/>
              <w:spacing w:line="360" w:lineRule="auto"/>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试剂报价在最低和最高之间、完全符合项目需求的得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default" w:ascii="宋体" w:hAnsi="宋体" w:cs="宋体"/>
                <w:color w:val="000000" w:themeColor="text1"/>
                <w:sz w:val="21"/>
                <w:szCs w:val="21"/>
                <w:highlight w:val="none"/>
                <w:lang w:val="en-US" w:eastAsia="zh-CN"/>
                <w14:textFill>
                  <w14:solidFill>
                    <w14:schemeClr w14:val="tx1"/>
                  </w14:solidFill>
                </w14:textFill>
              </w:rPr>
              <w:t>分；</w:t>
            </w:r>
          </w:p>
          <w:p w14:paraId="074574CF">
            <w:pPr>
              <w:widowControl/>
              <w:numPr>
                <w:ilvl w:val="0"/>
                <w:numId w:val="0"/>
              </w:numPr>
              <w:wordWrap w:val="0"/>
              <w:spacing w:line="360" w:lineRule="auto"/>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试剂报价最高、完全符合项目需求的得1分；</w:t>
            </w:r>
          </w:p>
          <w:p w14:paraId="5EDA5493">
            <w:pPr>
              <w:widowControl/>
              <w:numPr>
                <w:ilvl w:val="0"/>
                <w:numId w:val="0"/>
              </w:numPr>
              <w:wordWrap w:val="0"/>
              <w:spacing w:line="36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未进行</w:t>
            </w:r>
            <w:r>
              <w:rPr>
                <w:rFonts w:hint="eastAsia" w:ascii="宋体" w:hAnsi="宋体" w:cs="宋体"/>
                <w:color w:val="000000" w:themeColor="text1"/>
                <w:sz w:val="21"/>
                <w:szCs w:val="21"/>
                <w:highlight w:val="none"/>
                <w:lang w:val="en-US" w:eastAsia="zh-CN"/>
                <w14:textFill>
                  <w14:solidFill>
                    <w14:schemeClr w14:val="tx1"/>
                  </w14:solidFill>
                </w14:textFill>
              </w:rPr>
              <w:t>试剂</w:t>
            </w:r>
            <w:r>
              <w:rPr>
                <w:rFonts w:hint="default" w:ascii="宋体" w:hAnsi="宋体" w:cs="宋体"/>
                <w:color w:val="000000" w:themeColor="text1"/>
                <w:sz w:val="21"/>
                <w:szCs w:val="21"/>
                <w:highlight w:val="none"/>
                <w:lang w:val="en-US" w:eastAsia="zh-CN"/>
                <w14:textFill>
                  <w14:solidFill>
                    <w14:schemeClr w14:val="tx1"/>
                  </w14:solidFill>
                </w14:textFill>
              </w:rPr>
              <w:t>单价报价、试剂报价缺项、试剂不符合采购需求的不得分。</w:t>
            </w:r>
          </w:p>
        </w:tc>
      </w:tr>
      <w:tr w14:paraId="3D933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190" w:type="dxa"/>
            <w:vMerge w:val="continue"/>
            <w:noWrap/>
            <w:tcMar>
              <w:top w:w="0" w:type="dxa"/>
              <w:left w:w="28" w:type="dxa"/>
              <w:bottom w:w="0" w:type="dxa"/>
              <w:right w:w="28" w:type="dxa"/>
            </w:tcMar>
            <w:vAlign w:val="center"/>
          </w:tcPr>
          <w:p w14:paraId="4D47DA98">
            <w:pPr>
              <w:adjustRightInd w:val="0"/>
              <w:snapToGrid w:val="0"/>
              <w:spacing w:line="360" w:lineRule="auto"/>
              <w:jc w:val="center"/>
              <w:rPr>
                <w:rFonts w:ascii="宋体" w:hAnsi="宋体" w:cs="宋体"/>
                <w:b/>
                <w:color w:val="auto"/>
                <w:sz w:val="24"/>
              </w:rPr>
            </w:pPr>
          </w:p>
        </w:tc>
        <w:tc>
          <w:tcPr>
            <w:tcW w:w="1768" w:type="dxa"/>
            <w:vMerge w:val="continue"/>
            <w:noWrap/>
            <w:vAlign w:val="center"/>
          </w:tcPr>
          <w:p w14:paraId="7B3AF188">
            <w:pPr>
              <w:pStyle w:val="5"/>
              <w:widowControl/>
              <w:spacing w:line="420" w:lineRule="exact"/>
              <w:jc w:val="center"/>
              <w:rPr>
                <w:rFonts w:hint="eastAsia" w:ascii="宋体" w:hAnsi="宋体" w:cs="宋体"/>
                <w:b/>
                <w:color w:val="000000" w:themeColor="text1"/>
                <w:kern w:val="2"/>
                <w:lang w:val="en-US" w:eastAsia="zh-CN"/>
                <w14:textFill>
                  <w14:solidFill>
                    <w14:schemeClr w14:val="tx1"/>
                  </w14:solidFill>
                </w14:textFill>
              </w:rPr>
            </w:pPr>
          </w:p>
        </w:tc>
        <w:tc>
          <w:tcPr>
            <w:tcW w:w="5311" w:type="dxa"/>
            <w:shd w:val="clear" w:color="auto" w:fill="auto"/>
            <w:noWrap/>
            <w:vAlign w:val="top"/>
          </w:tcPr>
          <w:p w14:paraId="3C090E57">
            <w:pPr>
              <w:widowControl/>
              <w:numPr>
                <w:ilvl w:val="0"/>
                <w:numId w:val="0"/>
              </w:numPr>
              <w:wordWrap w:val="0"/>
              <w:spacing w:line="360" w:lineRule="auto"/>
              <w:jc w:val="left"/>
              <w:rPr>
                <w:rFonts w:hint="eastAsia" w:cs="Times New Roman"/>
                <w:color w:val="000000" w:themeColor="text1"/>
                <w:highlight w:val="none"/>
                <w:lang w:val="en-US" w:eastAsia="zh-CN" w:bidi="ar-SA"/>
                <w14:textFill>
                  <w14:solidFill>
                    <w14:schemeClr w14:val="tx1"/>
                  </w14:solidFill>
                </w14:textFill>
              </w:rPr>
            </w:pPr>
            <w:r>
              <w:rPr>
                <w:rFonts w:hint="eastAsia" w:cs="Times New Roman"/>
                <w:color w:val="000000" w:themeColor="text1"/>
                <w:highlight w:val="none"/>
                <w:lang w:val="en-US" w:eastAsia="zh-CN" w:bidi="ar-SA"/>
                <w14:textFill>
                  <w14:solidFill>
                    <w14:schemeClr w14:val="tx1"/>
                  </w14:solidFill>
                </w14:textFill>
              </w:rPr>
              <w:t>根据供应商对</w:t>
            </w:r>
            <w:r>
              <w:rPr>
                <w:rFonts w:hint="eastAsia" w:ascii="宋体" w:hAnsi="宋体" w:cs="宋体"/>
                <w:b/>
                <w:bCs/>
                <w:color w:val="000000" w:themeColor="text1"/>
                <w:sz w:val="21"/>
                <w:szCs w:val="21"/>
                <w:highlight w:val="none"/>
                <w:lang w:val="en-US" w:eastAsia="zh-CN"/>
                <w14:textFill>
                  <w14:solidFill>
                    <w14:schemeClr w14:val="tx1"/>
                  </w14:solidFill>
                </w14:textFill>
              </w:rPr>
              <w:t>核酸提取仪</w:t>
            </w:r>
            <w:r>
              <w:rPr>
                <w:rFonts w:hint="eastAsia" w:cs="Times New Roman"/>
                <w:color w:val="000000" w:themeColor="text1"/>
                <w:highlight w:val="none"/>
                <w:lang w:val="en-US" w:eastAsia="zh-CN" w:bidi="ar-SA"/>
                <w14:textFill>
                  <w14:solidFill>
                    <w14:schemeClr w14:val="tx1"/>
                  </w14:solidFill>
                </w14:textFill>
              </w:rPr>
              <w:t>配套试剂报价进行评审：</w:t>
            </w:r>
          </w:p>
          <w:p w14:paraId="69745FB4">
            <w:pPr>
              <w:widowControl/>
              <w:numPr>
                <w:ilvl w:val="0"/>
                <w:numId w:val="0"/>
              </w:numPr>
              <w:wordWrap w:val="0"/>
              <w:spacing w:line="360" w:lineRule="auto"/>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试剂报价最低</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default" w:ascii="宋体" w:hAnsi="宋体" w:cs="宋体"/>
                <w:color w:val="000000" w:themeColor="text1"/>
                <w:sz w:val="21"/>
                <w:szCs w:val="21"/>
                <w:highlight w:val="none"/>
                <w:lang w:val="en-US" w:eastAsia="zh-CN"/>
                <w14:textFill>
                  <w14:solidFill>
                    <w14:schemeClr w14:val="tx1"/>
                  </w14:solidFill>
                </w14:textFill>
              </w:rPr>
              <w:t>完全符合项目需求的得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default" w:ascii="宋体" w:hAnsi="宋体" w:cs="宋体"/>
                <w:color w:val="000000" w:themeColor="text1"/>
                <w:sz w:val="21"/>
                <w:szCs w:val="21"/>
                <w:highlight w:val="none"/>
                <w:lang w:val="en-US" w:eastAsia="zh-CN"/>
                <w14:textFill>
                  <w14:solidFill>
                    <w14:schemeClr w14:val="tx1"/>
                  </w14:solidFill>
                </w14:textFill>
              </w:rPr>
              <w:t>分；</w:t>
            </w:r>
          </w:p>
          <w:p w14:paraId="0782CE4D">
            <w:pPr>
              <w:widowControl/>
              <w:numPr>
                <w:ilvl w:val="0"/>
                <w:numId w:val="0"/>
              </w:numPr>
              <w:wordWrap w:val="0"/>
              <w:spacing w:line="360" w:lineRule="auto"/>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试剂报价在最低和最高之间、完全符合项目需求的得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default" w:ascii="宋体" w:hAnsi="宋体" w:cs="宋体"/>
                <w:color w:val="000000" w:themeColor="text1"/>
                <w:sz w:val="21"/>
                <w:szCs w:val="21"/>
                <w:highlight w:val="none"/>
                <w:lang w:val="en-US" w:eastAsia="zh-CN"/>
                <w14:textFill>
                  <w14:solidFill>
                    <w14:schemeClr w14:val="tx1"/>
                  </w14:solidFill>
                </w14:textFill>
              </w:rPr>
              <w:t>分；</w:t>
            </w:r>
          </w:p>
          <w:p w14:paraId="3AA33F3C">
            <w:pPr>
              <w:widowControl/>
              <w:numPr>
                <w:ilvl w:val="0"/>
                <w:numId w:val="0"/>
              </w:numPr>
              <w:wordWrap w:val="0"/>
              <w:spacing w:line="360" w:lineRule="auto"/>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试剂报价最高、完全符合项目需求的得1分；</w:t>
            </w:r>
          </w:p>
          <w:p w14:paraId="0EB84D92">
            <w:pPr>
              <w:widowControl/>
              <w:numPr>
                <w:ilvl w:val="0"/>
                <w:numId w:val="0"/>
              </w:numPr>
              <w:wordWrap w:val="0"/>
              <w:spacing w:line="360" w:lineRule="auto"/>
              <w:ind w:left="0" w:leftChars="0" w:firstLine="0" w:firstLine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未进行</w:t>
            </w:r>
            <w:r>
              <w:rPr>
                <w:rFonts w:hint="eastAsia" w:ascii="宋体" w:hAnsi="宋体" w:cs="宋体"/>
                <w:color w:val="000000" w:themeColor="text1"/>
                <w:sz w:val="21"/>
                <w:szCs w:val="21"/>
                <w:highlight w:val="none"/>
                <w:lang w:val="en-US" w:eastAsia="zh-CN"/>
                <w14:textFill>
                  <w14:solidFill>
                    <w14:schemeClr w14:val="tx1"/>
                  </w14:solidFill>
                </w14:textFill>
              </w:rPr>
              <w:t>试剂</w:t>
            </w:r>
            <w:r>
              <w:rPr>
                <w:rFonts w:hint="default" w:ascii="宋体" w:hAnsi="宋体" w:cs="宋体"/>
                <w:color w:val="000000" w:themeColor="text1"/>
                <w:sz w:val="21"/>
                <w:szCs w:val="21"/>
                <w:highlight w:val="none"/>
                <w:lang w:val="en-US" w:eastAsia="zh-CN"/>
                <w14:textFill>
                  <w14:solidFill>
                    <w14:schemeClr w14:val="tx1"/>
                  </w14:solidFill>
                </w14:textFill>
              </w:rPr>
              <w:t>单价报价、试剂报价缺项、试剂不符合采购需求的不得分。</w:t>
            </w:r>
          </w:p>
        </w:tc>
      </w:tr>
      <w:tr w14:paraId="3F6D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190" w:type="dxa"/>
            <w:vMerge w:val="continue"/>
            <w:noWrap/>
            <w:tcMar>
              <w:top w:w="0" w:type="dxa"/>
              <w:left w:w="28" w:type="dxa"/>
              <w:bottom w:w="0" w:type="dxa"/>
              <w:right w:w="28" w:type="dxa"/>
            </w:tcMar>
            <w:vAlign w:val="center"/>
          </w:tcPr>
          <w:p w14:paraId="30FFBC06">
            <w:pPr>
              <w:adjustRightInd w:val="0"/>
              <w:snapToGrid w:val="0"/>
              <w:spacing w:line="360" w:lineRule="auto"/>
              <w:jc w:val="center"/>
              <w:rPr>
                <w:rFonts w:ascii="宋体" w:hAnsi="宋体" w:cs="宋体"/>
                <w:b/>
                <w:color w:val="auto"/>
                <w:sz w:val="24"/>
              </w:rPr>
            </w:pPr>
          </w:p>
        </w:tc>
        <w:tc>
          <w:tcPr>
            <w:tcW w:w="1768" w:type="dxa"/>
            <w:noWrap/>
            <w:vAlign w:val="center"/>
          </w:tcPr>
          <w:p w14:paraId="00D5212C">
            <w:pPr>
              <w:spacing w:line="360" w:lineRule="auto"/>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设备使用年限</w:t>
            </w:r>
          </w:p>
          <w:p w14:paraId="26EA1910">
            <w:pPr>
              <w:spacing w:line="360" w:lineRule="auto"/>
              <w:jc w:val="center"/>
              <w:rPr>
                <w:rFonts w:hint="eastAsia" w:ascii="宋体" w:hAnsi="宋体" w:cs="宋体"/>
                <w:b/>
                <w:color w:val="auto"/>
                <w:sz w:val="24"/>
              </w:rPr>
            </w:pPr>
            <w:r>
              <w:rPr>
                <w:rFonts w:hint="eastAsia" w:ascii="宋体" w:hAnsi="宋体" w:cs="宋体"/>
                <w:b/>
                <w:bCs w:val="0"/>
                <w:color w:val="auto"/>
                <w:kern w:val="2"/>
                <w:sz w:val="24"/>
                <w:szCs w:val="24"/>
                <w:highlight w:val="none"/>
                <w:lang w:val="en-US" w:eastAsia="zh-CN" w:bidi="ar-SA"/>
              </w:rPr>
              <w:t>（3分）</w:t>
            </w:r>
          </w:p>
        </w:tc>
        <w:tc>
          <w:tcPr>
            <w:tcW w:w="5311" w:type="dxa"/>
            <w:noWrap/>
            <w:vAlign w:val="center"/>
          </w:tcPr>
          <w:p w14:paraId="1DC783AC">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供应商所投核心产品（高通量测序仪）基础使用年限为7年，使用年限每增加一年加1分，最多加3分。</w:t>
            </w:r>
          </w:p>
          <w:p w14:paraId="02A7356D">
            <w:pPr>
              <w:pStyle w:val="9"/>
              <w:spacing w:line="360" w:lineRule="auto"/>
              <w:ind w:firstLine="0" w:firstLineChars="0"/>
              <w:rPr>
                <w:rFonts w:hint="eastAsia" w:ascii="宋体" w:hAnsi="宋体" w:cs="宋体"/>
                <w:color w:val="auto"/>
                <w:sz w:val="22"/>
                <w:szCs w:val="22"/>
                <w:highlight w:val="none"/>
              </w:rPr>
            </w:pPr>
            <w:r>
              <w:rPr>
                <w:rFonts w:hint="eastAsia" w:ascii="宋体" w:hAnsi="宋体" w:cs="宋体"/>
                <w:color w:val="auto"/>
                <w:sz w:val="21"/>
                <w:szCs w:val="21"/>
                <w:highlight w:val="none"/>
                <w:lang w:val="en-US" w:eastAsia="zh-CN"/>
              </w:rPr>
              <w:t>注：提供产品说明书或设备铭牌照片。设备使用年限小于7年或未提供证明材料的不得分。</w:t>
            </w:r>
          </w:p>
        </w:tc>
      </w:tr>
      <w:tr w14:paraId="10F8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190" w:type="dxa"/>
            <w:vMerge w:val="continue"/>
            <w:noWrap/>
            <w:tcMar>
              <w:top w:w="0" w:type="dxa"/>
              <w:left w:w="28" w:type="dxa"/>
              <w:bottom w:w="0" w:type="dxa"/>
              <w:right w:w="28" w:type="dxa"/>
            </w:tcMar>
            <w:vAlign w:val="center"/>
          </w:tcPr>
          <w:p w14:paraId="20B03F2A">
            <w:pPr>
              <w:adjustRightInd w:val="0"/>
              <w:snapToGrid w:val="0"/>
              <w:spacing w:line="360" w:lineRule="auto"/>
              <w:jc w:val="center"/>
              <w:rPr>
                <w:rFonts w:ascii="宋体" w:hAnsi="宋体" w:cs="宋体"/>
                <w:b/>
                <w:color w:val="auto"/>
                <w:sz w:val="24"/>
              </w:rPr>
            </w:pPr>
          </w:p>
        </w:tc>
        <w:tc>
          <w:tcPr>
            <w:tcW w:w="1768" w:type="dxa"/>
            <w:noWrap/>
            <w:vAlign w:val="center"/>
          </w:tcPr>
          <w:p w14:paraId="5AF737D5">
            <w:pPr>
              <w:pStyle w:val="5"/>
              <w:widowControl/>
              <w:spacing w:line="420" w:lineRule="exact"/>
              <w:jc w:val="center"/>
              <w:rPr>
                <w:rFonts w:ascii="宋体" w:hAnsi="宋体" w:cs="宋体"/>
                <w:b/>
                <w:color w:val="auto"/>
                <w:kern w:val="2"/>
              </w:rPr>
            </w:pPr>
            <w:r>
              <w:rPr>
                <w:rFonts w:hint="eastAsia" w:ascii="宋体" w:hAnsi="宋体" w:cs="宋体"/>
                <w:b/>
                <w:color w:val="auto"/>
                <w:kern w:val="2"/>
              </w:rPr>
              <w:t>售后服务方案</w:t>
            </w:r>
          </w:p>
          <w:p w14:paraId="6598B29D">
            <w:pPr>
              <w:pStyle w:val="5"/>
              <w:widowControl/>
              <w:spacing w:line="420" w:lineRule="exact"/>
              <w:jc w:val="center"/>
              <w:rPr>
                <w:rFonts w:hint="eastAsia" w:ascii="宋体" w:hAnsi="宋体" w:cs="宋体"/>
                <w:b/>
                <w:color w:val="auto"/>
                <w:sz w:val="24"/>
              </w:rPr>
            </w:pPr>
            <w:r>
              <w:rPr>
                <w:rFonts w:hint="eastAsia" w:ascii="宋体" w:hAnsi="宋体" w:cs="宋体"/>
                <w:b/>
                <w:color w:val="auto"/>
                <w:kern w:val="2"/>
              </w:rPr>
              <w:t>（</w:t>
            </w:r>
            <w:r>
              <w:rPr>
                <w:rFonts w:hint="eastAsia" w:ascii="宋体" w:hAnsi="宋体" w:cs="宋体"/>
                <w:b/>
                <w:color w:val="auto"/>
                <w:kern w:val="2"/>
                <w:lang w:val="en-US" w:eastAsia="zh-CN"/>
              </w:rPr>
              <w:t>8</w:t>
            </w:r>
            <w:r>
              <w:rPr>
                <w:rFonts w:hint="eastAsia" w:ascii="宋体" w:hAnsi="宋体" w:cs="宋体"/>
                <w:b/>
                <w:color w:val="auto"/>
                <w:kern w:val="2"/>
              </w:rPr>
              <w:t>分）</w:t>
            </w:r>
          </w:p>
        </w:tc>
        <w:tc>
          <w:tcPr>
            <w:tcW w:w="5311" w:type="dxa"/>
            <w:noWrap/>
            <w:vAlign w:val="center"/>
          </w:tcPr>
          <w:p w14:paraId="5E8222B7">
            <w:pPr>
              <w:widowControl/>
              <w:spacing w:line="440" w:lineRule="exact"/>
              <w:rPr>
                <w:rFonts w:hint="eastAsia" w:ascii="宋体" w:hAnsi="宋体" w:eastAsia="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根据供应商针对本项目提供的售后服务方案进行评分，方案中包</w:t>
            </w:r>
            <w:r>
              <w:rPr>
                <w:rFonts w:hint="eastAsia" w:ascii="宋体" w:hAnsi="宋体" w:eastAsia="宋体" w:cs="宋体"/>
                <w:color w:val="auto"/>
                <w:kern w:val="2"/>
                <w:sz w:val="22"/>
                <w:szCs w:val="22"/>
                <w:highlight w:val="none"/>
                <w:lang w:val="en-US" w:eastAsia="zh-CN"/>
              </w:rPr>
              <w:t>括：①</w:t>
            </w:r>
            <w:r>
              <w:rPr>
                <w:rFonts w:hint="default" w:ascii="宋体" w:hAnsi="宋体" w:eastAsia="宋体" w:cs="宋体"/>
                <w:sz w:val="22"/>
                <w:szCs w:val="22"/>
                <w:highlight w:val="none"/>
                <w:lang w:val="en-US" w:eastAsia="zh-CN"/>
              </w:rPr>
              <w:t>服务站点设立，售后服务团队</w:t>
            </w:r>
            <w:r>
              <w:rPr>
                <w:rFonts w:hint="eastAsia" w:ascii="宋体" w:hAnsi="宋体" w:eastAsia="宋体" w:cs="宋体"/>
                <w:color w:val="auto"/>
                <w:kern w:val="2"/>
                <w:sz w:val="22"/>
                <w:szCs w:val="22"/>
                <w:highlight w:val="none"/>
                <w:lang w:val="en-US" w:eastAsia="zh-CN"/>
              </w:rPr>
              <w:t>（职责及分工、技术专业及工作经验）</w:t>
            </w:r>
            <w:r>
              <w:rPr>
                <w:rFonts w:hint="default" w:ascii="宋体" w:hAnsi="宋体" w:eastAsia="宋体" w:cs="宋体"/>
                <w:sz w:val="22"/>
                <w:szCs w:val="22"/>
                <w:highlight w:val="none"/>
                <w:lang w:val="en-US" w:eastAsia="zh-CN"/>
              </w:rPr>
              <w:t>及其联系方式、技术水平；售后服务流程；</w:t>
            </w:r>
            <w:r>
              <w:rPr>
                <w:rFonts w:hint="eastAsia" w:ascii="宋体" w:hAnsi="宋体" w:eastAsia="宋体" w:cs="宋体"/>
                <w:color w:val="auto"/>
                <w:kern w:val="2"/>
                <w:sz w:val="22"/>
                <w:szCs w:val="22"/>
                <w:highlight w:val="none"/>
                <w:lang w:val="en-US" w:eastAsia="zh-CN"/>
              </w:rPr>
              <w:t>②</w:t>
            </w:r>
            <w:r>
              <w:rPr>
                <w:rFonts w:hint="default" w:ascii="宋体" w:hAnsi="宋体" w:eastAsia="宋体" w:cs="宋体"/>
                <w:sz w:val="22"/>
                <w:szCs w:val="22"/>
                <w:highlight w:val="none"/>
                <w:lang w:val="en-US" w:eastAsia="zh-CN"/>
              </w:rPr>
              <w:t>现场服务措施（如故障响应时间、故障处理方案等）</w:t>
            </w:r>
            <w:r>
              <w:rPr>
                <w:rFonts w:hint="eastAsia" w:ascii="宋体" w:hAnsi="宋体" w:eastAsia="宋体" w:cs="宋体"/>
                <w:sz w:val="22"/>
                <w:szCs w:val="22"/>
                <w:highlight w:val="none"/>
                <w:lang w:val="en-US" w:eastAsia="zh-CN"/>
              </w:rPr>
              <w:t>；</w:t>
            </w:r>
            <w:r>
              <w:rPr>
                <w:rFonts w:hint="eastAsia" w:ascii="宋体" w:hAnsi="宋体" w:eastAsia="宋体" w:cs="宋体"/>
                <w:color w:val="auto"/>
                <w:kern w:val="2"/>
                <w:sz w:val="22"/>
                <w:szCs w:val="22"/>
                <w:highlight w:val="none"/>
                <w:lang w:val="en-US" w:eastAsia="zh-CN"/>
              </w:rPr>
              <w:t>③日常巡检、日常</w:t>
            </w:r>
            <w:r>
              <w:rPr>
                <w:rFonts w:hint="default" w:ascii="宋体" w:hAnsi="宋体" w:eastAsia="宋体" w:cs="宋体"/>
                <w:sz w:val="22"/>
                <w:szCs w:val="22"/>
                <w:highlight w:val="none"/>
                <w:lang w:val="en-US" w:eastAsia="zh-CN"/>
              </w:rPr>
              <w:t>维修保养具体措施</w:t>
            </w:r>
            <w:r>
              <w:rPr>
                <w:rFonts w:hint="eastAsia" w:ascii="宋体" w:hAnsi="宋体" w:eastAsia="宋体" w:cs="宋体"/>
                <w:sz w:val="22"/>
                <w:szCs w:val="22"/>
                <w:highlight w:val="none"/>
                <w:lang w:val="en-US" w:eastAsia="zh-CN"/>
              </w:rPr>
              <w:t>；</w:t>
            </w:r>
            <w:r>
              <w:rPr>
                <w:rFonts w:hint="eastAsia" w:ascii="宋体" w:hAnsi="宋体" w:eastAsia="宋体" w:cs="宋体"/>
                <w:color w:val="auto"/>
                <w:kern w:val="2"/>
                <w:sz w:val="22"/>
                <w:szCs w:val="22"/>
                <w:highlight w:val="none"/>
                <w:lang w:val="en-US" w:eastAsia="zh-CN"/>
              </w:rPr>
              <w:t>④备品备件的保障供应</w:t>
            </w:r>
            <w:r>
              <w:rPr>
                <w:rFonts w:hint="eastAsia" w:ascii="宋体" w:hAnsi="宋体" w:cs="宋体"/>
                <w:color w:val="auto"/>
                <w:kern w:val="2"/>
                <w:sz w:val="22"/>
                <w:szCs w:val="22"/>
                <w:highlight w:val="none"/>
                <w:lang w:val="en-US" w:eastAsia="zh-CN"/>
              </w:rPr>
              <w:t>。</w:t>
            </w:r>
            <w:r>
              <w:rPr>
                <w:rFonts w:hint="eastAsia" w:ascii="宋体" w:hAnsi="宋体" w:eastAsia="宋体" w:cs="宋体"/>
                <w:color w:val="auto"/>
                <w:kern w:val="2"/>
                <w:sz w:val="22"/>
                <w:szCs w:val="22"/>
                <w:highlight w:val="none"/>
                <w:lang w:val="en-US" w:eastAsia="zh-CN"/>
              </w:rPr>
              <w:t>每提供一项得</w:t>
            </w:r>
            <w:r>
              <w:rPr>
                <w:rFonts w:hint="eastAsia" w:ascii="宋体" w:hAnsi="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lang w:val="en-US" w:eastAsia="zh-CN"/>
              </w:rPr>
              <w:t>分，最多得</w:t>
            </w:r>
            <w:r>
              <w:rPr>
                <w:rFonts w:hint="eastAsia" w:ascii="宋体" w:hAnsi="宋体" w:cs="宋体"/>
                <w:color w:val="auto"/>
                <w:kern w:val="2"/>
                <w:sz w:val="22"/>
                <w:szCs w:val="22"/>
                <w:highlight w:val="none"/>
                <w:lang w:val="en-US" w:eastAsia="zh-CN"/>
              </w:rPr>
              <w:t>8</w:t>
            </w:r>
            <w:r>
              <w:rPr>
                <w:rFonts w:hint="eastAsia" w:ascii="宋体" w:hAnsi="宋体" w:eastAsia="宋体" w:cs="宋体"/>
                <w:color w:val="auto"/>
                <w:kern w:val="2"/>
                <w:sz w:val="22"/>
                <w:szCs w:val="22"/>
                <w:highlight w:val="none"/>
                <w:lang w:val="en-US" w:eastAsia="zh-CN"/>
              </w:rPr>
              <w:t>分。</w:t>
            </w:r>
          </w:p>
          <w:p w14:paraId="61D9171C">
            <w:pPr>
              <w:widowControl/>
              <w:spacing w:line="440" w:lineRule="exac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rPr>
              <w:t>方案具体内容应当满足采购人采购需求，专门针对本项目或适用于本项目特性的情形，方案具体内容分项描述完整，不缺少关键节点，方案具体内容不得套用其他项目方案，方案具体内容前后一致、涉及的规范及标准应当符合相关规定及要求。</w:t>
            </w:r>
          </w:p>
        </w:tc>
      </w:tr>
      <w:tr w14:paraId="65AF2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190" w:type="dxa"/>
            <w:vMerge w:val="continue"/>
            <w:noWrap/>
            <w:tcMar>
              <w:top w:w="0" w:type="dxa"/>
              <w:left w:w="28" w:type="dxa"/>
              <w:bottom w:w="0" w:type="dxa"/>
              <w:right w:w="28" w:type="dxa"/>
            </w:tcMar>
            <w:vAlign w:val="center"/>
          </w:tcPr>
          <w:p w14:paraId="75668743">
            <w:pPr>
              <w:adjustRightInd w:val="0"/>
              <w:snapToGrid w:val="0"/>
              <w:spacing w:line="360" w:lineRule="auto"/>
              <w:jc w:val="center"/>
              <w:rPr>
                <w:rFonts w:ascii="宋体" w:hAnsi="宋体" w:cs="宋体"/>
                <w:b/>
                <w:color w:val="auto"/>
                <w:sz w:val="24"/>
              </w:rPr>
            </w:pPr>
          </w:p>
        </w:tc>
        <w:tc>
          <w:tcPr>
            <w:tcW w:w="1768" w:type="dxa"/>
            <w:noWrap/>
            <w:vAlign w:val="center"/>
          </w:tcPr>
          <w:p w14:paraId="2575780D">
            <w:pPr>
              <w:pStyle w:val="5"/>
              <w:widowControl/>
              <w:spacing w:line="420" w:lineRule="exact"/>
              <w:jc w:val="center"/>
              <w:rPr>
                <w:rFonts w:ascii="宋体" w:hAnsi="宋体" w:cs="宋体"/>
                <w:b/>
                <w:color w:val="auto"/>
                <w:kern w:val="2"/>
              </w:rPr>
            </w:pPr>
            <w:r>
              <w:rPr>
                <w:rFonts w:hint="eastAsia" w:ascii="宋体" w:hAnsi="宋体" w:cs="宋体"/>
                <w:b/>
                <w:color w:val="auto"/>
                <w:kern w:val="2"/>
              </w:rPr>
              <w:t>培训方案</w:t>
            </w:r>
          </w:p>
          <w:p w14:paraId="0C8D5B51">
            <w:pPr>
              <w:pStyle w:val="5"/>
              <w:widowControl/>
              <w:spacing w:line="420" w:lineRule="exact"/>
              <w:jc w:val="center"/>
              <w:rPr>
                <w:rFonts w:hint="eastAsia" w:ascii="宋体" w:hAnsi="宋体" w:cs="宋体"/>
                <w:b/>
                <w:color w:val="auto"/>
                <w:kern w:val="2"/>
              </w:rPr>
            </w:pPr>
            <w:r>
              <w:rPr>
                <w:rFonts w:hint="eastAsia" w:ascii="宋体" w:hAnsi="宋体" w:cs="宋体"/>
                <w:b/>
                <w:color w:val="auto"/>
                <w:kern w:val="2"/>
              </w:rPr>
              <w:t>（</w:t>
            </w:r>
            <w:r>
              <w:rPr>
                <w:rFonts w:hint="eastAsia" w:ascii="宋体" w:hAnsi="宋体" w:cs="宋体"/>
                <w:b/>
                <w:color w:val="auto"/>
                <w:kern w:val="2"/>
                <w:lang w:val="en-US" w:eastAsia="zh-CN"/>
              </w:rPr>
              <w:t>2</w:t>
            </w:r>
            <w:r>
              <w:rPr>
                <w:rFonts w:hint="eastAsia" w:ascii="宋体" w:hAnsi="宋体" w:cs="宋体"/>
                <w:b/>
                <w:color w:val="auto"/>
                <w:kern w:val="2"/>
              </w:rPr>
              <w:t>分）</w:t>
            </w:r>
          </w:p>
        </w:tc>
        <w:tc>
          <w:tcPr>
            <w:tcW w:w="5311" w:type="dxa"/>
            <w:noWrap/>
            <w:vAlign w:val="center"/>
          </w:tcPr>
          <w:p w14:paraId="4342E7D5">
            <w:pPr>
              <w:pStyle w:val="5"/>
              <w:widowControl/>
              <w:spacing w:line="420" w:lineRule="exact"/>
              <w:ind w:left="105" w:leftChars="50"/>
              <w:rPr>
                <w:rFonts w:hint="eastAsia" w:ascii="宋体" w:hAnsi="宋体" w:eastAsia="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根据供应商针对本项目提供的培训方案进行评分，方案中包括：①培训内容；②培训</w:t>
            </w:r>
            <w:r>
              <w:rPr>
                <w:rFonts w:hint="eastAsia" w:ascii="宋体" w:hAnsi="宋体" w:eastAsia="宋体" w:cs="宋体"/>
                <w:color w:val="auto"/>
                <w:kern w:val="2"/>
                <w:sz w:val="22"/>
                <w:szCs w:val="22"/>
                <w:highlight w:val="none"/>
                <w:lang w:val="en-US" w:eastAsia="zh-CN"/>
              </w:rPr>
              <w:t>人员安排及培训计划</w:t>
            </w:r>
          </w:p>
          <w:p w14:paraId="55CE25D8">
            <w:pPr>
              <w:pStyle w:val="5"/>
              <w:widowControl/>
              <w:spacing w:line="420" w:lineRule="exact"/>
              <w:ind w:left="105" w:leftChars="5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每提供一项得</w:t>
            </w:r>
            <w:r>
              <w:rPr>
                <w:rFonts w:hint="eastAsia" w:ascii="宋体" w:hAnsi="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lang w:val="en-US" w:eastAsia="zh-CN"/>
              </w:rPr>
              <w:t>分，最多得</w:t>
            </w:r>
            <w:r>
              <w:rPr>
                <w:rFonts w:hint="eastAsia" w:ascii="宋体" w:hAnsi="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lang w:val="en-US" w:eastAsia="zh-CN"/>
              </w:rPr>
              <w:t>分。</w:t>
            </w:r>
          </w:p>
          <w:p w14:paraId="09E3398E">
            <w:pPr>
              <w:pStyle w:val="5"/>
              <w:widowControl/>
              <w:spacing w:line="420" w:lineRule="exact"/>
              <w:ind w:left="105" w:leftChars="50"/>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具体内容应当满足采购人采购需求，专门针对本项目或适用于本项目特性的情形，方案具体内容分项描述完整，不缺少关键节点，方案具体内容不得套用其他项目方案，方案具体内容前后一致、涉及的规范及标准应当符合相关规定及要求。</w:t>
            </w:r>
          </w:p>
        </w:tc>
      </w:tr>
      <w:tr w14:paraId="45B45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4" w:hRule="atLeast"/>
          <w:jc w:val="center"/>
        </w:trPr>
        <w:tc>
          <w:tcPr>
            <w:tcW w:w="1190" w:type="dxa"/>
            <w:noWrap/>
            <w:tcMar>
              <w:top w:w="0" w:type="dxa"/>
              <w:left w:w="28" w:type="dxa"/>
              <w:bottom w:w="0" w:type="dxa"/>
              <w:right w:w="28" w:type="dxa"/>
            </w:tcMar>
            <w:vAlign w:val="center"/>
          </w:tcPr>
          <w:p w14:paraId="5F1DB245">
            <w:pPr>
              <w:adjustRightInd w:val="0"/>
              <w:snapToGrid w:val="0"/>
              <w:spacing w:line="360" w:lineRule="auto"/>
              <w:jc w:val="center"/>
              <w:rPr>
                <w:rFonts w:ascii="宋体" w:hAnsi="宋体" w:cs="宋体"/>
                <w:color w:val="auto"/>
                <w:sz w:val="24"/>
              </w:rPr>
            </w:pPr>
            <w:r>
              <w:rPr>
                <w:rFonts w:cs="宋体"/>
                <w:b/>
                <w:color w:val="auto"/>
                <w:sz w:val="24"/>
              </w:rPr>
              <w:t>资信及其他部分（</w:t>
            </w:r>
            <w:r>
              <w:rPr>
                <w:rFonts w:hint="eastAsia" w:cs="宋体"/>
                <w:b/>
                <w:color w:val="auto"/>
                <w:sz w:val="24"/>
                <w:lang w:val="en-US" w:eastAsia="zh-CN"/>
              </w:rPr>
              <w:t>4</w:t>
            </w:r>
            <w:r>
              <w:rPr>
                <w:rFonts w:cs="宋体"/>
                <w:b/>
                <w:color w:val="auto"/>
                <w:sz w:val="24"/>
              </w:rPr>
              <w:t>分）</w:t>
            </w:r>
          </w:p>
        </w:tc>
        <w:tc>
          <w:tcPr>
            <w:tcW w:w="1768" w:type="dxa"/>
            <w:noWrap/>
            <w:vAlign w:val="center"/>
          </w:tcPr>
          <w:p w14:paraId="75462E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业绩（</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分）</w:t>
            </w:r>
          </w:p>
        </w:tc>
        <w:tc>
          <w:tcPr>
            <w:tcW w:w="5311" w:type="dxa"/>
            <w:noWrap/>
            <w:vAlign w:val="center"/>
          </w:tcPr>
          <w:p w14:paraId="1FF3384C">
            <w:pPr>
              <w:pStyle w:val="9"/>
              <w:spacing w:line="360" w:lineRule="auto"/>
              <w:ind w:firstLine="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供应商自2022年1月1日以来（以合同签订时间为准）类似项目业绩（合同甲方须为货物使用单位，合同标的物须涵盖本项目核心产品），每提供1个合同得1分，最多得4分。</w:t>
            </w:r>
          </w:p>
          <w:p w14:paraId="316ABEEB">
            <w:pPr>
              <w:pStyle w:val="9"/>
              <w:spacing w:line="360" w:lineRule="auto"/>
              <w:ind w:firstLine="0" w:firstLineChars="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注：提供合同扫描件（</w:t>
            </w:r>
            <w:r>
              <w:rPr>
                <w:rFonts w:hint="eastAsia" w:ascii="宋体" w:hAnsi="宋体" w:eastAsia="宋体" w:cs="宋体"/>
                <w:kern w:val="2"/>
                <w:sz w:val="22"/>
                <w:szCs w:val="22"/>
                <w:highlight w:val="none"/>
                <w:lang w:val="en-US" w:eastAsia="zh-CN" w:bidi="ar-SA"/>
              </w:rPr>
              <w:t>有涂抹或遮盖的，视为无效证明资料</w:t>
            </w:r>
            <w:r>
              <w:rPr>
                <w:rFonts w:hint="eastAsia" w:ascii="宋体" w:hAnsi="宋体" w:cs="宋体"/>
                <w:color w:val="auto"/>
                <w:sz w:val="22"/>
                <w:szCs w:val="22"/>
                <w:highlight w:val="none"/>
                <w:lang w:val="en-US" w:eastAsia="zh-CN"/>
              </w:rPr>
              <w:t>），未提供者不得分。</w:t>
            </w:r>
          </w:p>
        </w:tc>
      </w:tr>
      <w:tr w14:paraId="056C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8269" w:type="dxa"/>
            <w:gridSpan w:val="3"/>
            <w:noWrap/>
            <w:tcMar>
              <w:top w:w="0" w:type="dxa"/>
              <w:left w:w="28" w:type="dxa"/>
              <w:bottom w:w="0" w:type="dxa"/>
              <w:right w:w="28" w:type="dxa"/>
            </w:tcMar>
            <w:vAlign w:val="center"/>
          </w:tcPr>
          <w:p w14:paraId="032973CD">
            <w:pPr>
              <w:spacing w:line="360" w:lineRule="auto"/>
              <w:jc w:val="left"/>
              <w:rPr>
                <w:rFonts w:ascii="宋体" w:hAnsi="宋体" w:cs="宋体"/>
                <w:color w:val="auto"/>
                <w:kern w:val="0"/>
                <w:sz w:val="24"/>
              </w:rPr>
            </w:pPr>
            <w:r>
              <w:rPr>
                <w:rFonts w:hint="eastAsia" w:ascii="宋体" w:hAnsi="宋体" w:cs="宋体"/>
                <w:color w:val="auto"/>
                <w:szCs w:val="21"/>
              </w:rPr>
              <w:t>注：详细评审中涉及得分要求提供证明材料的，证明材料扫描件</w:t>
            </w:r>
            <w:r>
              <w:rPr>
                <w:rFonts w:hint="eastAsia" w:ascii="宋体" w:hAnsi="宋体" w:cs="宋体"/>
                <w:color w:val="auto"/>
                <w:szCs w:val="21"/>
                <w:lang w:val="en-US" w:eastAsia="zh-CN"/>
              </w:rPr>
              <w:t>或复印件</w:t>
            </w:r>
            <w:r>
              <w:rPr>
                <w:rFonts w:hint="eastAsia" w:ascii="宋体" w:hAnsi="宋体" w:cs="宋体"/>
                <w:color w:val="auto"/>
                <w:szCs w:val="21"/>
              </w:rPr>
              <w:t>需附在响应文件内。</w:t>
            </w:r>
          </w:p>
        </w:tc>
      </w:tr>
    </w:tbl>
    <w:p w14:paraId="5FB21022">
      <w:pPr>
        <w:pStyle w:val="6"/>
        <w:numPr>
          <w:ilvl w:val="0"/>
          <w:numId w:val="0"/>
        </w:numPr>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B6869"/>
    <w:rsid w:val="02BC2489"/>
    <w:rsid w:val="16EB6869"/>
    <w:rsid w:val="75FA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rPr>
      <w:rFonts w:ascii="Times New Roman" w:hAnsi="Times New Roman" w:eastAsia="黑体" w:cs="Times New Roman"/>
      <w:sz w:val="28"/>
      <w:szCs w:val="28"/>
    </w:rPr>
  </w:style>
  <w:style w:type="paragraph" w:styleId="4">
    <w:name w:val="Body Text Indent"/>
    <w:basedOn w:val="1"/>
    <w:unhideWhenUsed/>
    <w:qFormat/>
    <w:uiPriority w:val="99"/>
    <w:pPr>
      <w:spacing w:before="100" w:beforeAutospacing="1" w:after="120"/>
      <w:ind w:left="420" w:leftChars="200"/>
    </w:pPr>
    <w:rPr>
      <w:rFonts w:ascii="Times New Roman" w:hAnsi="Times New Roman" w:eastAsia="宋体" w:cs="Times New Roman"/>
      <w:szCs w:val="21"/>
    </w:rPr>
  </w:style>
  <w:style w:type="paragraph" w:styleId="5">
    <w:name w:val="Normal (Web)"/>
    <w:basedOn w:val="1"/>
    <w:qFormat/>
    <w:uiPriority w:val="0"/>
    <w:pPr>
      <w:jc w:val="left"/>
    </w:pPr>
    <w:rPr>
      <w:kern w:val="0"/>
      <w:sz w:val="24"/>
    </w:rPr>
  </w:style>
  <w:style w:type="paragraph" w:styleId="6">
    <w:name w:val="Body Text First Indent 2"/>
    <w:basedOn w:val="4"/>
    <w:unhideWhenUsed/>
    <w:qFormat/>
    <w:uiPriority w:val="99"/>
    <w:pPr>
      <w:ind w:firstLine="420"/>
    </w:pPr>
  </w:style>
  <w:style w:type="paragraph" w:styleId="9">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5101</Words>
  <Characters>5539</Characters>
  <Lines>0</Lines>
  <Paragraphs>0</Paragraphs>
  <TotalTime>2</TotalTime>
  <ScaleCrop>false</ScaleCrop>
  <LinksUpToDate>false</LinksUpToDate>
  <CharactersWithSpaces>5559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2025-10-21T03:00:00Z</dcterms:created>
  <dc:creator>王鹤超</dc:creator>
  <cp:lastModifiedBy>安、久儿</cp:lastModifiedBy>
  <cp:lastPrinted>2025-10-21T03:35:00Z</cp:lastPrinted>
  <dcterms:modified xsi:type="dcterms:W3CDTF">2025-10-21T07:05:58Z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87393B365A2242CB8A8EABEC2CD3D773_11</vt:lpwstr>
  </property>
  <property fmtid="{D5CDD505-2E9C-101B-9397-08002B2CF9AE}" pid="4" name="KSOTemplateDocerSaveRecord">
    <vt:lpwstr>eyJoZGlkIjoiNTExZTFiOGViZDU5MTcwNTY1OWMyNjI5Y2Q2N2M3ZGUiLCJ1c2VySWQiOiIyNzA4MzA5NzQifQ==</vt:lpwstr>
  </property>
</Properties>
</file>