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11825">
      <w:pPr>
        <w:spacing w:line="240" w:lineRule="exact"/>
        <w:jc w:val="center"/>
        <w:rPr>
          <w:rFonts w:hint="eastAsia" w:ascii="宋体" w:hAnsi="宋体" w:eastAsia="宋体" w:cs="宋体"/>
          <w:b/>
          <w:bCs/>
          <w:color w:val="auto"/>
          <w:sz w:val="44"/>
          <w:szCs w:val="44"/>
        </w:rPr>
      </w:pPr>
    </w:p>
    <w:p w14:paraId="7903B497">
      <w:pPr>
        <w:pStyle w:val="18"/>
        <w:rPr>
          <w:rFonts w:hint="eastAsia" w:ascii="宋体" w:hAnsi="宋体" w:eastAsia="宋体" w:cs="宋体"/>
          <w:color w:val="auto"/>
        </w:rPr>
      </w:pPr>
    </w:p>
    <w:p w14:paraId="46A79DF1">
      <w:pPr>
        <w:pageBreakBefore w:val="0"/>
        <w:overflowPunct/>
        <w:bidi w:val="0"/>
        <w:spacing w:line="360" w:lineRule="auto"/>
        <w:jc w:val="center"/>
        <w:outlineLvl w:val="9"/>
        <w:rPr>
          <w:rFonts w:hint="eastAsia" w:ascii="宋体" w:hAnsi="宋体" w:eastAsia="宋体" w:cs="宋体"/>
          <w:b/>
          <w:bCs/>
          <w:color w:val="auto"/>
          <w:sz w:val="48"/>
          <w:szCs w:val="48"/>
          <w:lang w:val="en-US" w:eastAsia="zh-CN"/>
        </w:rPr>
      </w:pPr>
      <w:r>
        <w:rPr>
          <w:rFonts w:hint="eastAsia" w:ascii="宋体" w:hAnsi="宋体" w:cs="宋体"/>
          <w:b/>
          <w:bCs/>
          <w:color w:val="auto"/>
          <w:sz w:val="48"/>
          <w:szCs w:val="48"/>
          <w:lang w:val="en-US" w:eastAsia="zh-CN"/>
        </w:rPr>
        <w:t>省道 313 线陕州区观音堂镇(芦草村)至宫前乡(宫前村)段改建工程勘察设计</w:t>
      </w:r>
    </w:p>
    <w:p w14:paraId="78DEE692">
      <w:pPr>
        <w:pageBreakBefore w:val="0"/>
        <w:overflowPunct/>
        <w:bidi w:val="0"/>
        <w:spacing w:line="360" w:lineRule="auto"/>
        <w:ind w:firstLine="1120"/>
        <w:rPr>
          <w:rFonts w:hint="eastAsia" w:ascii="宋体" w:hAnsi="宋体" w:eastAsia="宋体" w:cs="宋体"/>
          <w:color w:val="auto"/>
          <w:sz w:val="56"/>
          <w:szCs w:val="56"/>
          <w:highlight w:val="none"/>
        </w:rPr>
      </w:pPr>
    </w:p>
    <w:p w14:paraId="7209B899">
      <w:pPr>
        <w:pStyle w:val="17"/>
        <w:pageBreakBefore w:val="0"/>
        <w:overflowPunct/>
        <w:bidi w:val="0"/>
        <w:spacing w:line="360" w:lineRule="auto"/>
        <w:jc w:val="center"/>
        <w:rPr>
          <w:rFonts w:hint="eastAsia" w:ascii="方正公文小标宋" w:hAnsi="方正公文小标宋" w:eastAsia="方正公文小标宋" w:cs="方正公文小标宋"/>
          <w:color w:val="auto"/>
          <w:kern w:val="2"/>
          <w:sz w:val="56"/>
          <w:szCs w:val="56"/>
        </w:rPr>
      </w:pPr>
    </w:p>
    <w:p w14:paraId="74C9A8F2">
      <w:pPr>
        <w:pStyle w:val="17"/>
        <w:pageBreakBefore w:val="0"/>
        <w:overflowPunct/>
        <w:bidi w:val="0"/>
        <w:spacing w:line="360" w:lineRule="auto"/>
        <w:jc w:val="center"/>
        <w:rPr>
          <w:rFonts w:hint="eastAsia" w:ascii="方正公文小标宋" w:hAnsi="方正公文小标宋" w:eastAsia="方正公文小标宋" w:cs="方正公文小标宋"/>
          <w:b/>
          <w:bCs/>
          <w:color w:val="auto"/>
          <w:kern w:val="2"/>
          <w:sz w:val="56"/>
          <w:szCs w:val="56"/>
        </w:rPr>
      </w:pPr>
      <w:r>
        <w:rPr>
          <w:rFonts w:hint="eastAsia" w:ascii="方正公文小标宋" w:hAnsi="方正公文小标宋" w:eastAsia="方正公文小标宋" w:cs="方正公文小标宋"/>
          <w:b/>
          <w:bCs/>
          <w:color w:val="auto"/>
          <w:kern w:val="2"/>
          <w:sz w:val="56"/>
          <w:szCs w:val="56"/>
        </w:rPr>
        <w:t>竞争性</w:t>
      </w:r>
      <w:r>
        <w:rPr>
          <w:rFonts w:hint="eastAsia" w:ascii="方正公文小标宋" w:hAnsi="方正公文小标宋" w:eastAsia="方正公文小标宋" w:cs="方正公文小标宋"/>
          <w:b/>
          <w:bCs/>
          <w:color w:val="auto"/>
          <w:kern w:val="2"/>
          <w:sz w:val="56"/>
          <w:szCs w:val="56"/>
          <w:lang w:val="en-US" w:eastAsia="zh-CN"/>
        </w:rPr>
        <w:t>磋商</w:t>
      </w:r>
      <w:r>
        <w:rPr>
          <w:rFonts w:hint="eastAsia" w:ascii="方正公文小标宋" w:hAnsi="方正公文小标宋" w:eastAsia="方正公文小标宋" w:cs="方正公文小标宋"/>
          <w:b/>
          <w:bCs/>
          <w:color w:val="auto"/>
          <w:kern w:val="2"/>
          <w:sz w:val="56"/>
          <w:szCs w:val="56"/>
        </w:rPr>
        <w:t>文件</w:t>
      </w:r>
    </w:p>
    <w:p w14:paraId="2B2F22AB">
      <w:pPr>
        <w:pageBreakBefore w:val="0"/>
        <w:tabs>
          <w:tab w:val="left" w:pos="2476"/>
        </w:tabs>
        <w:overflowPunct/>
        <w:bidi w:val="0"/>
        <w:spacing w:line="360" w:lineRule="auto"/>
        <w:ind w:firstLine="1120"/>
        <w:rPr>
          <w:rFonts w:hint="eastAsia" w:ascii="宋体" w:hAnsi="宋体" w:eastAsia="宋体" w:cs="宋体"/>
          <w:color w:val="auto"/>
          <w:sz w:val="56"/>
          <w:szCs w:val="56"/>
          <w:highlight w:val="none"/>
        </w:rPr>
      </w:pPr>
      <w:r>
        <w:rPr>
          <w:rFonts w:hint="eastAsia" w:ascii="宋体" w:hAnsi="宋体" w:eastAsia="宋体" w:cs="宋体"/>
          <w:color w:val="auto"/>
          <w:sz w:val="56"/>
          <w:szCs w:val="56"/>
          <w:highlight w:val="none"/>
        </w:rPr>
        <w:tab/>
      </w:r>
    </w:p>
    <w:p w14:paraId="70EB971D">
      <w:pPr>
        <w:pageBreakBefore w:val="0"/>
        <w:overflowPunct/>
        <w:bidi w:val="0"/>
        <w:spacing w:line="360" w:lineRule="auto"/>
        <w:jc w:val="both"/>
        <w:outlineLvl w:val="9"/>
        <w:rPr>
          <w:rFonts w:hint="eastAsia" w:ascii="宋体" w:hAnsi="宋体" w:eastAsia="宋体" w:cs="宋体"/>
          <w:b/>
          <w:bCs/>
          <w:color w:val="auto"/>
          <w:kern w:val="0"/>
          <w:sz w:val="32"/>
          <w:szCs w:val="32"/>
          <w:highlight w:val="none"/>
          <w:lang w:val="en-US" w:eastAsia="zh-CN"/>
        </w:rPr>
      </w:pPr>
    </w:p>
    <w:p w14:paraId="65F20A4D">
      <w:pPr>
        <w:pStyle w:val="5"/>
        <w:pageBreakBefore w:val="0"/>
        <w:overflowPunct/>
        <w:bidi w:val="0"/>
        <w:spacing w:line="360" w:lineRule="auto"/>
        <w:rPr>
          <w:rFonts w:hint="eastAsia"/>
          <w:color w:val="auto"/>
          <w:lang w:val="en-US" w:eastAsia="zh-CN"/>
        </w:rPr>
      </w:pPr>
    </w:p>
    <w:p w14:paraId="382B6528">
      <w:pPr>
        <w:pageBreakBefore w:val="0"/>
        <w:overflowPunct/>
        <w:bidi w:val="0"/>
        <w:spacing w:line="360" w:lineRule="auto"/>
        <w:ind w:firstLine="1280" w:firstLineChars="400"/>
        <w:jc w:val="both"/>
        <w:outlineLvl w:val="9"/>
        <w:rPr>
          <w:rFonts w:hint="eastAsia" w:ascii="宋体" w:hAnsi="宋体" w:eastAsia="宋体" w:cs="宋体"/>
          <w:b/>
          <w:bCs/>
          <w:color w:val="auto"/>
          <w:kern w:val="0"/>
          <w:sz w:val="32"/>
          <w:szCs w:val="32"/>
          <w:highlight w:val="none"/>
          <w:lang w:val="en-US" w:eastAsia="zh-CN"/>
        </w:rPr>
      </w:pPr>
    </w:p>
    <w:p w14:paraId="0C277C6A">
      <w:pPr>
        <w:pageBreakBefore w:val="0"/>
        <w:overflowPunct/>
        <w:bidi w:val="0"/>
        <w:spacing w:line="360" w:lineRule="auto"/>
        <w:ind w:firstLine="320" w:firstLineChars="100"/>
        <w:jc w:val="both"/>
        <w:outlineLvl w:val="9"/>
        <w:rPr>
          <w:rFonts w:hint="eastAsia" w:ascii="宋体" w:hAnsi="宋体" w:eastAsia="宋体" w:cs="宋体"/>
          <w:b/>
          <w:bCs/>
          <w:color w:val="auto"/>
          <w:kern w:val="0"/>
          <w:sz w:val="32"/>
          <w:szCs w:val="32"/>
          <w:highlight w:val="none"/>
          <w:lang w:val="en-US" w:eastAsia="zh-CN"/>
        </w:rPr>
      </w:pPr>
    </w:p>
    <w:p w14:paraId="5D45F4A4">
      <w:pPr>
        <w:pageBreakBefore w:val="0"/>
        <w:overflowPunct/>
        <w:bidi w:val="0"/>
        <w:spacing w:line="360" w:lineRule="auto"/>
        <w:ind w:firstLine="320" w:firstLineChars="100"/>
        <w:jc w:val="both"/>
        <w:outlineLvl w:val="9"/>
        <w:rPr>
          <w:rFonts w:hint="eastAsia" w:ascii="宋体" w:hAnsi="宋体" w:eastAsia="宋体" w:cs="宋体"/>
          <w:b/>
          <w:bCs/>
          <w:color w:val="auto"/>
          <w:kern w:val="0"/>
          <w:sz w:val="32"/>
          <w:szCs w:val="32"/>
          <w:highlight w:val="none"/>
          <w:lang w:val="en-US" w:eastAsia="zh-CN"/>
        </w:rPr>
      </w:pPr>
    </w:p>
    <w:p w14:paraId="21B99764">
      <w:pPr>
        <w:pageBreakBefore w:val="0"/>
        <w:overflowPunct/>
        <w:bidi w:val="0"/>
        <w:spacing w:line="360" w:lineRule="auto"/>
        <w:ind w:firstLine="320" w:firstLineChars="100"/>
        <w:jc w:val="both"/>
        <w:outlineLvl w:val="9"/>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color w:val="auto"/>
          <w:kern w:val="0"/>
          <w:sz w:val="32"/>
          <w:szCs w:val="32"/>
          <w:highlight w:val="none"/>
          <w:lang w:val="en-US" w:eastAsia="zh-CN"/>
        </w:rPr>
        <w:t>项目编号</w:t>
      </w:r>
      <w:r>
        <w:rPr>
          <w:rFonts w:hint="eastAsia" w:ascii="宋体" w:hAnsi="宋体" w:eastAsia="宋体" w:cs="宋体"/>
          <w:b w:val="0"/>
          <w:bCs w:val="0"/>
          <w:color w:val="auto"/>
          <w:kern w:val="0"/>
          <w:sz w:val="32"/>
          <w:szCs w:val="32"/>
          <w:highlight w:val="none"/>
        </w:rPr>
        <w:t>：</w:t>
      </w:r>
      <w:r>
        <w:rPr>
          <w:rFonts w:hint="eastAsia" w:ascii="宋体" w:hAnsi="宋体" w:cs="宋体"/>
          <w:b w:val="0"/>
          <w:bCs w:val="0"/>
          <w:color w:val="auto"/>
          <w:kern w:val="0"/>
          <w:sz w:val="32"/>
          <w:szCs w:val="32"/>
          <w:highlight w:val="none"/>
          <w:lang w:eastAsia="zh-CN"/>
        </w:rPr>
        <w:t>SGZ[2026]059-ZC032、三财竞磋采购-2026-3</w:t>
      </w:r>
    </w:p>
    <w:p w14:paraId="1F11AF51">
      <w:pPr>
        <w:pageBreakBefore w:val="0"/>
        <w:overflowPunct/>
        <w:bidi w:val="0"/>
        <w:spacing w:line="360" w:lineRule="auto"/>
        <w:ind w:left="2560" w:hanging="2560" w:hangingChars="800"/>
        <w:jc w:val="left"/>
        <w:outlineLvl w:val="9"/>
        <w:rPr>
          <w:rFonts w:hint="eastAsia" w:ascii="宋体" w:hAnsi="宋体" w:eastAsia="宋体" w:cs="宋体"/>
          <w:b w:val="0"/>
          <w:bCs w:val="0"/>
          <w:color w:val="auto"/>
          <w:sz w:val="32"/>
          <w:szCs w:val="32"/>
          <w:highlight w:val="none"/>
          <w:lang w:val="en-US" w:eastAsia="zh-CN"/>
        </w:rPr>
      </w:pPr>
      <w:r>
        <w:rPr>
          <w:rFonts w:hint="eastAsia" w:ascii="宋体" w:hAnsi="宋体" w:cs="宋体"/>
          <w:b w:val="0"/>
          <w:bCs w:val="0"/>
          <w:color w:val="auto"/>
          <w:sz w:val="32"/>
          <w:szCs w:val="32"/>
          <w:lang w:val="en-US" w:eastAsia="zh-CN"/>
        </w:rPr>
        <w:t xml:space="preserve">  </w:t>
      </w:r>
      <w:r>
        <w:rPr>
          <w:rFonts w:hint="eastAsia" w:ascii="宋体" w:hAnsi="宋体" w:eastAsia="宋体" w:cs="宋体"/>
          <w:b w:val="0"/>
          <w:bCs w:val="0"/>
          <w:color w:val="auto"/>
          <w:sz w:val="32"/>
          <w:szCs w:val="32"/>
        </w:rPr>
        <w:t>采购人</w:t>
      </w:r>
      <w:r>
        <w:rPr>
          <w:rFonts w:hint="eastAsia" w:ascii="宋体" w:hAnsi="宋体" w:eastAsia="宋体" w:cs="宋体"/>
          <w:b w:val="0"/>
          <w:bCs w:val="0"/>
          <w:color w:val="auto"/>
          <w:sz w:val="32"/>
          <w:szCs w:val="32"/>
          <w:lang w:eastAsia="zh-CN"/>
        </w:rPr>
        <w:t>：</w:t>
      </w:r>
      <w:r>
        <w:rPr>
          <w:rFonts w:hint="eastAsia" w:ascii="宋体" w:hAnsi="宋体" w:cs="宋体"/>
          <w:b w:val="0"/>
          <w:bCs w:val="0"/>
          <w:color w:val="auto"/>
          <w:sz w:val="32"/>
          <w:szCs w:val="32"/>
          <w:lang w:val="en-US" w:eastAsia="zh-CN"/>
        </w:rPr>
        <w:t>三门峡市公路事业发展中心</w:t>
      </w:r>
    </w:p>
    <w:p w14:paraId="3B2D9DE4">
      <w:pPr>
        <w:pageBreakBefore w:val="0"/>
        <w:overflowPunct/>
        <w:bidi w:val="0"/>
        <w:spacing w:line="360" w:lineRule="auto"/>
        <w:ind w:firstLine="320" w:firstLineChars="100"/>
        <w:jc w:val="both"/>
        <w:outlineLvl w:val="9"/>
        <w:rPr>
          <w:rFonts w:hint="eastAsia" w:ascii="宋体" w:hAnsi="宋体" w:eastAsia="宋体" w:cs="宋体"/>
          <w:b w:val="0"/>
          <w:bCs w:val="0"/>
          <w:color w:val="auto"/>
          <w:sz w:val="32"/>
          <w:szCs w:val="32"/>
          <w:lang w:eastAsia="zh-CN"/>
        </w:rPr>
      </w:pPr>
      <w:r>
        <w:rPr>
          <w:rFonts w:hint="eastAsia" w:ascii="宋体" w:hAnsi="宋体" w:eastAsia="宋体" w:cs="宋体"/>
          <w:b w:val="0"/>
          <w:bCs w:val="0"/>
          <w:color w:val="auto"/>
          <w:sz w:val="32"/>
          <w:szCs w:val="32"/>
        </w:rPr>
        <w:t>采购代理机构：</w:t>
      </w:r>
      <w:r>
        <w:rPr>
          <w:rFonts w:hint="eastAsia" w:ascii="宋体" w:hAnsi="宋体" w:cs="宋体"/>
          <w:b w:val="0"/>
          <w:bCs w:val="0"/>
          <w:color w:val="auto"/>
          <w:sz w:val="32"/>
          <w:szCs w:val="32"/>
          <w:lang w:val="en-US" w:eastAsia="zh-CN"/>
        </w:rPr>
        <w:t>信宇腾远工程咨询集团有限公司</w:t>
      </w:r>
      <w:r>
        <w:rPr>
          <w:rFonts w:hint="eastAsia" w:ascii="宋体" w:hAnsi="宋体" w:eastAsia="宋体" w:cs="宋体"/>
          <w:b w:val="0"/>
          <w:bCs w:val="0"/>
          <w:color w:val="auto"/>
          <w:sz w:val="32"/>
          <w:szCs w:val="32"/>
          <w:lang w:val="en-US" w:eastAsia="zh-CN"/>
        </w:rPr>
        <w:t xml:space="preserve"> </w:t>
      </w:r>
    </w:p>
    <w:p w14:paraId="70BB345F">
      <w:pPr>
        <w:pageBreakBefore w:val="0"/>
        <w:overflowPunct/>
        <w:bidi w:val="0"/>
        <w:spacing w:line="360" w:lineRule="auto"/>
        <w:ind w:firstLine="320" w:firstLineChars="100"/>
        <w:jc w:val="both"/>
        <w:outlineLvl w:val="9"/>
        <w:rPr>
          <w:rFonts w:hint="eastAsia" w:ascii="宋体" w:hAnsi="宋体" w:eastAsia="宋体" w:cs="宋体"/>
          <w:b/>
          <w:bCs/>
          <w:color w:val="auto"/>
          <w:sz w:val="32"/>
          <w:szCs w:val="32"/>
        </w:rPr>
      </w:pPr>
      <w:r>
        <w:rPr>
          <w:rFonts w:hint="eastAsia" w:ascii="宋体" w:hAnsi="宋体" w:eastAsia="宋体" w:cs="宋体"/>
          <w:b w:val="0"/>
          <w:bCs w:val="0"/>
          <w:color w:val="auto"/>
          <w:sz w:val="32"/>
          <w:szCs w:val="32"/>
        </w:rPr>
        <w:t>日期：二Ｏ二</w:t>
      </w:r>
      <w:r>
        <w:rPr>
          <w:rFonts w:hint="eastAsia" w:ascii="宋体" w:hAnsi="宋体" w:cs="宋体"/>
          <w:b w:val="0"/>
          <w:bCs w:val="0"/>
          <w:color w:val="auto"/>
          <w:sz w:val="32"/>
          <w:szCs w:val="32"/>
          <w:lang w:val="en-US" w:eastAsia="zh-CN"/>
        </w:rPr>
        <w:t>六</w:t>
      </w:r>
      <w:r>
        <w:rPr>
          <w:rFonts w:hint="eastAsia" w:ascii="宋体" w:hAnsi="宋体" w:eastAsia="宋体" w:cs="宋体"/>
          <w:b w:val="0"/>
          <w:bCs w:val="0"/>
          <w:color w:val="auto"/>
          <w:sz w:val="32"/>
          <w:szCs w:val="32"/>
        </w:rPr>
        <w:t>年</w:t>
      </w:r>
      <w:r>
        <w:rPr>
          <w:rFonts w:hint="eastAsia" w:ascii="宋体" w:hAnsi="宋体" w:cs="宋体"/>
          <w:b w:val="0"/>
          <w:bCs w:val="0"/>
          <w:color w:val="auto"/>
          <w:sz w:val="32"/>
          <w:szCs w:val="32"/>
          <w:lang w:val="en-US" w:eastAsia="zh-CN"/>
        </w:rPr>
        <w:t>二</w:t>
      </w:r>
      <w:r>
        <w:rPr>
          <w:rFonts w:hint="eastAsia" w:ascii="宋体" w:hAnsi="宋体" w:eastAsia="宋体" w:cs="宋体"/>
          <w:b w:val="0"/>
          <w:bCs w:val="0"/>
          <w:color w:val="auto"/>
          <w:sz w:val="32"/>
          <w:szCs w:val="32"/>
        </w:rPr>
        <w:t>月</w:t>
      </w:r>
    </w:p>
    <w:p w14:paraId="063705D3">
      <w:pPr>
        <w:pStyle w:val="9"/>
        <w:pageBreakBefore w:val="0"/>
        <w:overflowPunct/>
        <w:bidi w:val="0"/>
        <w:spacing w:before="318" w:beforeLines="100" w:after="318" w:afterLines="100" w:line="360" w:lineRule="auto"/>
        <w:jc w:val="center"/>
        <w:outlineLvl w:val="9"/>
        <w:rPr>
          <w:rFonts w:hint="eastAsia" w:ascii="宋体" w:hAnsi="宋体" w:eastAsia="宋体" w:cs="宋体"/>
          <w:b/>
          <w:bCs/>
          <w:color w:val="auto"/>
          <w:sz w:val="32"/>
          <w:szCs w:val="32"/>
        </w:rPr>
        <w:sectPr>
          <w:footerReference r:id="rId4" w:type="first"/>
          <w:headerReference r:id="rId3" w:type="default"/>
          <w:pgSz w:w="11906" w:h="16840"/>
          <w:pgMar w:top="1440" w:right="1440" w:bottom="1440" w:left="1440" w:header="964" w:footer="981" w:gutter="0"/>
          <w:pgBorders>
            <w:top w:val="none" w:sz="0" w:space="0"/>
            <w:left w:val="none" w:sz="0" w:space="0"/>
            <w:bottom w:val="none" w:sz="0" w:space="0"/>
            <w:right w:val="none" w:sz="0" w:space="0"/>
          </w:pgBorders>
          <w:pgNumType w:start="0"/>
          <w:cols w:space="720" w:num="1"/>
          <w:rtlGutter w:val="0"/>
          <w:docGrid w:type="linesAndChars" w:linePitch="318" w:charSpace="0"/>
        </w:sectPr>
      </w:pPr>
    </w:p>
    <w:p w14:paraId="56B7AF2C">
      <w:pPr>
        <w:pStyle w:val="13"/>
        <w:rPr>
          <w:rFonts w:hint="eastAsia" w:ascii="宋体" w:hAnsi="宋体" w:eastAsia="宋体" w:cs="宋体"/>
          <w:b/>
          <w:bCs/>
          <w:color w:val="auto"/>
        </w:rPr>
      </w:pPr>
      <w:r>
        <w:rPr>
          <w:rFonts w:hint="eastAsia" w:ascii="宋体" w:hAnsi="宋体" w:eastAsia="宋体" w:cs="宋体"/>
          <w:b/>
          <w:bCs/>
          <w:color w:val="auto"/>
        </w:rPr>
        <w:t>目 录</w:t>
      </w:r>
    </w:p>
    <w:sdt>
      <w:sdtPr>
        <w:rPr>
          <w:rFonts w:hint="eastAsia" w:ascii="宋体" w:hAnsi="宋体" w:eastAsia="宋体" w:cs="宋体"/>
          <w:color w:val="auto"/>
          <w:kern w:val="2"/>
          <w:sz w:val="32"/>
          <w:szCs w:val="32"/>
          <w:lang w:val="en-US" w:eastAsia="zh-CN" w:bidi="ar-SA"/>
        </w:rPr>
        <w:id w:val="147459143"/>
        <w15:color w:val="DBDBDB"/>
        <w:docPartObj>
          <w:docPartGallery w:val="Table of Contents"/>
          <w:docPartUnique/>
        </w:docPartObj>
      </w:sdtPr>
      <w:sdtEndPr>
        <w:rPr>
          <w:rFonts w:hint="eastAsia" w:ascii="宋体" w:hAnsi="宋体" w:eastAsia="宋体" w:cs="宋体"/>
          <w:color w:val="auto"/>
          <w:kern w:val="2"/>
          <w:sz w:val="36"/>
          <w:szCs w:val="32"/>
          <w:lang w:val="en-US" w:eastAsia="zh-CN" w:bidi="ar-SA"/>
        </w:rPr>
      </w:sdtEndPr>
      <w:sdtContent>
        <w:p w14:paraId="39649A6D">
          <w:pPr>
            <w:spacing w:before="0" w:beforeLines="0" w:after="0" w:afterLines="0" w:line="240" w:lineRule="auto"/>
            <w:ind w:left="0" w:leftChars="0" w:right="0" w:rightChars="0" w:firstLine="0" w:firstLineChars="0"/>
            <w:jc w:val="center"/>
            <w:rPr>
              <w:rFonts w:hint="eastAsia" w:ascii="宋体" w:hAnsi="宋体" w:eastAsia="宋体" w:cs="宋体"/>
              <w:color w:val="auto"/>
              <w:sz w:val="32"/>
              <w:szCs w:val="32"/>
            </w:rPr>
          </w:pPr>
        </w:p>
        <w:p w14:paraId="4D0DF120">
          <w:pPr>
            <w:pStyle w:val="13"/>
            <w:tabs>
              <w:tab w:val="right" w:leader="dot" w:pos="9070"/>
              <w:tab w:val="clear" w:pos="9060"/>
            </w:tabs>
            <w:rPr>
              <w:color w:val="auto"/>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TOC \o "1-1" \h \u </w:instrText>
          </w:r>
          <w:r>
            <w:rPr>
              <w:rFonts w:hint="eastAsia" w:ascii="宋体" w:hAnsi="宋体" w:eastAsia="宋体" w:cs="宋体"/>
              <w:color w:val="auto"/>
              <w:sz w:val="28"/>
              <w:szCs w:val="28"/>
            </w:rPr>
            <w:fldChar w:fldCharType="separate"/>
          </w: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_Toc752 </w:instrText>
          </w:r>
          <w:r>
            <w:rPr>
              <w:rFonts w:hint="eastAsia" w:ascii="宋体" w:hAnsi="宋体" w:eastAsia="宋体" w:cs="宋体"/>
              <w:color w:val="auto"/>
              <w:szCs w:val="28"/>
            </w:rPr>
            <w:fldChar w:fldCharType="separate"/>
          </w:r>
          <w:r>
            <w:rPr>
              <w:rFonts w:hint="eastAsia" w:ascii="宋体" w:hAnsi="宋体" w:eastAsia="宋体" w:cs="宋体"/>
              <w:color w:val="auto"/>
            </w:rPr>
            <w:t xml:space="preserve">第一章 </w:t>
          </w:r>
          <w:r>
            <w:rPr>
              <w:rFonts w:hint="eastAsia" w:ascii="宋体" w:hAnsi="宋体" w:eastAsia="宋体" w:cs="宋体"/>
              <w:color w:val="auto"/>
              <w:lang w:val="en-US" w:eastAsia="zh-CN"/>
            </w:rPr>
            <w:t>竞争性磋商</w:t>
          </w:r>
          <w:r>
            <w:rPr>
              <w:rFonts w:hint="eastAsia" w:ascii="宋体" w:hAnsi="宋体" w:eastAsia="宋体" w:cs="宋体"/>
              <w:color w:val="auto"/>
            </w:rPr>
            <w:t>公告</w:t>
          </w:r>
          <w:r>
            <w:rPr>
              <w:color w:val="auto"/>
            </w:rPr>
            <w:tab/>
          </w:r>
          <w:r>
            <w:rPr>
              <w:color w:val="auto"/>
            </w:rPr>
            <w:fldChar w:fldCharType="begin"/>
          </w:r>
          <w:r>
            <w:rPr>
              <w:color w:val="auto"/>
            </w:rPr>
            <w:instrText xml:space="preserve"> PAGEREF _Toc752 \h </w:instrText>
          </w:r>
          <w:r>
            <w:rPr>
              <w:color w:val="auto"/>
            </w:rPr>
            <w:fldChar w:fldCharType="separate"/>
          </w:r>
          <w:r>
            <w:rPr>
              <w:color w:val="auto"/>
            </w:rPr>
            <w:t>2</w:t>
          </w:r>
          <w:r>
            <w:rPr>
              <w:color w:val="auto"/>
            </w:rPr>
            <w:fldChar w:fldCharType="end"/>
          </w:r>
          <w:r>
            <w:rPr>
              <w:rFonts w:hint="eastAsia" w:ascii="宋体" w:hAnsi="宋体" w:eastAsia="宋体" w:cs="宋体"/>
              <w:color w:val="auto"/>
              <w:szCs w:val="28"/>
            </w:rPr>
            <w:fldChar w:fldCharType="end"/>
          </w:r>
        </w:p>
        <w:p w14:paraId="45035EF5">
          <w:pPr>
            <w:pStyle w:val="13"/>
            <w:tabs>
              <w:tab w:val="right" w:leader="dot" w:pos="9070"/>
              <w:tab w:val="clear" w:pos="9060"/>
            </w:tabs>
            <w:rPr>
              <w:color w:val="auto"/>
            </w:rPr>
          </w:pPr>
          <w:r>
            <w:rPr>
              <w:rFonts w:hint="eastAsia" w:ascii="宋体" w:hAnsi="宋体" w:eastAsia="宋体" w:cs="宋体"/>
              <w:color w:val="auto"/>
              <w:szCs w:val="48"/>
            </w:rPr>
            <w:fldChar w:fldCharType="begin"/>
          </w:r>
          <w:r>
            <w:rPr>
              <w:rFonts w:hint="eastAsia" w:ascii="宋体" w:hAnsi="宋体" w:eastAsia="宋体" w:cs="宋体"/>
              <w:color w:val="auto"/>
              <w:szCs w:val="48"/>
            </w:rPr>
            <w:instrText xml:space="preserve"> HYPERLINK \l _Toc24701 </w:instrText>
          </w:r>
          <w:r>
            <w:rPr>
              <w:rFonts w:hint="eastAsia" w:ascii="宋体" w:hAnsi="宋体" w:eastAsia="宋体" w:cs="宋体"/>
              <w:color w:val="auto"/>
              <w:szCs w:val="48"/>
            </w:rPr>
            <w:fldChar w:fldCharType="separate"/>
          </w:r>
          <w:r>
            <w:rPr>
              <w:rFonts w:hint="eastAsia" w:ascii="宋体" w:hAnsi="宋体" w:eastAsia="宋体" w:cs="宋体"/>
              <w:bCs/>
              <w:color w:val="auto"/>
              <w:kern w:val="0"/>
              <w:szCs w:val="40"/>
            </w:rPr>
            <w:t>第二章 投标供应商须知</w:t>
          </w:r>
          <w:r>
            <w:rPr>
              <w:color w:val="auto"/>
            </w:rPr>
            <w:tab/>
          </w:r>
          <w:r>
            <w:rPr>
              <w:color w:val="auto"/>
            </w:rPr>
            <w:fldChar w:fldCharType="begin"/>
          </w:r>
          <w:r>
            <w:rPr>
              <w:color w:val="auto"/>
            </w:rPr>
            <w:instrText xml:space="preserve"> PAGEREF _Toc24701 \h </w:instrText>
          </w:r>
          <w:r>
            <w:rPr>
              <w:color w:val="auto"/>
            </w:rPr>
            <w:fldChar w:fldCharType="separate"/>
          </w:r>
          <w:r>
            <w:rPr>
              <w:color w:val="auto"/>
            </w:rPr>
            <w:t>6</w:t>
          </w:r>
          <w:r>
            <w:rPr>
              <w:color w:val="auto"/>
            </w:rPr>
            <w:fldChar w:fldCharType="end"/>
          </w:r>
          <w:r>
            <w:rPr>
              <w:rFonts w:hint="eastAsia" w:ascii="宋体" w:hAnsi="宋体" w:eastAsia="宋体" w:cs="宋体"/>
              <w:color w:val="auto"/>
              <w:szCs w:val="48"/>
            </w:rPr>
            <w:fldChar w:fldCharType="end"/>
          </w:r>
        </w:p>
        <w:p w14:paraId="0EA8D5BE">
          <w:pPr>
            <w:pStyle w:val="13"/>
            <w:tabs>
              <w:tab w:val="right" w:leader="dot" w:pos="9070"/>
              <w:tab w:val="clear" w:pos="9060"/>
            </w:tabs>
            <w:rPr>
              <w:color w:val="auto"/>
            </w:rPr>
          </w:pPr>
          <w:r>
            <w:rPr>
              <w:rFonts w:hint="eastAsia" w:ascii="宋体" w:hAnsi="宋体" w:eastAsia="宋体" w:cs="宋体"/>
              <w:color w:val="auto"/>
              <w:szCs w:val="48"/>
            </w:rPr>
            <w:fldChar w:fldCharType="begin"/>
          </w:r>
          <w:r>
            <w:rPr>
              <w:rFonts w:hint="eastAsia" w:ascii="宋体" w:hAnsi="宋体" w:eastAsia="宋体" w:cs="宋体"/>
              <w:color w:val="auto"/>
              <w:szCs w:val="48"/>
            </w:rPr>
            <w:instrText xml:space="preserve"> HYPERLINK \l _Toc20302 </w:instrText>
          </w:r>
          <w:r>
            <w:rPr>
              <w:rFonts w:hint="eastAsia" w:ascii="宋体" w:hAnsi="宋体" w:eastAsia="宋体" w:cs="宋体"/>
              <w:color w:val="auto"/>
              <w:szCs w:val="48"/>
            </w:rPr>
            <w:fldChar w:fldCharType="separate"/>
          </w:r>
          <w:r>
            <w:rPr>
              <w:rFonts w:hint="eastAsia" w:ascii="宋体" w:hAnsi="宋体" w:eastAsia="宋体" w:cs="宋体"/>
              <w:color w:val="auto"/>
              <w:highlight w:val="none"/>
              <w:lang w:val="en-US" w:eastAsia="zh-CN"/>
            </w:rPr>
            <w:t xml:space="preserve">第三章 </w:t>
          </w:r>
          <w:r>
            <w:rPr>
              <w:rFonts w:hint="eastAsia" w:ascii="宋体" w:hAnsi="宋体" w:eastAsia="宋体" w:cs="宋体"/>
              <w:bCs w:val="0"/>
              <w:color w:val="auto"/>
              <w:kern w:val="0"/>
              <w:szCs w:val="24"/>
              <w:highlight w:val="none"/>
              <w:lang w:val="en-US" w:eastAsia="zh-CN" w:bidi="ar-SA"/>
            </w:rPr>
            <w:t>服务内容及要求</w:t>
          </w:r>
          <w:r>
            <w:rPr>
              <w:color w:val="auto"/>
            </w:rPr>
            <w:tab/>
          </w:r>
          <w:r>
            <w:rPr>
              <w:color w:val="auto"/>
            </w:rPr>
            <w:fldChar w:fldCharType="begin"/>
          </w:r>
          <w:r>
            <w:rPr>
              <w:color w:val="auto"/>
            </w:rPr>
            <w:instrText xml:space="preserve"> PAGEREF _Toc20302 \h </w:instrText>
          </w:r>
          <w:r>
            <w:rPr>
              <w:color w:val="auto"/>
            </w:rPr>
            <w:fldChar w:fldCharType="separate"/>
          </w:r>
          <w:r>
            <w:rPr>
              <w:color w:val="auto"/>
            </w:rPr>
            <w:t>22</w:t>
          </w:r>
          <w:r>
            <w:rPr>
              <w:color w:val="auto"/>
            </w:rPr>
            <w:fldChar w:fldCharType="end"/>
          </w:r>
          <w:r>
            <w:rPr>
              <w:rFonts w:hint="eastAsia" w:ascii="宋体" w:hAnsi="宋体" w:eastAsia="宋体" w:cs="宋体"/>
              <w:color w:val="auto"/>
              <w:szCs w:val="48"/>
            </w:rPr>
            <w:fldChar w:fldCharType="end"/>
          </w:r>
        </w:p>
        <w:p w14:paraId="7AC817F5">
          <w:pPr>
            <w:pStyle w:val="13"/>
            <w:tabs>
              <w:tab w:val="right" w:leader="dot" w:pos="9070"/>
              <w:tab w:val="clear" w:pos="9060"/>
            </w:tabs>
            <w:rPr>
              <w:color w:val="auto"/>
            </w:rPr>
          </w:pPr>
          <w:r>
            <w:rPr>
              <w:rFonts w:hint="eastAsia" w:ascii="宋体" w:hAnsi="宋体" w:eastAsia="宋体" w:cs="宋体"/>
              <w:color w:val="auto"/>
              <w:szCs w:val="48"/>
            </w:rPr>
            <w:fldChar w:fldCharType="begin"/>
          </w:r>
          <w:r>
            <w:rPr>
              <w:rFonts w:hint="eastAsia" w:ascii="宋体" w:hAnsi="宋体" w:eastAsia="宋体" w:cs="宋体"/>
              <w:color w:val="auto"/>
              <w:szCs w:val="48"/>
            </w:rPr>
            <w:instrText xml:space="preserve"> HYPERLINK \l _Toc8223 </w:instrText>
          </w:r>
          <w:r>
            <w:rPr>
              <w:rFonts w:hint="eastAsia" w:ascii="宋体" w:hAnsi="宋体" w:eastAsia="宋体" w:cs="宋体"/>
              <w:color w:val="auto"/>
              <w:szCs w:val="48"/>
            </w:rPr>
            <w:fldChar w:fldCharType="separate"/>
          </w:r>
          <w:r>
            <w:rPr>
              <w:rFonts w:hint="eastAsia" w:ascii="宋体" w:hAnsi="宋体" w:eastAsia="宋体" w:cs="宋体"/>
              <w:bCs/>
              <w:color w:val="auto"/>
              <w:kern w:val="44"/>
              <w:szCs w:val="44"/>
              <w:highlight w:val="none"/>
              <w:lang w:val="en-US" w:eastAsia="zh-CN" w:bidi="ar-SA"/>
            </w:rPr>
            <w:t>第四章 评审办法</w:t>
          </w:r>
          <w:r>
            <w:rPr>
              <w:color w:val="auto"/>
            </w:rPr>
            <w:tab/>
          </w:r>
          <w:r>
            <w:rPr>
              <w:color w:val="auto"/>
            </w:rPr>
            <w:fldChar w:fldCharType="begin"/>
          </w:r>
          <w:r>
            <w:rPr>
              <w:color w:val="auto"/>
            </w:rPr>
            <w:instrText xml:space="preserve"> PAGEREF _Toc8223 \h </w:instrText>
          </w:r>
          <w:r>
            <w:rPr>
              <w:color w:val="auto"/>
            </w:rPr>
            <w:fldChar w:fldCharType="separate"/>
          </w:r>
          <w:r>
            <w:rPr>
              <w:color w:val="auto"/>
            </w:rPr>
            <w:t>23</w:t>
          </w:r>
          <w:r>
            <w:rPr>
              <w:color w:val="auto"/>
            </w:rPr>
            <w:fldChar w:fldCharType="end"/>
          </w:r>
          <w:r>
            <w:rPr>
              <w:rFonts w:hint="eastAsia" w:ascii="宋体" w:hAnsi="宋体" w:eastAsia="宋体" w:cs="宋体"/>
              <w:color w:val="auto"/>
              <w:szCs w:val="48"/>
            </w:rPr>
            <w:fldChar w:fldCharType="end"/>
          </w:r>
        </w:p>
        <w:p w14:paraId="0BA2C8F9">
          <w:pPr>
            <w:pStyle w:val="13"/>
            <w:tabs>
              <w:tab w:val="right" w:leader="dot" w:pos="9070"/>
              <w:tab w:val="clear" w:pos="9060"/>
            </w:tabs>
            <w:rPr>
              <w:color w:val="auto"/>
            </w:rPr>
          </w:pPr>
          <w:r>
            <w:rPr>
              <w:rFonts w:hint="eastAsia" w:ascii="宋体" w:hAnsi="宋体" w:eastAsia="宋体" w:cs="宋体"/>
              <w:color w:val="auto"/>
              <w:szCs w:val="48"/>
            </w:rPr>
            <w:fldChar w:fldCharType="begin"/>
          </w:r>
          <w:r>
            <w:rPr>
              <w:rFonts w:hint="eastAsia" w:ascii="宋体" w:hAnsi="宋体" w:eastAsia="宋体" w:cs="宋体"/>
              <w:color w:val="auto"/>
              <w:szCs w:val="48"/>
            </w:rPr>
            <w:instrText xml:space="preserve"> HYPERLINK \l _Toc31439 </w:instrText>
          </w:r>
          <w:r>
            <w:rPr>
              <w:rFonts w:hint="eastAsia" w:ascii="宋体" w:hAnsi="宋体" w:eastAsia="宋体" w:cs="宋体"/>
              <w:color w:val="auto"/>
              <w:szCs w:val="48"/>
            </w:rPr>
            <w:fldChar w:fldCharType="separate"/>
          </w:r>
          <w:r>
            <w:rPr>
              <w:rFonts w:hint="eastAsia" w:ascii="宋体" w:hAnsi="宋体" w:eastAsia="宋体" w:cs="宋体"/>
              <w:color w:val="auto"/>
              <w:szCs w:val="40"/>
            </w:rPr>
            <w:t>第五章 合同主要条款及格式</w:t>
          </w:r>
          <w:r>
            <w:rPr>
              <w:color w:val="auto"/>
            </w:rPr>
            <w:tab/>
          </w:r>
          <w:r>
            <w:rPr>
              <w:color w:val="auto"/>
            </w:rPr>
            <w:fldChar w:fldCharType="begin"/>
          </w:r>
          <w:r>
            <w:rPr>
              <w:color w:val="auto"/>
            </w:rPr>
            <w:instrText xml:space="preserve"> PAGEREF _Toc31439 \h </w:instrText>
          </w:r>
          <w:r>
            <w:rPr>
              <w:color w:val="auto"/>
            </w:rPr>
            <w:fldChar w:fldCharType="separate"/>
          </w:r>
          <w:r>
            <w:rPr>
              <w:color w:val="auto"/>
            </w:rPr>
            <w:t>31</w:t>
          </w:r>
          <w:r>
            <w:rPr>
              <w:color w:val="auto"/>
            </w:rPr>
            <w:fldChar w:fldCharType="end"/>
          </w:r>
          <w:r>
            <w:rPr>
              <w:rFonts w:hint="eastAsia" w:ascii="宋体" w:hAnsi="宋体" w:eastAsia="宋体" w:cs="宋体"/>
              <w:color w:val="auto"/>
              <w:szCs w:val="48"/>
            </w:rPr>
            <w:fldChar w:fldCharType="end"/>
          </w:r>
        </w:p>
        <w:p w14:paraId="73EEFE0C">
          <w:pPr>
            <w:pStyle w:val="13"/>
            <w:tabs>
              <w:tab w:val="right" w:leader="dot" w:pos="9070"/>
              <w:tab w:val="clear" w:pos="9060"/>
            </w:tabs>
            <w:rPr>
              <w:color w:val="auto"/>
            </w:rPr>
          </w:pPr>
          <w:r>
            <w:rPr>
              <w:rFonts w:hint="eastAsia" w:ascii="宋体" w:hAnsi="宋体" w:eastAsia="宋体" w:cs="宋体"/>
              <w:color w:val="auto"/>
              <w:szCs w:val="48"/>
            </w:rPr>
            <w:fldChar w:fldCharType="begin"/>
          </w:r>
          <w:r>
            <w:rPr>
              <w:rFonts w:hint="eastAsia" w:ascii="宋体" w:hAnsi="宋体" w:eastAsia="宋体" w:cs="宋体"/>
              <w:color w:val="auto"/>
              <w:szCs w:val="48"/>
            </w:rPr>
            <w:instrText xml:space="preserve"> HYPERLINK \l _Toc21640 </w:instrText>
          </w:r>
          <w:r>
            <w:rPr>
              <w:rFonts w:hint="eastAsia" w:ascii="宋体" w:hAnsi="宋体" w:eastAsia="宋体" w:cs="宋体"/>
              <w:color w:val="auto"/>
              <w:szCs w:val="48"/>
            </w:rPr>
            <w:fldChar w:fldCharType="separate"/>
          </w:r>
          <w:r>
            <w:rPr>
              <w:rFonts w:hint="eastAsia" w:ascii="宋体" w:hAnsi="宋体" w:eastAsia="宋体" w:cs="宋体"/>
              <w:bCs/>
              <w:color w:val="auto"/>
              <w:szCs w:val="40"/>
            </w:rPr>
            <w:t xml:space="preserve">第六章 </w:t>
          </w:r>
          <w:r>
            <w:rPr>
              <w:rFonts w:hint="eastAsia" w:ascii="宋体" w:hAnsi="宋体" w:eastAsia="宋体" w:cs="宋体"/>
              <w:bCs/>
              <w:color w:val="auto"/>
              <w:szCs w:val="40"/>
              <w:lang w:val="en-US" w:eastAsia="zh-CN"/>
            </w:rPr>
            <w:t>响应</w:t>
          </w:r>
          <w:r>
            <w:rPr>
              <w:rFonts w:hint="eastAsia" w:ascii="宋体" w:hAnsi="宋体" w:eastAsia="宋体" w:cs="宋体"/>
              <w:bCs/>
              <w:color w:val="auto"/>
              <w:szCs w:val="40"/>
            </w:rPr>
            <w:t>文件格式</w:t>
          </w:r>
          <w:r>
            <w:rPr>
              <w:color w:val="auto"/>
            </w:rPr>
            <w:tab/>
          </w:r>
          <w:r>
            <w:rPr>
              <w:color w:val="auto"/>
            </w:rPr>
            <w:fldChar w:fldCharType="begin"/>
          </w:r>
          <w:r>
            <w:rPr>
              <w:color w:val="auto"/>
            </w:rPr>
            <w:instrText xml:space="preserve"> PAGEREF _Toc21640 \h </w:instrText>
          </w:r>
          <w:r>
            <w:rPr>
              <w:color w:val="auto"/>
            </w:rPr>
            <w:fldChar w:fldCharType="separate"/>
          </w:r>
          <w:r>
            <w:rPr>
              <w:color w:val="auto"/>
            </w:rPr>
            <w:t>32</w:t>
          </w:r>
          <w:r>
            <w:rPr>
              <w:color w:val="auto"/>
            </w:rPr>
            <w:fldChar w:fldCharType="end"/>
          </w:r>
          <w:r>
            <w:rPr>
              <w:rFonts w:hint="eastAsia" w:ascii="宋体" w:hAnsi="宋体" w:eastAsia="宋体" w:cs="宋体"/>
              <w:color w:val="auto"/>
              <w:szCs w:val="48"/>
            </w:rPr>
            <w:fldChar w:fldCharType="end"/>
          </w:r>
        </w:p>
        <w:p w14:paraId="5F39AF39">
          <w:pPr>
            <w:pStyle w:val="13"/>
            <w:rPr>
              <w:rFonts w:hint="eastAsia" w:ascii="宋体" w:hAnsi="宋体" w:eastAsia="宋体" w:cs="宋体"/>
              <w:color w:val="auto"/>
            </w:rPr>
          </w:pPr>
          <w:r>
            <w:rPr>
              <w:rFonts w:hint="eastAsia" w:ascii="宋体" w:hAnsi="宋体" w:eastAsia="宋体" w:cs="宋体"/>
              <w:color w:val="auto"/>
              <w:szCs w:val="48"/>
            </w:rPr>
            <w:fldChar w:fldCharType="end"/>
          </w:r>
        </w:p>
      </w:sdtContent>
    </w:sdt>
    <w:p w14:paraId="60707E9F">
      <w:pPr>
        <w:autoSpaceDE w:val="0"/>
        <w:autoSpaceDN w:val="0"/>
        <w:adjustRightInd w:val="0"/>
        <w:spacing w:before="312" w:beforeLines="100" w:after="312" w:afterLines="100" w:line="600" w:lineRule="auto"/>
        <w:jc w:val="center"/>
        <w:rPr>
          <w:rFonts w:hint="eastAsia" w:ascii="宋体" w:hAnsi="宋体" w:eastAsia="宋体" w:cs="宋体"/>
          <w:b/>
          <w:bCs/>
          <w:color w:val="auto"/>
          <w:kern w:val="0"/>
          <w:sz w:val="44"/>
          <w:szCs w:val="44"/>
        </w:rPr>
      </w:pPr>
    </w:p>
    <w:p w14:paraId="0C695776">
      <w:pPr>
        <w:autoSpaceDE w:val="0"/>
        <w:autoSpaceDN w:val="0"/>
        <w:adjustRightInd w:val="0"/>
        <w:spacing w:line="486" w:lineRule="atLeast"/>
        <w:rPr>
          <w:rFonts w:hint="eastAsia" w:ascii="宋体" w:hAnsi="宋体" w:eastAsia="宋体" w:cs="宋体"/>
          <w:b/>
          <w:bCs/>
          <w:color w:val="auto"/>
          <w:kern w:val="0"/>
          <w:sz w:val="32"/>
          <w:szCs w:val="32"/>
        </w:rPr>
      </w:pPr>
    </w:p>
    <w:p w14:paraId="39A0FDDB">
      <w:pPr>
        <w:autoSpaceDE w:val="0"/>
        <w:autoSpaceDN w:val="0"/>
        <w:adjustRightInd w:val="0"/>
        <w:spacing w:line="486" w:lineRule="atLeast"/>
        <w:rPr>
          <w:rFonts w:hint="eastAsia" w:ascii="宋体" w:hAnsi="宋体" w:eastAsia="宋体" w:cs="宋体"/>
          <w:b/>
          <w:bCs/>
          <w:color w:val="auto"/>
          <w:kern w:val="0"/>
          <w:sz w:val="32"/>
          <w:szCs w:val="32"/>
        </w:rPr>
      </w:pPr>
    </w:p>
    <w:p w14:paraId="62C88CA9">
      <w:pPr>
        <w:autoSpaceDE w:val="0"/>
        <w:autoSpaceDN w:val="0"/>
        <w:adjustRightInd w:val="0"/>
        <w:spacing w:line="486" w:lineRule="atLeast"/>
        <w:rPr>
          <w:rFonts w:hint="eastAsia" w:ascii="宋体" w:hAnsi="宋体" w:eastAsia="宋体" w:cs="宋体"/>
          <w:b/>
          <w:bCs/>
          <w:color w:val="auto"/>
          <w:kern w:val="0"/>
          <w:sz w:val="32"/>
          <w:szCs w:val="32"/>
        </w:rPr>
      </w:pPr>
    </w:p>
    <w:p w14:paraId="33025FC3">
      <w:pPr>
        <w:autoSpaceDE w:val="0"/>
        <w:autoSpaceDN w:val="0"/>
        <w:adjustRightInd w:val="0"/>
        <w:spacing w:line="486" w:lineRule="atLeast"/>
        <w:rPr>
          <w:rFonts w:hint="eastAsia" w:ascii="宋体" w:hAnsi="宋体" w:eastAsia="宋体" w:cs="宋体"/>
          <w:b/>
          <w:bCs/>
          <w:color w:val="auto"/>
          <w:kern w:val="0"/>
          <w:sz w:val="32"/>
          <w:szCs w:val="32"/>
        </w:rPr>
      </w:pPr>
    </w:p>
    <w:p w14:paraId="644724E6">
      <w:pPr>
        <w:autoSpaceDE w:val="0"/>
        <w:autoSpaceDN w:val="0"/>
        <w:adjustRightInd w:val="0"/>
        <w:spacing w:line="486" w:lineRule="atLeast"/>
        <w:rPr>
          <w:rFonts w:hint="eastAsia" w:ascii="宋体" w:hAnsi="宋体" w:eastAsia="宋体" w:cs="宋体"/>
          <w:b/>
          <w:bCs/>
          <w:color w:val="auto"/>
          <w:kern w:val="0"/>
          <w:sz w:val="32"/>
          <w:szCs w:val="32"/>
        </w:rPr>
      </w:pPr>
    </w:p>
    <w:p w14:paraId="784F30F1">
      <w:pPr>
        <w:autoSpaceDE w:val="0"/>
        <w:autoSpaceDN w:val="0"/>
        <w:adjustRightInd w:val="0"/>
        <w:spacing w:line="486" w:lineRule="atLeast"/>
        <w:rPr>
          <w:rFonts w:hint="eastAsia" w:ascii="宋体" w:hAnsi="宋体" w:eastAsia="宋体" w:cs="宋体"/>
          <w:b/>
          <w:bCs/>
          <w:color w:val="auto"/>
          <w:kern w:val="0"/>
          <w:sz w:val="32"/>
          <w:szCs w:val="32"/>
        </w:rPr>
      </w:pPr>
    </w:p>
    <w:p w14:paraId="5C3ECC04">
      <w:pPr>
        <w:jc w:val="center"/>
        <w:outlineLvl w:val="0"/>
        <w:rPr>
          <w:rFonts w:hint="eastAsia" w:ascii="宋体" w:hAnsi="宋体" w:eastAsia="宋体" w:cs="宋体"/>
          <w:color w:val="auto"/>
          <w:sz w:val="40"/>
          <w:szCs w:val="40"/>
        </w:rPr>
      </w:pPr>
      <w:r>
        <w:rPr>
          <w:rFonts w:hint="eastAsia" w:ascii="宋体" w:hAnsi="宋体" w:eastAsia="宋体" w:cs="宋体"/>
          <w:b/>
          <w:bCs/>
          <w:color w:val="auto"/>
          <w:sz w:val="40"/>
          <w:szCs w:val="40"/>
        </w:rPr>
        <w:br w:type="page"/>
      </w:r>
      <w:bookmarkStart w:id="0" w:name="_Toc752"/>
      <w:bookmarkStart w:id="1" w:name="_Toc31146"/>
      <w:r>
        <w:rPr>
          <w:rStyle w:val="26"/>
          <w:rFonts w:hint="eastAsia" w:ascii="宋体" w:hAnsi="宋体" w:eastAsia="宋体" w:cs="宋体"/>
          <w:color w:val="auto"/>
        </w:rPr>
        <w:t xml:space="preserve">第一章 </w:t>
      </w:r>
      <w:r>
        <w:rPr>
          <w:rStyle w:val="26"/>
          <w:rFonts w:hint="eastAsia" w:ascii="宋体" w:hAnsi="宋体" w:eastAsia="宋体" w:cs="宋体"/>
          <w:color w:val="auto"/>
          <w:lang w:val="en-US" w:eastAsia="zh-CN"/>
        </w:rPr>
        <w:t>竞争性磋商</w:t>
      </w:r>
      <w:r>
        <w:rPr>
          <w:rStyle w:val="26"/>
          <w:rFonts w:hint="eastAsia" w:ascii="宋体" w:hAnsi="宋体" w:eastAsia="宋体" w:cs="宋体"/>
          <w:color w:val="auto"/>
        </w:rPr>
        <w:t>公告</w:t>
      </w:r>
      <w:bookmarkEnd w:id="0"/>
      <w:bookmarkEnd w:id="1"/>
    </w:p>
    <w:p w14:paraId="5801068E">
      <w:pPr>
        <w:keepNext w:val="0"/>
        <w:keepLines w:val="0"/>
        <w:pageBreakBefore w:val="0"/>
        <w:widowControl/>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bidi="ar"/>
        </w:rPr>
        <w:t>省道 313 线陕州区观音堂镇(芦草村)至宫前乡(宫前村)段改建工程勘察设计</w:t>
      </w:r>
      <w:r>
        <w:rPr>
          <w:rFonts w:hint="eastAsia" w:ascii="宋体" w:hAnsi="宋体" w:eastAsia="宋体" w:cs="宋体"/>
          <w:color w:val="auto"/>
          <w:kern w:val="0"/>
          <w:sz w:val="24"/>
          <w:szCs w:val="24"/>
          <w:shd w:val="clear" w:color="auto" w:fill="auto"/>
        </w:rPr>
        <w:t>的潜在</w:t>
      </w:r>
      <w:r>
        <w:rPr>
          <w:rFonts w:hint="eastAsia" w:ascii="宋体" w:hAnsi="宋体" w:cs="宋体"/>
          <w:color w:val="auto"/>
          <w:kern w:val="0"/>
          <w:sz w:val="24"/>
          <w:szCs w:val="24"/>
          <w:shd w:val="clear" w:color="auto" w:fill="auto"/>
          <w:lang w:eastAsia="zh-CN"/>
        </w:rPr>
        <w:t>供应商</w:t>
      </w:r>
      <w:r>
        <w:rPr>
          <w:rFonts w:hint="eastAsia" w:ascii="宋体" w:hAnsi="宋体" w:eastAsia="宋体" w:cs="宋体"/>
          <w:color w:val="auto"/>
          <w:kern w:val="0"/>
          <w:sz w:val="24"/>
          <w:szCs w:val="24"/>
          <w:shd w:val="clear" w:color="auto" w:fill="auto"/>
        </w:rPr>
        <w:t>应在三门峡市公共资源交易中心平台获取</w:t>
      </w:r>
      <w:r>
        <w:rPr>
          <w:rFonts w:hint="eastAsia" w:ascii="宋体" w:hAnsi="宋体" w:cs="宋体"/>
          <w:color w:val="auto"/>
          <w:kern w:val="0"/>
          <w:sz w:val="24"/>
          <w:szCs w:val="24"/>
          <w:shd w:val="clear" w:color="auto" w:fill="auto"/>
          <w:lang w:eastAsia="zh-CN"/>
        </w:rPr>
        <w:t>采购</w:t>
      </w:r>
      <w:r>
        <w:rPr>
          <w:rFonts w:hint="eastAsia" w:ascii="宋体" w:hAnsi="宋体" w:eastAsia="宋体" w:cs="宋体"/>
          <w:color w:val="auto"/>
          <w:kern w:val="0"/>
          <w:sz w:val="24"/>
          <w:szCs w:val="24"/>
          <w:shd w:val="clear" w:color="auto" w:fill="auto"/>
        </w:rPr>
        <w:t>文件，并于</w:t>
      </w:r>
      <w:r>
        <w:rPr>
          <w:rFonts w:hint="eastAsia" w:ascii="宋体" w:hAnsi="宋体" w:cs="宋体"/>
          <w:color w:val="auto"/>
          <w:kern w:val="0"/>
          <w:sz w:val="24"/>
          <w:szCs w:val="24"/>
          <w:highlight w:val="none"/>
          <w:shd w:val="clear" w:color="auto" w:fill="auto"/>
          <w:lang w:eastAsia="zh-CN"/>
        </w:rPr>
        <w:t>2026年3月17日08时30分</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shd w:val="clear" w:color="auto" w:fill="auto"/>
        </w:rPr>
        <w:t>北京时间）前递交响应文件</w:t>
      </w:r>
      <w:r>
        <w:rPr>
          <w:rFonts w:hint="eastAsia" w:ascii="宋体" w:hAnsi="宋体" w:eastAsia="宋体" w:cs="宋体"/>
          <w:color w:val="auto"/>
          <w:kern w:val="0"/>
          <w:sz w:val="24"/>
          <w:szCs w:val="24"/>
        </w:rPr>
        <w:t>。</w:t>
      </w:r>
    </w:p>
    <w:p w14:paraId="57A4B20C">
      <w:pPr>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一、项目基本情况：</w:t>
      </w:r>
      <w:bookmarkStart w:id="45" w:name="_GoBack"/>
      <w:bookmarkEnd w:id="45"/>
    </w:p>
    <w:p w14:paraId="56F32F76">
      <w:pPr>
        <w:pageBreakBefore w:val="0"/>
        <w:widowControl/>
        <w:shd w:val="clear" w:color="auto" w:fill="auto"/>
        <w:overflowPunct/>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采购项目编号：</w:t>
      </w:r>
      <w:r>
        <w:rPr>
          <w:rFonts w:hint="eastAsia" w:ascii="宋体" w:hAnsi="宋体" w:cs="宋体"/>
          <w:color w:val="auto"/>
          <w:kern w:val="0"/>
          <w:sz w:val="24"/>
          <w:szCs w:val="24"/>
          <w:highlight w:val="none"/>
          <w:lang w:val="en-US" w:eastAsia="zh-CN"/>
        </w:rPr>
        <w:t>SGZ[2026]059-ZC032、三财竞磋采购-2026-3</w:t>
      </w:r>
      <w:r>
        <w:rPr>
          <w:rFonts w:hint="eastAsia" w:ascii="宋体" w:hAnsi="宋体" w:eastAsia="宋体" w:cs="宋体"/>
          <w:color w:val="auto"/>
          <w:kern w:val="0"/>
          <w:sz w:val="24"/>
          <w:szCs w:val="24"/>
          <w:highlight w:val="none"/>
        </w:rPr>
        <w:t>；</w:t>
      </w:r>
    </w:p>
    <w:p w14:paraId="381BE98E">
      <w:pPr>
        <w:keepNext w:val="0"/>
        <w:keepLines w:val="0"/>
        <w:pageBreakBefore w:val="0"/>
        <w:widowControl/>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采购</w:t>
      </w:r>
      <w:r>
        <w:rPr>
          <w:rFonts w:hint="eastAsia" w:ascii="宋体" w:hAnsi="宋体" w:eastAsia="宋体" w:cs="宋体"/>
          <w:color w:val="auto"/>
          <w:kern w:val="0"/>
          <w:sz w:val="24"/>
          <w:szCs w:val="24"/>
        </w:rPr>
        <w:t>项目名称：</w:t>
      </w:r>
      <w:r>
        <w:rPr>
          <w:rFonts w:hint="eastAsia" w:ascii="宋体" w:hAnsi="宋体" w:cs="宋体"/>
          <w:color w:val="auto"/>
          <w:kern w:val="0"/>
          <w:sz w:val="24"/>
          <w:szCs w:val="24"/>
          <w:lang w:val="en-US" w:eastAsia="zh-CN" w:bidi="ar"/>
        </w:rPr>
        <w:t>省道 313 线陕州区观音堂镇(芦草村)至宫前乡(宫前村)段改建工程勘察设计</w:t>
      </w:r>
    </w:p>
    <w:p w14:paraId="3CF8173B">
      <w:pPr>
        <w:pageBreakBefore w:val="0"/>
        <w:overflowPunct/>
        <w:bidi w:val="0"/>
        <w:spacing w:line="360" w:lineRule="auto"/>
        <w:ind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rPr>
        <w:t>3、采购方式</w:t>
      </w:r>
      <w:r>
        <w:rPr>
          <w:rFonts w:hint="eastAsia" w:ascii="宋体" w:hAnsi="宋体" w:eastAsia="宋体" w:cs="宋体"/>
          <w:color w:val="auto"/>
          <w:kern w:val="0"/>
          <w:sz w:val="24"/>
          <w:szCs w:val="24"/>
          <w:lang w:val="en-US" w:eastAsia="zh-CN" w:bidi="ar"/>
        </w:rPr>
        <w:t>：竞争性磋商</w:t>
      </w:r>
    </w:p>
    <w:p w14:paraId="6ABA5729">
      <w:pPr>
        <w:pageBreakBefore w:val="0"/>
        <w:widowControl/>
        <w:shd w:val="clear" w:color="auto" w:fill="auto"/>
        <w:overflowPunct/>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4、预算金额：</w:t>
      </w:r>
      <w:r>
        <w:rPr>
          <w:rFonts w:hint="eastAsia" w:ascii="宋体" w:hAnsi="宋体" w:cs="宋体"/>
          <w:color w:val="auto"/>
          <w:kern w:val="0"/>
          <w:sz w:val="24"/>
          <w:szCs w:val="24"/>
          <w:highlight w:val="none"/>
          <w:lang w:val="en-US" w:eastAsia="zh-CN"/>
        </w:rPr>
        <w:t>794400</w:t>
      </w:r>
      <w:r>
        <w:rPr>
          <w:rFonts w:hint="eastAsia" w:ascii="宋体" w:hAnsi="宋体" w:eastAsia="宋体" w:cs="宋体"/>
          <w:color w:val="auto"/>
          <w:kern w:val="0"/>
          <w:sz w:val="24"/>
          <w:szCs w:val="24"/>
          <w:highlight w:val="none"/>
        </w:rPr>
        <w:t>元</w:t>
      </w:r>
    </w:p>
    <w:p w14:paraId="5BF3FE5A">
      <w:pPr>
        <w:pageBreakBefore w:val="0"/>
        <w:widowControl/>
        <w:shd w:val="clear" w:color="auto" w:fill="auto"/>
        <w:overflowPunct/>
        <w:bidi w:val="0"/>
        <w:spacing w:line="360" w:lineRule="auto"/>
        <w:ind w:firstLine="720" w:firstLineChars="3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最高限价：</w:t>
      </w:r>
      <w:r>
        <w:rPr>
          <w:rFonts w:hint="eastAsia" w:ascii="宋体" w:hAnsi="宋体" w:cs="宋体"/>
          <w:color w:val="auto"/>
          <w:kern w:val="0"/>
          <w:sz w:val="24"/>
          <w:szCs w:val="24"/>
          <w:highlight w:val="none"/>
          <w:lang w:val="en-US" w:eastAsia="zh-CN"/>
        </w:rPr>
        <w:t>794400</w:t>
      </w:r>
      <w:r>
        <w:rPr>
          <w:rFonts w:hint="eastAsia" w:ascii="宋体" w:hAnsi="宋体" w:eastAsia="宋体" w:cs="宋体"/>
          <w:color w:val="auto"/>
          <w:kern w:val="0"/>
          <w:sz w:val="24"/>
          <w:szCs w:val="24"/>
          <w:highlight w:val="none"/>
        </w:rPr>
        <w:t>元</w:t>
      </w:r>
    </w:p>
    <w:tbl>
      <w:tblPr>
        <w:tblStyle w:val="20"/>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2526"/>
        <w:gridCol w:w="2919"/>
        <w:gridCol w:w="1154"/>
        <w:gridCol w:w="1326"/>
      </w:tblGrid>
      <w:tr w14:paraId="2BFA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32" w:type="dxa"/>
            <w:noWrap/>
            <w:vAlign w:val="center"/>
          </w:tcPr>
          <w:p w14:paraId="19F14049">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序号</w:t>
            </w:r>
          </w:p>
        </w:tc>
        <w:tc>
          <w:tcPr>
            <w:tcW w:w="2526" w:type="dxa"/>
            <w:noWrap/>
            <w:vAlign w:val="center"/>
          </w:tcPr>
          <w:p w14:paraId="5535BC3A">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highlight w:val="none"/>
                <w:lang w:val="en-US" w:eastAsia="zh-CN"/>
              </w:rPr>
              <w:t>包号</w:t>
            </w:r>
          </w:p>
        </w:tc>
        <w:tc>
          <w:tcPr>
            <w:tcW w:w="2919" w:type="dxa"/>
            <w:noWrap/>
            <w:vAlign w:val="center"/>
          </w:tcPr>
          <w:p w14:paraId="032A71B1">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包名称</w:t>
            </w:r>
          </w:p>
        </w:tc>
        <w:tc>
          <w:tcPr>
            <w:tcW w:w="1154" w:type="dxa"/>
            <w:noWrap/>
            <w:vAlign w:val="center"/>
          </w:tcPr>
          <w:p w14:paraId="5A4F057A">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包预算（元）</w:t>
            </w:r>
          </w:p>
        </w:tc>
        <w:tc>
          <w:tcPr>
            <w:tcW w:w="1326" w:type="dxa"/>
            <w:noWrap/>
            <w:vAlign w:val="center"/>
          </w:tcPr>
          <w:p w14:paraId="4A85CE07">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包最高限价（元）</w:t>
            </w:r>
          </w:p>
        </w:tc>
      </w:tr>
      <w:tr w14:paraId="28F1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jc w:val="center"/>
        </w:trPr>
        <w:tc>
          <w:tcPr>
            <w:tcW w:w="832" w:type="dxa"/>
            <w:noWrap/>
            <w:vAlign w:val="center"/>
          </w:tcPr>
          <w:p w14:paraId="401AA639">
            <w:pPr>
              <w:widowControl/>
              <w:shd w:val="clear" w:color="auto" w:fill="auto"/>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2526" w:type="dxa"/>
            <w:noWrap/>
            <w:vAlign w:val="center"/>
          </w:tcPr>
          <w:p w14:paraId="4CC9C0E6">
            <w:pPr>
              <w:widowControl/>
              <w:shd w:val="clear" w:color="auto" w:fill="auto"/>
              <w:spacing w:line="360" w:lineRule="auto"/>
              <w:jc w:val="center"/>
              <w:rPr>
                <w:rFonts w:hint="default" w:ascii="宋体" w:hAnsi="宋体" w:eastAsia="微软雅黑" w:cs="宋体"/>
                <w:color w:val="auto"/>
                <w:kern w:val="0"/>
                <w:sz w:val="24"/>
                <w:szCs w:val="24"/>
                <w:lang w:val="en-US" w:eastAsia="zh-CN"/>
              </w:rPr>
            </w:pPr>
            <w:r>
              <w:rPr>
                <w:rFonts w:hint="eastAsia" w:ascii="宋体" w:hAnsi="宋体" w:eastAsia="微软雅黑" w:cs="宋体"/>
                <w:color w:val="auto"/>
                <w:kern w:val="0"/>
                <w:sz w:val="24"/>
                <w:szCs w:val="24"/>
                <w:lang w:val="en-US" w:eastAsia="zh-CN"/>
              </w:rPr>
              <w:t>SGZ[2026]059-ZC032</w:t>
            </w:r>
          </w:p>
        </w:tc>
        <w:tc>
          <w:tcPr>
            <w:tcW w:w="2919" w:type="dxa"/>
            <w:noWrap/>
            <w:vAlign w:val="center"/>
          </w:tcPr>
          <w:p w14:paraId="1976F3C8">
            <w:pPr>
              <w:keepNext w:val="0"/>
              <w:keepLines w:val="0"/>
              <w:pageBreakBefore w:val="0"/>
              <w:widowControl/>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bidi="ar"/>
              </w:rPr>
              <w:t>省道 313 线陕州区观音堂镇(芦草村)至宫前乡(宫前村)段改建工程勘察设计</w:t>
            </w:r>
          </w:p>
        </w:tc>
        <w:tc>
          <w:tcPr>
            <w:tcW w:w="1154" w:type="dxa"/>
            <w:noWrap/>
            <w:vAlign w:val="center"/>
          </w:tcPr>
          <w:p w14:paraId="4E6D7D87">
            <w:pPr>
              <w:spacing w:line="360" w:lineRule="auto"/>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highlight w:val="none"/>
                <w:lang w:val="en-US" w:eastAsia="zh-CN"/>
              </w:rPr>
              <w:t xml:space="preserve">794400                   </w:t>
            </w:r>
          </w:p>
        </w:tc>
        <w:tc>
          <w:tcPr>
            <w:tcW w:w="1326" w:type="dxa"/>
            <w:noWrap/>
            <w:vAlign w:val="center"/>
          </w:tcPr>
          <w:p w14:paraId="39943E36">
            <w:pPr>
              <w:spacing w:line="360" w:lineRule="auto"/>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highlight w:val="none"/>
                <w:lang w:val="en-US" w:eastAsia="zh-CN"/>
              </w:rPr>
              <w:t xml:space="preserve">794400                   </w:t>
            </w:r>
          </w:p>
        </w:tc>
      </w:tr>
    </w:tbl>
    <w:p w14:paraId="11E499D5">
      <w:pPr>
        <w:pageBreakBefore w:val="0"/>
        <w:overflowPunct/>
        <w:bidi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5、采购需求（包括但不限于标的的名称、数量、简要技术需求或服务要求等）：</w:t>
      </w:r>
    </w:p>
    <w:p w14:paraId="40ABDEE2">
      <w:pPr>
        <w:pStyle w:val="27"/>
        <w:keepNext w:val="0"/>
        <w:keepLines w:val="0"/>
        <w:pageBreakBefore w:val="0"/>
        <w:widowControl/>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rPr>
        <w:t>5.1、</w:t>
      </w:r>
      <w:r>
        <w:rPr>
          <w:rFonts w:hint="eastAsia" w:ascii="宋体" w:hAnsi="宋体" w:eastAsia="宋体" w:cs="宋体"/>
          <w:color w:val="auto"/>
          <w:kern w:val="0"/>
          <w:sz w:val="24"/>
          <w:szCs w:val="24"/>
          <w:highlight w:val="none"/>
          <w:lang w:val="en-US" w:eastAsia="zh-CN"/>
        </w:rPr>
        <w:t>采购内容</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对本项目初勘、初测，详勘、定测、初步设计及概算、施工图设计及预算，施工阶段服务、竣工验收服务及满足招标人要求与本项目有关联的其它相关技术服务等工作，提交设计图纸</w:t>
      </w:r>
    </w:p>
    <w:p w14:paraId="2D194A60">
      <w:pPr>
        <w:pageBreakBefore w:val="0"/>
        <w:overflowPunct/>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5.2资金来源：</w:t>
      </w:r>
      <w:r>
        <w:rPr>
          <w:rFonts w:hint="eastAsia" w:ascii="宋体" w:hAnsi="宋体" w:cs="宋体"/>
          <w:color w:val="auto"/>
          <w:sz w:val="24"/>
          <w:lang w:eastAsia="zh-CN"/>
        </w:rPr>
        <w:t>上级补助资金及自筹资金</w:t>
      </w:r>
      <w:r>
        <w:rPr>
          <w:rFonts w:hint="eastAsia" w:ascii="宋体" w:hAnsi="宋体" w:cs="宋体"/>
          <w:color w:val="auto"/>
          <w:sz w:val="24"/>
        </w:rPr>
        <w:t>，已落实</w:t>
      </w:r>
    </w:p>
    <w:p w14:paraId="5803D406">
      <w:pPr>
        <w:pageBreakBefore w:val="0"/>
        <w:overflowPunct/>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5.3项目地点：</w:t>
      </w:r>
      <w:r>
        <w:rPr>
          <w:rFonts w:hint="eastAsia" w:ascii="宋体" w:hAnsi="宋体" w:cs="宋体"/>
          <w:color w:val="auto"/>
          <w:spacing w:val="0"/>
          <w:w w:val="100"/>
          <w:kern w:val="0"/>
          <w:sz w:val="24"/>
          <w:szCs w:val="24"/>
          <w:highlight w:val="none"/>
          <w:u w:val="none"/>
          <w:lang w:val="en-US" w:eastAsia="zh-CN"/>
        </w:rPr>
        <w:t>三门峡市陕州区</w:t>
      </w:r>
    </w:p>
    <w:p w14:paraId="57FFB6D8">
      <w:pPr>
        <w:pageBreakBefore w:val="0"/>
        <w:overflowPunct/>
        <w:bidi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5.4</w:t>
      </w:r>
      <w:r>
        <w:rPr>
          <w:rFonts w:hint="eastAsia" w:ascii="宋体" w:hAnsi="宋体" w:eastAsia="宋体" w:cs="宋体"/>
          <w:color w:val="auto"/>
          <w:kern w:val="0"/>
          <w:sz w:val="24"/>
          <w:szCs w:val="24"/>
          <w:highlight w:val="none"/>
        </w:rPr>
        <w:t>服务</w:t>
      </w:r>
      <w:r>
        <w:rPr>
          <w:rFonts w:hint="eastAsia" w:ascii="宋体" w:hAnsi="宋体" w:cs="宋体"/>
          <w:color w:val="auto"/>
          <w:kern w:val="0"/>
          <w:sz w:val="24"/>
          <w:szCs w:val="24"/>
          <w:highlight w:val="none"/>
          <w:lang w:val="en-US" w:eastAsia="zh-CN"/>
        </w:rPr>
        <w:t>周期</w:t>
      </w:r>
      <w:r>
        <w:rPr>
          <w:rFonts w:hint="eastAsia" w:ascii="宋体" w:hAnsi="宋体" w:eastAsia="宋体" w:cs="宋体"/>
          <w:color w:val="auto"/>
          <w:kern w:val="0"/>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自合同签订后40日历天完成提交设计成果。</w:t>
      </w:r>
    </w:p>
    <w:p w14:paraId="4D96B0EF">
      <w:pPr>
        <w:pageBreakBefore w:val="0"/>
        <w:overflowPunct/>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5.5质量要求：</w:t>
      </w:r>
      <w:r>
        <w:rPr>
          <w:rFonts w:hint="eastAsia" w:ascii="宋体" w:hAnsi="宋体" w:cs="宋体"/>
          <w:color w:val="auto"/>
          <w:sz w:val="24"/>
          <w:szCs w:val="24"/>
          <w:lang w:val="en-US" w:eastAsia="zh-CN"/>
        </w:rPr>
        <w:t>符合现行勘察设计规范、规程、规定、标准的要求，并通过相关主管部门的审批；</w:t>
      </w:r>
    </w:p>
    <w:p w14:paraId="0B443DDE">
      <w:pPr>
        <w:pageBreakBefore w:val="0"/>
        <w:overflowPunct/>
        <w:bidi w:val="0"/>
        <w:spacing w:line="360" w:lineRule="auto"/>
        <w:ind w:firstLine="480" w:firstLineChars="200"/>
        <w:jc w:val="left"/>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6、合同履约期限：</w:t>
      </w:r>
      <w:r>
        <w:rPr>
          <w:rFonts w:hint="eastAsia" w:ascii="宋体" w:hAnsi="宋体" w:eastAsia="宋体" w:cs="宋体"/>
          <w:color w:val="auto"/>
          <w:kern w:val="0"/>
          <w:sz w:val="24"/>
          <w:szCs w:val="24"/>
          <w:highlight w:val="none"/>
          <w:lang w:val="en-US" w:eastAsia="zh-CN"/>
        </w:rPr>
        <w:t>按合同约定执行。</w:t>
      </w:r>
    </w:p>
    <w:p w14:paraId="16442FD1">
      <w:pPr>
        <w:pageBreakBefore w:val="0"/>
        <w:overflowPunct/>
        <w:bidi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7、本项目是否接受联合体投标：</w:t>
      </w:r>
      <w:r>
        <w:rPr>
          <w:rFonts w:hint="eastAsia" w:ascii="宋体" w:hAnsi="宋体" w:cs="宋体"/>
          <w:color w:val="auto"/>
          <w:kern w:val="0"/>
          <w:sz w:val="24"/>
          <w:szCs w:val="24"/>
          <w:highlight w:val="none"/>
          <w:lang w:val="en-US" w:eastAsia="zh-CN"/>
        </w:rPr>
        <w:t>否</w:t>
      </w:r>
    </w:p>
    <w:p w14:paraId="2BF6990A">
      <w:pPr>
        <w:pageBreakBefore w:val="0"/>
        <w:overflowPunct/>
        <w:bidi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8、是否接受进口产品：否</w:t>
      </w:r>
    </w:p>
    <w:p w14:paraId="2046825E">
      <w:pPr>
        <w:pageBreakBefore w:val="0"/>
        <w:overflowPunct/>
        <w:bidi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9、是否专门面向中小企业：</w:t>
      </w:r>
      <w:r>
        <w:rPr>
          <w:rFonts w:hint="eastAsia" w:ascii="宋体" w:hAnsi="宋体" w:cs="宋体"/>
          <w:color w:val="auto"/>
          <w:kern w:val="0"/>
          <w:sz w:val="24"/>
          <w:szCs w:val="24"/>
          <w:highlight w:val="none"/>
          <w:lang w:val="en-US" w:eastAsia="zh-CN"/>
        </w:rPr>
        <w:t>否</w:t>
      </w:r>
    </w:p>
    <w:p w14:paraId="65E7B628">
      <w:pPr>
        <w:pageBreakBefore w:val="0"/>
        <w:overflowPunct/>
        <w:bidi w:val="0"/>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二、申请人资格要求：</w:t>
      </w:r>
    </w:p>
    <w:p w14:paraId="472CE70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2"/>
        <w:rPr>
          <w:rFonts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4"/>
          <w:szCs w:val="24"/>
        </w:rPr>
        <w:t>1、满足《中华人民共和国政府采购法》第二十二条规定；</w:t>
      </w:r>
    </w:p>
    <w:p w14:paraId="634D12B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2"/>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rPr>
        <w:t>2、落实政府采购政策需满足的资格要求：</w:t>
      </w:r>
      <w:r>
        <w:rPr>
          <w:rFonts w:hint="eastAsia" w:cs="宋体"/>
          <w:i w:val="0"/>
          <w:iCs w:val="0"/>
          <w:caps w:val="0"/>
          <w:color w:val="auto"/>
          <w:spacing w:val="0"/>
          <w:sz w:val="24"/>
          <w:szCs w:val="24"/>
          <w:highlight w:val="none"/>
          <w:lang w:eastAsia="zh-CN"/>
        </w:rPr>
        <w:t>项目执行支持中小微企业(含监狱企业、残疾人福利性单位)发展政策，强制优化采购节能产品、环境标志产品等政府采购政策</w:t>
      </w:r>
      <w:r>
        <w:rPr>
          <w:rFonts w:hint="eastAsia" w:ascii="宋体" w:hAnsi="宋体" w:eastAsia="宋体" w:cs="宋体"/>
          <w:i w:val="0"/>
          <w:iCs w:val="0"/>
          <w:caps w:val="0"/>
          <w:color w:val="auto"/>
          <w:spacing w:val="0"/>
          <w:sz w:val="24"/>
          <w:szCs w:val="24"/>
          <w:highlight w:val="none"/>
        </w:rPr>
        <w:t>；</w:t>
      </w:r>
    </w:p>
    <w:p w14:paraId="184A91F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2"/>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3、本项目的特定资格要求：</w:t>
      </w:r>
    </w:p>
    <w:p w14:paraId="3BFA835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2"/>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i w:val="0"/>
          <w:iCs w:val="0"/>
          <w:caps w:val="0"/>
          <w:color w:val="auto"/>
          <w:spacing w:val="0"/>
          <w:sz w:val="24"/>
          <w:szCs w:val="24"/>
        </w:rPr>
        <w:t>1、</w:t>
      </w:r>
      <w:r>
        <w:rPr>
          <w:rFonts w:hint="eastAsia" w:cs="宋体"/>
          <w:i w:val="0"/>
          <w:iCs w:val="0"/>
          <w:caps w:val="0"/>
          <w:color w:val="auto"/>
          <w:spacing w:val="0"/>
          <w:sz w:val="24"/>
          <w:szCs w:val="24"/>
          <w:lang w:eastAsia="zh-CN"/>
        </w:rPr>
        <w:t>投标人需具有独立承担民事责任能力的法人、其他组织或自然人，具有有效的营业执照（或其他合法经营凭证）</w:t>
      </w:r>
      <w:r>
        <w:rPr>
          <w:rFonts w:hint="eastAsia" w:ascii="宋体" w:hAnsi="宋体" w:eastAsia="宋体" w:cs="宋体"/>
          <w:i w:val="0"/>
          <w:iCs w:val="0"/>
          <w:caps w:val="0"/>
          <w:color w:val="auto"/>
          <w:spacing w:val="0"/>
          <w:sz w:val="24"/>
          <w:szCs w:val="24"/>
        </w:rPr>
        <w:t>；</w:t>
      </w:r>
    </w:p>
    <w:p w14:paraId="6E0D710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2"/>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i w:val="0"/>
          <w:iCs w:val="0"/>
          <w:caps w:val="0"/>
          <w:color w:val="auto"/>
          <w:spacing w:val="0"/>
          <w:sz w:val="24"/>
          <w:szCs w:val="24"/>
        </w:rPr>
        <w:t>2、投标人应同时具有工程勘察专业类（工程测量）乙级（包含乙级）及以上资质和工程设计综合资质或工程设计公路行业（公路）专业乙级资质（包含乙级）及以上设计资质；</w:t>
      </w:r>
    </w:p>
    <w:p w14:paraId="3D0D827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2"/>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i w:val="0"/>
          <w:iCs w:val="0"/>
          <w:caps w:val="0"/>
          <w:color w:val="auto"/>
          <w:spacing w:val="0"/>
          <w:sz w:val="24"/>
          <w:szCs w:val="24"/>
        </w:rPr>
        <w:t>3、投标人拟派项目负责人须具备相关专业中级及以上技术职称，必须为本单位人员（提供身份证、职称证、劳动合同及社保证明材料）；</w:t>
      </w:r>
    </w:p>
    <w:p w14:paraId="61B3093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2"/>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i w:val="0"/>
          <w:iCs w:val="0"/>
          <w:caps w:val="0"/>
          <w:color w:val="auto"/>
          <w:spacing w:val="0"/>
          <w:sz w:val="24"/>
          <w:szCs w:val="24"/>
        </w:rPr>
        <w:t>4、投标人需提供本企业的无商业贿赂及不正当竞争行为的承诺书；</w:t>
      </w:r>
    </w:p>
    <w:p w14:paraId="0FF094E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2"/>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i w:val="0"/>
          <w:iCs w:val="0"/>
          <w:caps w:val="0"/>
          <w:color w:val="auto"/>
          <w:spacing w:val="0"/>
          <w:sz w:val="24"/>
          <w:szCs w:val="24"/>
        </w:rPr>
        <w:t>5、投标人出具无行贿犯罪记录在中国裁判文书网自行查询或自行承诺（查询对象：企业、法定代表人、拟派项目负责人）；</w:t>
      </w:r>
    </w:p>
    <w:p w14:paraId="06B2A7B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2"/>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i w:val="0"/>
          <w:iCs w:val="0"/>
          <w:caps w:val="0"/>
          <w:color w:val="auto"/>
          <w:spacing w:val="0"/>
          <w:sz w:val="24"/>
          <w:szCs w:val="24"/>
        </w:rPr>
        <w:t>6、根据《关于在政府采购活动中查询及使用信用记录有关问题的通知》(财库[2016]125号)和豫财购【2016】15号的规定，对列入失信被执行人和重大税收违法失信主体、政府采购严重违法失信行为记录名单的投标人，拒绝其参与本招标项目；（（①通过“信用中国”网站（http://www.creditchina.gov.cn/）“信用公示”-“失信被执行人查询”会跳转至“中国执行信息公开网”网站（http://zxgk.court.gov.cn/shixin/）查询企业（省份默认全部）②通过“信用中国”网站（http://www.creditchina.gov.cn/）“信用公示”-“重大税收违法失信主体名单”查询企业③通过“中国政府采购”网（www.ccgp.gov.cn）-“政府采购严重违法失信行为记录名单”查询企业）提供网站的查询结果截图，截图要显示查询时间，查询时间自本公告发布之日起；</w:t>
      </w:r>
    </w:p>
    <w:p w14:paraId="3C4AA4B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2"/>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i w:val="0"/>
          <w:iCs w:val="0"/>
          <w:caps w:val="0"/>
          <w:color w:val="auto"/>
          <w:spacing w:val="0"/>
          <w:sz w:val="24"/>
          <w:szCs w:val="24"/>
        </w:rPr>
        <w:t>7、本项目不接受联合体投标；</w:t>
      </w:r>
    </w:p>
    <w:p w14:paraId="69818FB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2"/>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i w:val="0"/>
          <w:iCs w:val="0"/>
          <w:caps w:val="0"/>
          <w:color w:val="auto"/>
          <w:spacing w:val="0"/>
          <w:sz w:val="24"/>
          <w:szCs w:val="24"/>
        </w:rPr>
        <w:t>8、本次招标实行资格后审，资格审查的具体要求见招标文件。</w:t>
      </w:r>
    </w:p>
    <w:p w14:paraId="560B7B5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三、获取</w:t>
      </w:r>
      <w:r>
        <w:rPr>
          <w:rFonts w:hint="eastAsia" w:ascii="宋体" w:hAnsi="宋体" w:cs="宋体"/>
          <w:b/>
          <w:bCs/>
          <w:color w:val="auto"/>
          <w:kern w:val="0"/>
          <w:sz w:val="24"/>
          <w:szCs w:val="24"/>
          <w:highlight w:val="none"/>
          <w:lang w:eastAsia="zh-CN"/>
        </w:rPr>
        <w:t>采购</w:t>
      </w:r>
      <w:r>
        <w:rPr>
          <w:rFonts w:hint="eastAsia" w:ascii="宋体" w:hAnsi="宋体" w:eastAsia="宋体" w:cs="宋体"/>
          <w:b/>
          <w:bCs/>
          <w:color w:val="auto"/>
          <w:kern w:val="0"/>
          <w:sz w:val="24"/>
          <w:szCs w:val="24"/>
          <w:highlight w:val="none"/>
        </w:rPr>
        <w:t>文件：</w:t>
      </w:r>
    </w:p>
    <w:p w14:paraId="07144D33">
      <w:pPr>
        <w:pageBreakBefore w:val="0"/>
        <w:overflowPunct/>
        <w:bidi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时间</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2026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日至</w:t>
      </w:r>
      <w:r>
        <w:rPr>
          <w:rFonts w:hint="eastAsia" w:ascii="宋体" w:hAnsi="宋体" w:cs="宋体"/>
          <w:color w:val="auto"/>
          <w:kern w:val="0"/>
          <w:sz w:val="24"/>
          <w:szCs w:val="24"/>
          <w:highlight w:val="none"/>
          <w:lang w:eastAsia="zh-CN"/>
        </w:rPr>
        <w:t>2026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3月16</w:t>
      </w:r>
      <w:r>
        <w:rPr>
          <w:rFonts w:hint="eastAsia" w:ascii="宋体" w:hAnsi="宋体" w:eastAsia="宋体" w:cs="宋体"/>
          <w:color w:val="auto"/>
          <w:kern w:val="0"/>
          <w:sz w:val="24"/>
          <w:szCs w:val="24"/>
          <w:highlight w:val="none"/>
        </w:rPr>
        <w:t>日，每天上午00:00至12:00，下午12:00至23:59（北京时间，法定节假日除外。）</w:t>
      </w:r>
    </w:p>
    <w:p w14:paraId="04C6C5C2">
      <w:pPr>
        <w:pageBreakBefore w:val="0"/>
        <w:overflowPunct/>
        <w:bidi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2、地点：三门峡市公共资源交易中心网（网址：http://gzjy.smx.gov.cn/）</w:t>
      </w:r>
    </w:p>
    <w:p w14:paraId="09110120">
      <w:pPr>
        <w:pageBreakBefore w:val="0"/>
        <w:overflowPunct/>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方式：本项目没有报名环节，投标供应商凭CA数字证书通过三门峡市公共资源交易中心网（网址：http://gzjy.smx.gov.cn/），点击交易平台选择“市场主体登录”，登陆系统后，点击采购业务-业务管理-竞争性磋商文件领取菜单-点击领取按钮-领取.smxzf格式的电子竞争性磋商文件。办理CA证书：</w:t>
      </w:r>
    </w:p>
    <w:p w14:paraId="633323AA">
      <w:pPr>
        <w:pageBreakBefore w:val="0"/>
        <w:overflowPunct/>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"http://gzjy.smx.gov.cn/bzzx/008001/20231102/4defc9b5-408e-47f2-9e9f-1f376a06ee1f.html" </w:instrText>
      </w:r>
      <w:r>
        <w:rPr>
          <w:rFonts w:hint="eastAsia" w:ascii="宋体" w:hAnsi="宋体" w:eastAsia="宋体" w:cs="宋体"/>
          <w:color w:val="auto"/>
          <w:kern w:val="0"/>
          <w:sz w:val="24"/>
          <w:szCs w:val="24"/>
          <w:highlight w:val="none"/>
        </w:rPr>
        <w:fldChar w:fldCharType="separate"/>
      </w:r>
      <w:r>
        <w:rPr>
          <w:rStyle w:val="23"/>
          <w:rFonts w:hint="eastAsia" w:ascii="宋体" w:hAnsi="宋体" w:eastAsia="宋体" w:cs="宋体"/>
          <w:color w:val="auto"/>
          <w:kern w:val="0"/>
          <w:sz w:val="24"/>
          <w:szCs w:val="24"/>
          <w:highlight w:val="none"/>
        </w:rPr>
        <w:t>http://gzjy.smx.gov.cn/bzzx/008001/20231102/4defc9b5-408e-47f2-9e9f-1f376a06ee1f.html</w:t>
      </w:r>
      <w:r>
        <w:rPr>
          <w:rFonts w:hint="eastAsia" w:ascii="宋体" w:hAnsi="宋体" w:eastAsia="宋体" w:cs="宋体"/>
          <w:color w:val="auto"/>
          <w:kern w:val="0"/>
          <w:sz w:val="24"/>
          <w:szCs w:val="24"/>
          <w:highlight w:val="none"/>
        </w:rPr>
        <w:fldChar w:fldCharType="end"/>
      </w:r>
    </w:p>
    <w:p w14:paraId="14094CEA">
      <w:pPr>
        <w:pageBreakBefore w:val="0"/>
        <w:overflowPunct/>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4、售价：0元</w:t>
      </w:r>
    </w:p>
    <w:p w14:paraId="5CFDEFD7">
      <w:pPr>
        <w:pageBreakBefore w:val="0"/>
        <w:overflowPunct/>
        <w:bidi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四</w:t>
      </w:r>
      <w:r>
        <w:rPr>
          <w:rFonts w:hint="eastAsia" w:ascii="宋体" w:hAnsi="宋体" w:eastAsia="宋体" w:cs="宋体"/>
          <w:b/>
          <w:bCs/>
          <w:color w:val="auto"/>
          <w:kern w:val="0"/>
          <w:sz w:val="24"/>
          <w:szCs w:val="24"/>
          <w:highlight w:val="none"/>
        </w:rPr>
        <w:t>、投标截止时间及地点：</w:t>
      </w:r>
    </w:p>
    <w:p w14:paraId="48F4E7CE">
      <w:pPr>
        <w:pageBreakBefore w:val="0"/>
        <w:overflowPunct/>
        <w:bidi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时间</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shd w:val="clear" w:color="auto" w:fill="auto"/>
          <w:lang w:eastAsia="zh-CN"/>
        </w:rPr>
        <w:t>2026年3月17日08时30分</w:t>
      </w:r>
    </w:p>
    <w:p w14:paraId="1AA9BEF7">
      <w:pPr>
        <w:pageBreakBefore w:val="0"/>
        <w:overflowPunct/>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2、地点：</w:t>
      </w:r>
      <w:r>
        <w:rPr>
          <w:rFonts w:hint="eastAsia" w:ascii="宋体" w:hAnsi="宋体" w:eastAsia="宋体" w:cs="宋体"/>
          <w:color w:val="auto"/>
          <w:kern w:val="0"/>
          <w:sz w:val="24"/>
          <w:szCs w:val="24"/>
          <w:highlight w:val="none"/>
          <w:lang w:eastAsia="zh-CN"/>
        </w:rPr>
        <w:t>在三门峡市公共资源交易中心网中上传加密响应文件</w:t>
      </w:r>
    </w:p>
    <w:p w14:paraId="6EF44F19">
      <w:pPr>
        <w:pageBreakBefore w:val="0"/>
        <w:overflowPunct/>
        <w:bidi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、开标时间及地点：</w:t>
      </w:r>
    </w:p>
    <w:p w14:paraId="16F5FA42">
      <w:pPr>
        <w:pageBreakBefore w:val="0"/>
        <w:overflowPunct/>
        <w:bidi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时间</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shd w:val="clear" w:color="auto" w:fill="auto"/>
          <w:lang w:eastAsia="zh-CN"/>
        </w:rPr>
        <w:t>2026年3月17日08时30分</w:t>
      </w:r>
    </w:p>
    <w:p w14:paraId="19AE35E5">
      <w:pPr>
        <w:pageBreakBefore w:val="0"/>
        <w:overflowPunct/>
        <w:bidi w:val="0"/>
        <w:spacing w:line="360" w:lineRule="auto"/>
        <w:ind w:firstLine="480" w:firstLineChars="200"/>
        <w:jc w:val="left"/>
        <w:rPr>
          <w:rFonts w:hint="eastAsia" w:ascii="宋体" w:hAnsi="宋体" w:eastAsia="宋体" w:cs="宋体"/>
          <w:color w:val="auto"/>
          <w:kern w:val="0"/>
          <w:sz w:val="24"/>
          <w:szCs w:val="24"/>
          <w:lang w:val="en-US"/>
        </w:rPr>
      </w:pPr>
      <w:r>
        <w:rPr>
          <w:rFonts w:hint="eastAsia" w:ascii="宋体" w:hAnsi="宋体" w:eastAsia="宋体" w:cs="宋体"/>
          <w:color w:val="auto"/>
          <w:kern w:val="0"/>
          <w:sz w:val="24"/>
          <w:szCs w:val="24"/>
        </w:rPr>
        <w:t>2、地点：</w:t>
      </w:r>
      <w:r>
        <w:rPr>
          <w:rFonts w:hint="eastAsia" w:ascii="宋体" w:hAnsi="宋体" w:eastAsia="宋体" w:cs="宋体"/>
          <w:color w:val="auto"/>
          <w:kern w:val="0"/>
          <w:sz w:val="24"/>
          <w:szCs w:val="24"/>
          <w:lang w:eastAsia="zh-CN"/>
        </w:rPr>
        <w:t>三门峡市公共资源交易中心</w:t>
      </w:r>
      <w:r>
        <w:rPr>
          <w:rFonts w:hint="eastAsia" w:ascii="宋体" w:hAnsi="宋体" w:cs="宋体"/>
          <w:color w:val="auto"/>
          <w:kern w:val="0"/>
          <w:sz w:val="24"/>
          <w:szCs w:val="24"/>
          <w:lang w:val="en-US" w:eastAsia="zh-CN"/>
        </w:rPr>
        <w:t>五楼</w:t>
      </w:r>
      <w:r>
        <w:rPr>
          <w:rFonts w:hint="eastAsia" w:ascii="宋体" w:hAnsi="宋体" w:eastAsia="宋体" w:cs="宋体"/>
          <w:color w:val="auto"/>
          <w:kern w:val="0"/>
          <w:sz w:val="24"/>
          <w:szCs w:val="24"/>
          <w:lang w:val="en-US" w:eastAsia="zh-CN"/>
        </w:rPr>
        <w:t>开标室</w:t>
      </w:r>
    </w:p>
    <w:p w14:paraId="28D2FEAF">
      <w:pPr>
        <w:pageBreakBefore w:val="0"/>
        <w:overflowPunct/>
        <w:bidi w:val="0"/>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六</w:t>
      </w:r>
      <w:r>
        <w:rPr>
          <w:rFonts w:hint="eastAsia" w:ascii="宋体" w:hAnsi="宋体" w:eastAsia="宋体" w:cs="宋体"/>
          <w:b/>
          <w:bCs/>
          <w:color w:val="auto"/>
          <w:kern w:val="0"/>
          <w:sz w:val="24"/>
          <w:szCs w:val="24"/>
        </w:rPr>
        <w:t>、发布公告的媒介及公告期限：</w:t>
      </w:r>
    </w:p>
    <w:p w14:paraId="79223351">
      <w:pPr>
        <w:pageBreakBefore w:val="0"/>
        <w:overflowPunct/>
        <w:bidi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本次</w:t>
      </w:r>
      <w:r>
        <w:rPr>
          <w:rFonts w:hint="eastAsia" w:ascii="宋体" w:hAnsi="宋体" w:cs="宋体"/>
          <w:color w:val="auto"/>
          <w:kern w:val="0"/>
          <w:sz w:val="24"/>
          <w:szCs w:val="24"/>
          <w:lang w:eastAsia="zh-CN"/>
        </w:rPr>
        <w:t>采购</w:t>
      </w:r>
      <w:r>
        <w:rPr>
          <w:rFonts w:hint="eastAsia" w:ascii="宋体" w:hAnsi="宋体" w:eastAsia="宋体" w:cs="宋体"/>
          <w:color w:val="auto"/>
          <w:kern w:val="0"/>
          <w:sz w:val="24"/>
          <w:szCs w:val="24"/>
        </w:rPr>
        <w:t>公告同时在</w:t>
      </w:r>
      <w:r>
        <w:rPr>
          <w:rFonts w:hint="eastAsia" w:ascii="宋体" w:hAnsi="宋体" w:eastAsia="宋体" w:cs="宋体"/>
          <w:color w:val="auto"/>
          <w:kern w:val="0"/>
          <w:sz w:val="24"/>
          <w:szCs w:val="24"/>
          <w:lang w:eastAsia="zh-CN"/>
        </w:rPr>
        <w:t>《中国招标投标公共服务平台》</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shd w:val="clear" w:color="auto" w:fill="auto"/>
        </w:rPr>
        <w:t>《</w:t>
      </w:r>
      <w:r>
        <w:rPr>
          <w:rFonts w:hint="eastAsia" w:ascii="宋体" w:hAnsi="宋体" w:eastAsia="宋体" w:cs="宋体"/>
          <w:color w:val="auto"/>
          <w:kern w:val="0"/>
          <w:sz w:val="24"/>
          <w:szCs w:val="24"/>
          <w:shd w:val="clear" w:color="auto" w:fill="auto"/>
          <w:lang w:val="en-US" w:eastAsia="zh-CN"/>
        </w:rPr>
        <w:t>河南省政府采购网</w:t>
      </w:r>
      <w:r>
        <w:rPr>
          <w:rFonts w:hint="eastAsia" w:ascii="宋体" w:hAnsi="宋体" w:eastAsia="宋体" w:cs="宋体"/>
          <w:color w:val="auto"/>
          <w:kern w:val="0"/>
          <w:sz w:val="24"/>
          <w:szCs w:val="24"/>
          <w:shd w:val="clear" w:color="auto" w:fill="auto"/>
        </w:rPr>
        <w:t>》</w:t>
      </w:r>
      <w:r>
        <w:rPr>
          <w:rFonts w:hint="eastAsia" w:ascii="宋体" w:hAnsi="宋体" w:eastAsia="宋体" w:cs="宋体"/>
          <w:color w:val="auto"/>
          <w:kern w:val="0"/>
          <w:sz w:val="24"/>
          <w:szCs w:val="24"/>
        </w:rPr>
        <w:t>和《三门峡市公共资源交易中心网》、</w:t>
      </w:r>
      <w:r>
        <w:rPr>
          <w:rFonts w:hint="eastAsia" w:ascii="宋体" w:hAnsi="宋体" w:eastAsia="宋体" w:cs="宋体"/>
          <w:color w:val="auto"/>
          <w:kern w:val="0"/>
          <w:sz w:val="24"/>
          <w:szCs w:val="24"/>
          <w:shd w:val="clear" w:color="auto" w:fill="auto"/>
        </w:rPr>
        <w:t>《</w:t>
      </w:r>
      <w:r>
        <w:rPr>
          <w:rFonts w:hint="eastAsia" w:ascii="宋体" w:hAnsi="宋体" w:eastAsia="宋体" w:cs="宋体"/>
          <w:color w:val="auto"/>
          <w:kern w:val="0"/>
          <w:sz w:val="24"/>
          <w:szCs w:val="24"/>
          <w:shd w:val="clear" w:color="auto" w:fill="auto"/>
          <w:lang w:val="en-US" w:eastAsia="zh-CN"/>
        </w:rPr>
        <w:t>三门峡市交通运输局</w:t>
      </w:r>
      <w:r>
        <w:rPr>
          <w:rFonts w:hint="eastAsia" w:ascii="宋体" w:hAnsi="宋体" w:eastAsia="宋体" w:cs="宋体"/>
          <w:color w:val="auto"/>
          <w:kern w:val="0"/>
          <w:sz w:val="24"/>
          <w:szCs w:val="24"/>
          <w:shd w:val="clear" w:color="auto" w:fill="auto"/>
        </w:rPr>
        <w:t>》</w:t>
      </w:r>
      <w:r>
        <w:rPr>
          <w:rFonts w:hint="eastAsia" w:ascii="宋体" w:hAnsi="宋体" w:eastAsia="宋体" w:cs="宋体"/>
          <w:color w:val="auto"/>
          <w:kern w:val="0"/>
          <w:sz w:val="24"/>
          <w:szCs w:val="24"/>
        </w:rPr>
        <w:t>公</w:t>
      </w:r>
      <w:r>
        <w:rPr>
          <w:rFonts w:hint="eastAsia" w:ascii="宋体" w:hAnsi="宋体" w:eastAsia="宋体" w:cs="宋体"/>
          <w:color w:val="auto"/>
          <w:kern w:val="0"/>
          <w:sz w:val="24"/>
          <w:szCs w:val="24"/>
        </w:rPr>
        <w:t>开发布。</w:t>
      </w:r>
    </w:p>
    <w:p w14:paraId="411D303F">
      <w:pPr>
        <w:pageBreakBefore w:val="0"/>
        <w:overflowPunct/>
        <w:bidi w:val="0"/>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七</w:t>
      </w:r>
      <w:r>
        <w:rPr>
          <w:rFonts w:hint="eastAsia" w:ascii="宋体" w:hAnsi="宋体" w:eastAsia="宋体" w:cs="宋体"/>
          <w:b/>
          <w:bCs/>
          <w:color w:val="auto"/>
          <w:kern w:val="0"/>
          <w:sz w:val="24"/>
          <w:szCs w:val="24"/>
        </w:rPr>
        <w:t>、其他补充事宜</w:t>
      </w:r>
    </w:p>
    <w:p w14:paraId="2872E76A">
      <w:pPr>
        <w:pageBreakBefore w:val="0"/>
        <w:overflowPunct/>
        <w:bidi w:val="0"/>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1.本项目为不见面开标项目，开标当日，</w:t>
      </w:r>
      <w:r>
        <w:rPr>
          <w:rFonts w:hint="eastAsia" w:ascii="宋体" w:hAnsi="宋体" w:cs="宋体"/>
          <w:color w:val="auto"/>
          <w:sz w:val="24"/>
          <w:szCs w:val="24"/>
          <w:lang w:val="en-US" w:eastAsia="zh-CN"/>
        </w:rPr>
        <w:t>响应</w:t>
      </w:r>
      <w:r>
        <w:rPr>
          <w:rFonts w:hint="eastAsia" w:ascii="宋体" w:hAnsi="宋体" w:eastAsia="宋体" w:cs="宋体"/>
          <w:color w:val="auto"/>
          <w:sz w:val="24"/>
          <w:szCs w:val="24"/>
          <w:lang w:val="en-US" w:eastAsia="zh-CN"/>
        </w:rPr>
        <w:t>人</w:t>
      </w:r>
      <w:r>
        <w:rPr>
          <w:rFonts w:hint="eastAsia" w:ascii="宋体" w:hAnsi="宋体" w:eastAsia="宋体" w:cs="宋体"/>
          <w:color w:val="auto"/>
          <w:kern w:val="0"/>
          <w:sz w:val="24"/>
          <w:szCs w:val="24"/>
          <w:lang w:val="en-US" w:eastAsia="zh-CN"/>
        </w:rPr>
        <w:t>无需到开标现场参加开标会议，</w:t>
      </w:r>
      <w:r>
        <w:rPr>
          <w:rFonts w:hint="eastAsia" w:ascii="宋体" w:hAnsi="宋体" w:cs="宋体"/>
          <w:color w:val="auto"/>
          <w:sz w:val="24"/>
          <w:szCs w:val="24"/>
          <w:lang w:val="en-US" w:eastAsia="zh-CN"/>
        </w:rPr>
        <w:t>响应</w:t>
      </w:r>
      <w:r>
        <w:rPr>
          <w:rFonts w:hint="eastAsia" w:ascii="宋体" w:hAnsi="宋体" w:eastAsia="宋体" w:cs="宋体"/>
          <w:color w:val="auto"/>
          <w:sz w:val="24"/>
          <w:szCs w:val="24"/>
          <w:lang w:val="en-US" w:eastAsia="zh-CN"/>
        </w:rPr>
        <w:t>人</w:t>
      </w:r>
      <w:r>
        <w:rPr>
          <w:rFonts w:hint="eastAsia" w:ascii="宋体" w:hAnsi="宋体" w:eastAsia="宋体" w:cs="宋体"/>
          <w:color w:val="auto"/>
          <w:kern w:val="0"/>
          <w:sz w:val="24"/>
          <w:szCs w:val="24"/>
          <w:lang w:val="en-US" w:eastAsia="zh-CN"/>
        </w:rPr>
        <w:t>应当在投标截止时间前，登陆不见面开标大厅选择登陆三门峡市公共资源电子招投标系统进行登陆（网址为http://120.194.249.36:10094/BidOpening/bidopeninghallaction/hall/login）,在线准时参加开标活动并进行磋商响应文件解密等。每位</w:t>
      </w:r>
      <w:r>
        <w:rPr>
          <w:rFonts w:hint="eastAsia" w:ascii="宋体" w:hAnsi="宋体" w:cs="宋体"/>
          <w:color w:val="auto"/>
          <w:sz w:val="24"/>
          <w:szCs w:val="24"/>
          <w:lang w:val="en-US" w:eastAsia="zh-CN"/>
        </w:rPr>
        <w:t>响应</w:t>
      </w:r>
      <w:r>
        <w:rPr>
          <w:rFonts w:hint="eastAsia" w:ascii="宋体" w:hAnsi="宋体" w:eastAsia="宋体" w:cs="宋体"/>
          <w:color w:val="auto"/>
          <w:sz w:val="24"/>
          <w:szCs w:val="24"/>
          <w:lang w:val="en-US" w:eastAsia="zh-CN"/>
        </w:rPr>
        <w:t>人</w:t>
      </w:r>
      <w:r>
        <w:rPr>
          <w:rFonts w:hint="eastAsia" w:ascii="宋体" w:hAnsi="宋体" w:eastAsia="宋体" w:cs="宋体"/>
          <w:color w:val="auto"/>
          <w:kern w:val="0"/>
          <w:sz w:val="24"/>
          <w:szCs w:val="24"/>
          <w:lang w:val="en-US" w:eastAsia="zh-CN"/>
        </w:rPr>
        <w:t>的解密时间为开标时间起30分钟内完成。因</w:t>
      </w:r>
      <w:r>
        <w:rPr>
          <w:rFonts w:hint="eastAsia" w:ascii="宋体" w:hAnsi="宋体" w:cs="宋体"/>
          <w:color w:val="auto"/>
          <w:sz w:val="24"/>
          <w:szCs w:val="24"/>
          <w:lang w:val="en-US" w:eastAsia="zh-CN"/>
        </w:rPr>
        <w:t>响应</w:t>
      </w:r>
      <w:r>
        <w:rPr>
          <w:rFonts w:hint="eastAsia" w:ascii="宋体" w:hAnsi="宋体" w:eastAsia="宋体" w:cs="宋体"/>
          <w:color w:val="auto"/>
          <w:sz w:val="24"/>
          <w:szCs w:val="24"/>
          <w:lang w:val="en-US" w:eastAsia="zh-CN"/>
        </w:rPr>
        <w:t>人</w:t>
      </w:r>
      <w:r>
        <w:rPr>
          <w:rFonts w:hint="eastAsia" w:ascii="宋体" w:hAnsi="宋体" w:eastAsia="宋体" w:cs="宋体"/>
          <w:color w:val="auto"/>
          <w:kern w:val="0"/>
          <w:sz w:val="24"/>
          <w:szCs w:val="24"/>
          <w:lang w:val="en-US" w:eastAsia="zh-CN"/>
        </w:rPr>
        <w:t>原因未能解密、解密失败或解密超时的将被拒绝。</w:t>
      </w:r>
    </w:p>
    <w:p w14:paraId="5FDE0FCB">
      <w:pPr>
        <w:pageBreakBefore w:val="0"/>
        <w:overflowPunct/>
        <w:bidi w:val="0"/>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2.本项目为电子化、无纸化交易项目，开标时不再接受任何纸质资料，为保证您能投标成功，请需仔细阅读竞争性磋商文件和三门峡市公共资源交易中心官网业务办理指南。</w:t>
      </w:r>
    </w:p>
    <w:p w14:paraId="2988C107">
      <w:pPr>
        <w:pageBreakBefore w:val="0"/>
        <w:overflowPunct/>
        <w:bidi w:val="0"/>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3.根据《河南省财政厅关于优化政府采购营商环境有关问题的通知》（豫财购【2019】4号）第6条的规定，磋商保证金不再收取。</w:t>
      </w:r>
    </w:p>
    <w:p w14:paraId="400A97AE">
      <w:pPr>
        <w:pageBreakBefore w:val="0"/>
        <w:overflowPunct/>
        <w:bidi w:val="0"/>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4.本项目实行资格后审，审查内容以竞争性磋商响应文件为准，其上传资料真实性由供应商自行承担，同时，供应商请完善主体库。</w:t>
      </w:r>
    </w:p>
    <w:p w14:paraId="59B3A2A5">
      <w:pPr>
        <w:pageBreakBefore w:val="0"/>
        <w:overflowPunct/>
        <w:bidi w:val="0"/>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5.评标打分部分：评标打分部分仍按照100分制原则进行，涉及到资格审查、企业荣誉、企业业绩等计分部分时，以投标单位自行上传到磋商响应文件中的相应内容为准。</w:t>
      </w:r>
    </w:p>
    <w:p w14:paraId="5525C0FD">
      <w:pPr>
        <w:pageBreakBefore w:val="0"/>
        <w:overflowPunct/>
        <w:bidi w:val="0"/>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6.在竞争性磋商文件中要求</w:t>
      </w:r>
      <w:r>
        <w:rPr>
          <w:rFonts w:hint="eastAsia" w:ascii="宋体" w:hAnsi="宋体" w:cs="宋体"/>
          <w:color w:val="auto"/>
          <w:sz w:val="24"/>
          <w:szCs w:val="24"/>
          <w:lang w:val="en-US" w:eastAsia="zh-CN"/>
        </w:rPr>
        <w:t>响应</w:t>
      </w:r>
      <w:r>
        <w:rPr>
          <w:rFonts w:hint="eastAsia" w:ascii="宋体" w:hAnsi="宋体" w:eastAsia="宋体" w:cs="宋体"/>
          <w:color w:val="auto"/>
          <w:kern w:val="0"/>
          <w:sz w:val="24"/>
          <w:szCs w:val="24"/>
          <w:lang w:val="en-US" w:eastAsia="zh-CN"/>
        </w:rPr>
        <w:t>人按照磋商响应文件格式进行磋商响应文件编制，在磋商响应文件编制时，应明确将供应商企业基本情况、人员情况、财务情况、业绩情况编入磋商响应文件，便于进行资格审查及评标打分。</w:t>
      </w:r>
    </w:p>
    <w:p w14:paraId="2DF1DF6C">
      <w:pPr>
        <w:keepNext w:val="0"/>
        <w:keepLines w:val="0"/>
        <w:pageBreakBefore w:val="0"/>
        <w:widowControl w:val="0"/>
        <w:kinsoku/>
        <w:overflowPunct/>
        <w:autoSpaceDE/>
        <w:autoSpaceDN/>
        <w:bidi w:val="0"/>
        <w:adjustRightInd/>
        <w:snapToGrid/>
        <w:spacing w:line="384"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szCs w:val="24"/>
          <w:lang w:val="en-US" w:eastAsia="zh-CN"/>
        </w:rPr>
        <w:t>7、我单位（采购人）严格按三财购（2021）9 号文要求的时限发布结果公告，发出成交通知书，签订采购合同，上传采购合同。</w:t>
      </w:r>
    </w:p>
    <w:p w14:paraId="797DFB60">
      <w:pPr>
        <w:pageBreakBefore w:val="0"/>
        <w:overflowPunct/>
        <w:bidi w:val="0"/>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八</w:t>
      </w:r>
      <w:r>
        <w:rPr>
          <w:rFonts w:hint="eastAsia" w:ascii="宋体" w:hAnsi="宋体" w:eastAsia="宋体" w:cs="宋体"/>
          <w:b/>
          <w:bCs/>
          <w:color w:val="auto"/>
          <w:kern w:val="0"/>
          <w:sz w:val="24"/>
          <w:szCs w:val="24"/>
        </w:rPr>
        <w:t>、凡对本次</w:t>
      </w:r>
      <w:r>
        <w:rPr>
          <w:rFonts w:hint="eastAsia" w:ascii="宋体" w:hAnsi="宋体" w:cs="宋体"/>
          <w:b/>
          <w:bCs/>
          <w:color w:val="auto"/>
          <w:kern w:val="0"/>
          <w:sz w:val="24"/>
          <w:szCs w:val="24"/>
          <w:lang w:eastAsia="zh-CN"/>
        </w:rPr>
        <w:t>采购</w:t>
      </w:r>
      <w:r>
        <w:rPr>
          <w:rFonts w:hint="eastAsia" w:ascii="宋体" w:hAnsi="宋体" w:eastAsia="宋体" w:cs="宋体"/>
          <w:b/>
          <w:bCs/>
          <w:color w:val="auto"/>
          <w:kern w:val="0"/>
          <w:sz w:val="24"/>
          <w:szCs w:val="24"/>
        </w:rPr>
        <w:t>提出询问，请按照以下方式联系：</w:t>
      </w:r>
    </w:p>
    <w:p w14:paraId="1CD60EA0">
      <w:pPr>
        <w:pageBreakBefore w:val="0"/>
        <w:overflowPunct/>
        <w:bidi w:val="0"/>
        <w:spacing w:line="360" w:lineRule="auto"/>
        <w:ind w:firstLine="480" w:firstLineChars="200"/>
        <w:jc w:val="left"/>
        <w:rPr>
          <w:rFonts w:hint="eastAsia" w:ascii="宋体" w:hAnsi="宋体" w:eastAsia="宋体" w:cs="宋体"/>
          <w:color w:val="auto"/>
          <w:kern w:val="0"/>
          <w:sz w:val="24"/>
          <w:szCs w:val="24"/>
          <w:lang w:val="en-US" w:eastAsia="zh-CN"/>
        </w:rPr>
      </w:pPr>
    </w:p>
    <w:p w14:paraId="53CA9A94">
      <w:pPr>
        <w:pStyle w:val="35"/>
        <w:keepNext w:val="0"/>
        <w:keepLines w:val="0"/>
        <w:pageBreakBefore w:val="0"/>
        <w:shd w:val="clear" w:color="auto" w:fill="FFFFFF"/>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监督单位：</w:t>
      </w:r>
      <w:r>
        <w:rPr>
          <w:rFonts w:hint="eastAsia" w:cs="宋体"/>
          <w:color w:val="auto"/>
          <w:lang w:eastAsia="zh-CN"/>
        </w:rPr>
        <w:t>三门峡市</w:t>
      </w:r>
      <w:r>
        <w:rPr>
          <w:rFonts w:hint="eastAsia" w:ascii="宋体" w:hAnsi="宋体" w:eastAsia="宋体" w:cs="宋体"/>
          <w:color w:val="auto"/>
        </w:rPr>
        <w:t>交通运输局</w:t>
      </w:r>
    </w:p>
    <w:p w14:paraId="532739EA">
      <w:pPr>
        <w:pStyle w:val="35"/>
        <w:keepNext w:val="0"/>
        <w:keepLines w:val="0"/>
        <w:pageBreakBefore w:val="0"/>
        <w:shd w:val="clear" w:color="auto" w:fill="FFFFFF"/>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电话：0398-2817693</w:t>
      </w:r>
    </w:p>
    <w:p w14:paraId="0DF99966">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9"/>
        <w:rPr>
          <w:rFonts w:hint="eastAsia" w:ascii="宋体" w:hAnsi="宋体" w:eastAsia="宋体" w:cs="宋体"/>
          <w:color w:val="auto"/>
          <w:sz w:val="24"/>
          <w:highlight w:val="none"/>
        </w:rPr>
      </w:pPr>
    </w:p>
    <w:p w14:paraId="7019806E">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采购人：</w:t>
      </w:r>
      <w:r>
        <w:rPr>
          <w:rFonts w:hint="eastAsia" w:ascii="宋体" w:hAnsi="宋体" w:eastAsia="宋体" w:cs="宋体"/>
          <w:color w:val="auto"/>
          <w:sz w:val="24"/>
          <w:highlight w:val="none"/>
          <w:lang w:val="en-US" w:eastAsia="zh-CN"/>
        </w:rPr>
        <w:t>三门峡市公路事业发展中心</w:t>
      </w:r>
    </w:p>
    <w:p w14:paraId="06440F88">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地址：</w:t>
      </w:r>
      <w:r>
        <w:rPr>
          <w:rFonts w:hint="eastAsia" w:ascii="宋体" w:hAnsi="宋体" w:eastAsia="宋体" w:cs="宋体"/>
          <w:color w:val="auto"/>
          <w:sz w:val="24"/>
          <w:highlight w:val="none"/>
        </w:rPr>
        <w:t>三门峡市虢国路东段</w:t>
      </w:r>
    </w:p>
    <w:p w14:paraId="5BF10EF7">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zh-CN"/>
        </w:rPr>
        <w:t>联系人：</w:t>
      </w:r>
      <w:r>
        <w:rPr>
          <w:rFonts w:hint="eastAsia" w:ascii="宋体" w:hAnsi="宋体" w:eastAsia="宋体" w:cs="宋体"/>
          <w:color w:val="auto"/>
          <w:sz w:val="24"/>
          <w:highlight w:val="none"/>
          <w:lang w:val="en-US" w:eastAsia="zh-CN"/>
        </w:rPr>
        <w:t>安先生</w:t>
      </w:r>
    </w:p>
    <w:p w14:paraId="6F09EAAC">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9"/>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rPr>
        <w:t>联系方式：</w:t>
      </w:r>
      <w:r>
        <w:rPr>
          <w:rFonts w:hint="eastAsia" w:ascii="宋体" w:hAnsi="宋体" w:eastAsia="宋体" w:cs="宋体"/>
          <w:color w:val="auto"/>
          <w:sz w:val="24"/>
          <w:highlight w:val="none"/>
          <w:lang w:eastAsia="zh-CN"/>
        </w:rPr>
        <w:t>03982817039</w:t>
      </w:r>
    </w:p>
    <w:p w14:paraId="3288B76B">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z w:val="24"/>
          <w:highlight w:val="none"/>
        </w:rPr>
      </w:pPr>
    </w:p>
    <w:p w14:paraId="04A25326">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代理机构：</w:t>
      </w:r>
      <w:r>
        <w:rPr>
          <w:rFonts w:hint="eastAsia" w:ascii="宋体" w:hAnsi="宋体" w:eastAsia="宋体" w:cs="宋体"/>
          <w:color w:val="auto"/>
          <w:sz w:val="24"/>
          <w:highlight w:val="none"/>
          <w:lang w:val="en-US" w:eastAsia="zh-CN"/>
        </w:rPr>
        <w:t>信宇腾远工程咨询集团有限公司</w:t>
      </w:r>
      <w:r>
        <w:rPr>
          <w:rFonts w:hint="eastAsia" w:ascii="宋体" w:hAnsi="宋体" w:eastAsia="宋体" w:cs="宋体"/>
          <w:color w:val="auto"/>
          <w:sz w:val="24"/>
          <w:highlight w:val="none"/>
        </w:rPr>
        <w:t xml:space="preserve">  </w:t>
      </w:r>
    </w:p>
    <w:p w14:paraId="751F85EA">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地址：西安曲江新区雁展路1111号莱安中心T7-2506</w:t>
      </w:r>
    </w:p>
    <w:p w14:paraId="4A60EA3B">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val="en-US" w:eastAsia="zh-CN"/>
        </w:rPr>
        <w:t>翟</w:t>
      </w:r>
      <w:r>
        <w:rPr>
          <w:rFonts w:hint="eastAsia" w:ascii="宋体" w:hAnsi="宋体" w:cs="宋体"/>
          <w:color w:val="auto"/>
          <w:sz w:val="24"/>
          <w:highlight w:val="none"/>
          <w:lang w:val="en-US" w:eastAsia="zh-CN"/>
        </w:rPr>
        <w:t>女士</w:t>
      </w:r>
    </w:p>
    <w:p w14:paraId="6384CFFF">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lang w:val="en-US" w:eastAsia="zh-CN"/>
        </w:rPr>
        <w:t>15603988214</w:t>
      </w:r>
    </w:p>
    <w:p w14:paraId="19BFC60E">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w:t>
      </w:r>
    </w:p>
    <w:p w14:paraId="5E85D4C7">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val="en-US" w:eastAsia="zh-CN"/>
        </w:rPr>
        <w:t>翟女士</w:t>
      </w:r>
    </w:p>
    <w:p w14:paraId="5FA27113">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lang w:val="en-US" w:eastAsia="zh-CN"/>
        </w:rPr>
        <w:t>15603988214</w:t>
      </w:r>
    </w:p>
    <w:p w14:paraId="5F84265B">
      <w:pPr>
        <w:spacing w:line="360" w:lineRule="auto"/>
        <w:jc w:val="center"/>
        <w:outlineLvl w:val="0"/>
        <w:rPr>
          <w:rFonts w:hint="eastAsia" w:ascii="宋体" w:hAnsi="宋体" w:eastAsia="宋体" w:cs="宋体"/>
          <w:b/>
          <w:bCs/>
          <w:color w:val="auto"/>
          <w:kern w:val="0"/>
          <w:sz w:val="44"/>
          <w:szCs w:val="44"/>
        </w:rPr>
      </w:pPr>
      <w:bookmarkStart w:id="2" w:name="_Toc24701"/>
      <w:bookmarkStart w:id="3" w:name="_Toc28751"/>
      <w:r>
        <w:rPr>
          <w:rFonts w:hint="eastAsia" w:ascii="宋体" w:hAnsi="宋体" w:eastAsia="宋体" w:cs="宋体"/>
          <w:b/>
          <w:bCs/>
          <w:color w:val="auto"/>
          <w:kern w:val="0"/>
          <w:sz w:val="40"/>
          <w:szCs w:val="40"/>
        </w:rPr>
        <w:t>第二章 投标供应商须知</w:t>
      </w:r>
      <w:bookmarkEnd w:id="2"/>
      <w:bookmarkEnd w:id="3"/>
    </w:p>
    <w:p w14:paraId="61232CB2">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供应商须知前附表</w:t>
      </w:r>
    </w:p>
    <w:tbl>
      <w:tblPr>
        <w:tblStyle w:val="20"/>
        <w:tblW w:w="9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974"/>
        <w:gridCol w:w="7076"/>
      </w:tblGrid>
      <w:tr w14:paraId="521B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46" w:type="dxa"/>
            <w:noWrap w:val="0"/>
            <w:vAlign w:val="center"/>
          </w:tcPr>
          <w:p w14:paraId="685F198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条款号</w:t>
            </w:r>
          </w:p>
        </w:tc>
        <w:tc>
          <w:tcPr>
            <w:tcW w:w="1974" w:type="dxa"/>
            <w:noWrap w:val="0"/>
            <w:vAlign w:val="center"/>
          </w:tcPr>
          <w:p w14:paraId="0BC4773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条 款 名 称</w:t>
            </w:r>
          </w:p>
        </w:tc>
        <w:tc>
          <w:tcPr>
            <w:tcW w:w="7076" w:type="dxa"/>
            <w:noWrap w:val="0"/>
            <w:vAlign w:val="center"/>
          </w:tcPr>
          <w:p w14:paraId="6B324CE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编  列  内  容</w:t>
            </w:r>
          </w:p>
        </w:tc>
      </w:tr>
      <w:tr w14:paraId="07B3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946" w:type="dxa"/>
            <w:noWrap w:val="0"/>
            <w:vAlign w:val="center"/>
          </w:tcPr>
          <w:p w14:paraId="00B0D8DA">
            <w:pPr>
              <w:keepNext w:val="0"/>
              <w:keepLines w:val="0"/>
              <w:pageBreakBefore w:val="0"/>
              <w:widowControl/>
              <w:kinsoku/>
              <w:wordWrap/>
              <w:overflowPunct/>
              <w:topLinePunct w:val="0"/>
              <w:bidi w:val="0"/>
              <w:snapToGrid/>
              <w:spacing w:line="288" w:lineRule="auto"/>
              <w:jc w:val="center"/>
              <w:textAlignment w:val="baseline"/>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1</w:t>
            </w:r>
            <w:r>
              <w:rPr>
                <w:rFonts w:hint="eastAsia" w:ascii="宋体" w:hAnsi="宋体" w:cs="宋体"/>
                <w:color w:val="auto"/>
                <w:kern w:val="0"/>
                <w:sz w:val="24"/>
                <w:szCs w:val="24"/>
                <w:lang w:val="en-US" w:eastAsia="zh-CN"/>
              </w:rPr>
              <w:t>.1</w:t>
            </w:r>
          </w:p>
        </w:tc>
        <w:tc>
          <w:tcPr>
            <w:tcW w:w="1974" w:type="dxa"/>
            <w:noWrap w:val="0"/>
            <w:vAlign w:val="center"/>
          </w:tcPr>
          <w:p w14:paraId="00418B9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采购人</w:t>
            </w:r>
          </w:p>
        </w:tc>
        <w:tc>
          <w:tcPr>
            <w:tcW w:w="7076" w:type="dxa"/>
            <w:noWrap w:val="0"/>
            <w:vAlign w:val="center"/>
          </w:tcPr>
          <w:p w14:paraId="2FF2CD47">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三门峡市公路事业发展中心</w:t>
            </w:r>
          </w:p>
          <w:p w14:paraId="2E220CB9">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地址：三门峡市虢国路东段</w:t>
            </w:r>
          </w:p>
          <w:p w14:paraId="02E75F7C">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联系人：</w:t>
            </w:r>
            <w:r>
              <w:rPr>
                <w:rFonts w:hint="eastAsia" w:ascii="宋体" w:hAnsi="宋体" w:eastAsia="宋体" w:cs="宋体"/>
                <w:color w:val="auto"/>
                <w:sz w:val="24"/>
                <w:highlight w:val="none"/>
                <w:lang w:val="en-US" w:eastAsia="zh-CN"/>
              </w:rPr>
              <w:t>安先生</w:t>
            </w:r>
          </w:p>
          <w:p w14:paraId="4DDB83F3">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联系方式：</w:t>
            </w:r>
            <w:r>
              <w:rPr>
                <w:rFonts w:hint="eastAsia" w:ascii="宋体" w:hAnsi="宋体" w:cs="宋体"/>
                <w:color w:val="auto"/>
                <w:kern w:val="0"/>
                <w:sz w:val="24"/>
                <w:szCs w:val="24"/>
                <w:lang w:eastAsia="zh-CN"/>
              </w:rPr>
              <w:t>03982817039</w:t>
            </w:r>
          </w:p>
        </w:tc>
      </w:tr>
      <w:tr w14:paraId="7DA22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946" w:type="dxa"/>
            <w:noWrap w:val="0"/>
            <w:vAlign w:val="center"/>
          </w:tcPr>
          <w:p w14:paraId="6736AB84">
            <w:pPr>
              <w:keepNext w:val="0"/>
              <w:keepLines w:val="0"/>
              <w:pageBreakBefore w:val="0"/>
              <w:widowControl/>
              <w:kinsoku/>
              <w:wordWrap/>
              <w:overflowPunct/>
              <w:topLinePunct w:val="0"/>
              <w:bidi w:val="0"/>
              <w:snapToGrid/>
              <w:spacing w:line="288" w:lineRule="auto"/>
              <w:jc w:val="center"/>
              <w:textAlignment w:val="baseline"/>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1.2</w:t>
            </w:r>
          </w:p>
        </w:tc>
        <w:tc>
          <w:tcPr>
            <w:tcW w:w="1974" w:type="dxa"/>
            <w:noWrap w:val="0"/>
            <w:vAlign w:val="center"/>
          </w:tcPr>
          <w:p w14:paraId="7DD91E9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采购代理机构</w:t>
            </w:r>
          </w:p>
        </w:tc>
        <w:tc>
          <w:tcPr>
            <w:tcW w:w="7076" w:type="dxa"/>
            <w:noWrap w:val="0"/>
            <w:vAlign w:val="center"/>
          </w:tcPr>
          <w:p w14:paraId="7BEE812D">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信宇腾远工程咨询集团有限公司  </w:t>
            </w:r>
          </w:p>
          <w:p w14:paraId="5F63DCCE">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地址：西安曲江新区雁展路1111号莱安中心T7-2506</w:t>
            </w:r>
          </w:p>
          <w:p w14:paraId="0EED0F2F">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联系人：翟</w:t>
            </w:r>
            <w:r>
              <w:rPr>
                <w:rFonts w:hint="eastAsia" w:ascii="宋体" w:hAnsi="宋体" w:cs="宋体"/>
                <w:color w:val="auto"/>
                <w:kern w:val="0"/>
                <w:sz w:val="24"/>
                <w:szCs w:val="24"/>
                <w:lang w:val="en-US" w:eastAsia="zh-CN"/>
              </w:rPr>
              <w:t>女士</w:t>
            </w:r>
          </w:p>
          <w:p w14:paraId="5EA61CA1">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联系电话：15603988214</w:t>
            </w:r>
          </w:p>
        </w:tc>
      </w:tr>
      <w:tr w14:paraId="4AF24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exact"/>
          <w:jc w:val="center"/>
        </w:trPr>
        <w:tc>
          <w:tcPr>
            <w:tcW w:w="946" w:type="dxa"/>
            <w:noWrap w:val="0"/>
            <w:vAlign w:val="center"/>
          </w:tcPr>
          <w:p w14:paraId="0D1F66BD">
            <w:pPr>
              <w:keepNext w:val="0"/>
              <w:keepLines w:val="0"/>
              <w:pageBreakBefore w:val="0"/>
              <w:widowControl/>
              <w:kinsoku/>
              <w:wordWrap/>
              <w:overflowPunct/>
              <w:topLinePunct w:val="0"/>
              <w:bidi w:val="0"/>
              <w:snapToGrid/>
              <w:spacing w:line="288" w:lineRule="auto"/>
              <w:jc w:val="center"/>
              <w:textAlignment w:val="baseline"/>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w:t>
            </w:r>
          </w:p>
        </w:tc>
        <w:tc>
          <w:tcPr>
            <w:tcW w:w="1974" w:type="dxa"/>
            <w:noWrap w:val="0"/>
            <w:vAlign w:val="center"/>
          </w:tcPr>
          <w:p w14:paraId="787CB88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项目名称</w:t>
            </w:r>
          </w:p>
        </w:tc>
        <w:tc>
          <w:tcPr>
            <w:tcW w:w="7076" w:type="dxa"/>
            <w:noWrap w:val="0"/>
            <w:vAlign w:val="center"/>
          </w:tcPr>
          <w:p w14:paraId="5EB7A8EB">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省道 313 线陕州区观音堂镇(芦草村)至宫前乡(宫前村)段改建工程勘察设计</w:t>
            </w:r>
          </w:p>
          <w:p w14:paraId="7C5F1E40">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auto"/>
                <w:kern w:val="0"/>
                <w:sz w:val="24"/>
                <w:szCs w:val="24"/>
              </w:rPr>
            </w:pPr>
          </w:p>
        </w:tc>
      </w:tr>
      <w:tr w14:paraId="56C3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jc w:val="center"/>
        </w:trPr>
        <w:tc>
          <w:tcPr>
            <w:tcW w:w="946" w:type="dxa"/>
            <w:noWrap w:val="0"/>
            <w:vAlign w:val="center"/>
          </w:tcPr>
          <w:p w14:paraId="1BAC1BFF">
            <w:pPr>
              <w:keepNext w:val="0"/>
              <w:keepLines w:val="0"/>
              <w:pageBreakBefore w:val="0"/>
              <w:widowControl/>
              <w:kinsoku/>
              <w:wordWrap/>
              <w:overflowPunct/>
              <w:topLinePunct w:val="0"/>
              <w:bidi w:val="0"/>
              <w:snapToGrid/>
              <w:spacing w:line="288" w:lineRule="auto"/>
              <w:jc w:val="center"/>
              <w:textAlignment w:val="baseline"/>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w:t>
            </w:r>
          </w:p>
        </w:tc>
        <w:tc>
          <w:tcPr>
            <w:tcW w:w="1974" w:type="dxa"/>
            <w:noWrap w:val="0"/>
            <w:vAlign w:val="center"/>
          </w:tcPr>
          <w:p w14:paraId="22541A3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资金来源</w:t>
            </w:r>
          </w:p>
        </w:tc>
        <w:tc>
          <w:tcPr>
            <w:tcW w:w="7076" w:type="dxa"/>
            <w:noWrap w:val="0"/>
            <w:vAlign w:val="center"/>
          </w:tcPr>
          <w:p w14:paraId="397F934F">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上级补助资金及自筹资金</w:t>
            </w:r>
          </w:p>
        </w:tc>
      </w:tr>
      <w:tr w14:paraId="60FE4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946" w:type="dxa"/>
            <w:noWrap w:val="0"/>
            <w:vAlign w:val="center"/>
          </w:tcPr>
          <w:p w14:paraId="620C5BEA">
            <w:pPr>
              <w:keepNext w:val="0"/>
              <w:keepLines w:val="0"/>
              <w:pageBreakBefore w:val="0"/>
              <w:widowControl/>
              <w:kinsoku/>
              <w:wordWrap/>
              <w:overflowPunct/>
              <w:topLinePunct w:val="0"/>
              <w:bidi w:val="0"/>
              <w:snapToGrid/>
              <w:spacing w:line="288" w:lineRule="auto"/>
              <w:jc w:val="center"/>
              <w:textAlignment w:val="baseline"/>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4</w:t>
            </w:r>
          </w:p>
        </w:tc>
        <w:tc>
          <w:tcPr>
            <w:tcW w:w="1974" w:type="dxa"/>
            <w:noWrap w:val="0"/>
            <w:vAlign w:val="center"/>
          </w:tcPr>
          <w:p w14:paraId="171597C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资金落实情况</w:t>
            </w:r>
          </w:p>
        </w:tc>
        <w:tc>
          <w:tcPr>
            <w:tcW w:w="7076" w:type="dxa"/>
            <w:noWrap w:val="0"/>
            <w:vAlign w:val="center"/>
          </w:tcPr>
          <w:p w14:paraId="5D73B6EF">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已落实</w:t>
            </w:r>
          </w:p>
        </w:tc>
      </w:tr>
      <w:tr w14:paraId="5401A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46" w:type="dxa"/>
            <w:noWrap w:val="0"/>
            <w:vAlign w:val="center"/>
          </w:tcPr>
          <w:p w14:paraId="473F1A5E">
            <w:pPr>
              <w:keepNext w:val="0"/>
              <w:keepLines w:val="0"/>
              <w:pageBreakBefore w:val="0"/>
              <w:widowControl/>
              <w:kinsoku/>
              <w:wordWrap/>
              <w:overflowPunct/>
              <w:topLinePunct w:val="0"/>
              <w:bidi w:val="0"/>
              <w:snapToGrid/>
              <w:spacing w:line="288" w:lineRule="auto"/>
              <w:jc w:val="center"/>
              <w:textAlignment w:val="baseline"/>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5</w:t>
            </w:r>
          </w:p>
        </w:tc>
        <w:tc>
          <w:tcPr>
            <w:tcW w:w="1974" w:type="dxa"/>
            <w:noWrap w:val="0"/>
            <w:vAlign w:val="center"/>
          </w:tcPr>
          <w:p w14:paraId="31F35DB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采购内容</w:t>
            </w:r>
          </w:p>
        </w:tc>
        <w:tc>
          <w:tcPr>
            <w:tcW w:w="7076" w:type="dxa"/>
            <w:noWrap w:val="0"/>
            <w:vAlign w:val="center"/>
          </w:tcPr>
          <w:p w14:paraId="16C96445">
            <w:pPr>
              <w:pStyle w:val="27"/>
              <w:keepNext w:val="0"/>
              <w:keepLines w:val="0"/>
              <w:pageBreakBefore w:val="0"/>
              <w:widowControl/>
              <w:numPr>
                <w:ilvl w:val="0"/>
                <w:numId w:val="0"/>
              </w:numPr>
              <w:kinsoku/>
              <w:wordWrap/>
              <w:overflowPunct/>
              <w:topLinePunct w:val="0"/>
              <w:autoSpaceDE/>
              <w:autoSpaceDN/>
              <w:bidi w:val="0"/>
              <w:adjustRightInd/>
              <w:spacing w:line="360" w:lineRule="auto"/>
              <w:ind w:left="0" w:leftChars="0" w:firstLine="0" w:firstLineChars="0"/>
              <w:jc w:val="both"/>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bidi="ar"/>
              </w:rPr>
              <w:t>对本项目初勘、初测，详勘、定测、初步设计及概算、施工图设计及预算，施工阶段服务、竣工验收服务及满足招标人要求与本项目有关联的其它相关技术服务等工作，提交设计图纸</w:t>
            </w:r>
          </w:p>
        </w:tc>
      </w:tr>
      <w:tr w14:paraId="6530A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46" w:type="dxa"/>
            <w:noWrap w:val="0"/>
            <w:vAlign w:val="center"/>
          </w:tcPr>
          <w:p w14:paraId="7CD32C3F">
            <w:pPr>
              <w:keepNext w:val="0"/>
              <w:keepLines w:val="0"/>
              <w:pageBreakBefore w:val="0"/>
              <w:widowControl/>
              <w:kinsoku/>
              <w:wordWrap/>
              <w:overflowPunct/>
              <w:topLinePunct w:val="0"/>
              <w:bidi w:val="0"/>
              <w:snapToGrid/>
              <w:spacing w:line="288" w:lineRule="auto"/>
              <w:jc w:val="center"/>
              <w:textAlignment w:val="baseline"/>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w:t>
            </w:r>
          </w:p>
        </w:tc>
        <w:tc>
          <w:tcPr>
            <w:tcW w:w="1974" w:type="dxa"/>
            <w:noWrap w:val="0"/>
            <w:vAlign w:val="center"/>
          </w:tcPr>
          <w:p w14:paraId="4326B3A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服务</w:t>
            </w:r>
            <w:r>
              <w:rPr>
                <w:rFonts w:hint="eastAsia" w:ascii="宋体" w:hAnsi="宋体" w:cs="宋体"/>
                <w:color w:val="auto"/>
                <w:kern w:val="0"/>
                <w:sz w:val="24"/>
                <w:szCs w:val="24"/>
                <w:lang w:val="en-US" w:eastAsia="zh-CN"/>
              </w:rPr>
              <w:t>周期</w:t>
            </w:r>
          </w:p>
        </w:tc>
        <w:tc>
          <w:tcPr>
            <w:tcW w:w="7076" w:type="dxa"/>
            <w:noWrap w:val="0"/>
            <w:vAlign w:val="center"/>
          </w:tcPr>
          <w:p w14:paraId="45F6F5EB">
            <w:pPr>
              <w:pStyle w:val="27"/>
              <w:keepNext w:val="0"/>
              <w:keepLines w:val="0"/>
              <w:pageBreakBefore w:val="0"/>
              <w:widowControl/>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自合同签订后40日历天完成提交设计成果</w:t>
            </w:r>
          </w:p>
        </w:tc>
      </w:tr>
      <w:tr w14:paraId="63DE1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46" w:type="dxa"/>
            <w:noWrap w:val="0"/>
            <w:vAlign w:val="center"/>
          </w:tcPr>
          <w:p w14:paraId="57EE21A0">
            <w:pPr>
              <w:keepNext w:val="0"/>
              <w:keepLines w:val="0"/>
              <w:pageBreakBefore w:val="0"/>
              <w:widowControl/>
              <w:kinsoku/>
              <w:wordWrap/>
              <w:overflowPunct/>
              <w:topLinePunct w:val="0"/>
              <w:bidi w:val="0"/>
              <w:snapToGrid/>
              <w:spacing w:line="288" w:lineRule="auto"/>
              <w:jc w:val="center"/>
              <w:textAlignment w:val="baseline"/>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7</w:t>
            </w:r>
          </w:p>
        </w:tc>
        <w:tc>
          <w:tcPr>
            <w:tcW w:w="1974" w:type="dxa"/>
            <w:noWrap w:val="0"/>
            <w:vAlign w:val="center"/>
          </w:tcPr>
          <w:p w14:paraId="3D6EF88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质量要求</w:t>
            </w:r>
          </w:p>
        </w:tc>
        <w:tc>
          <w:tcPr>
            <w:tcW w:w="7076" w:type="dxa"/>
            <w:noWrap w:val="0"/>
            <w:vAlign w:val="center"/>
          </w:tcPr>
          <w:p w14:paraId="6A08C5FE">
            <w:pPr>
              <w:keepNext w:val="0"/>
              <w:keepLines w:val="0"/>
              <w:pageBreakBefore w:val="0"/>
              <w:widowControl/>
              <w:kinsoku/>
              <w:wordWrap/>
              <w:overflowPunct/>
              <w:topLinePunct w:val="0"/>
              <w:bidi w:val="0"/>
              <w:snapToGrid/>
              <w:spacing w:line="360" w:lineRule="auto"/>
              <w:jc w:val="left"/>
              <w:textAlignment w:val="baseline"/>
              <w:rPr>
                <w:rFonts w:hint="eastAsia" w:ascii="宋体" w:hAnsi="宋体" w:eastAsia="宋体" w:cs="宋体"/>
                <w:color w:val="auto"/>
                <w:kern w:val="0"/>
                <w:sz w:val="24"/>
                <w:szCs w:val="24"/>
              </w:rPr>
            </w:pPr>
            <w:r>
              <w:rPr>
                <w:rFonts w:hint="eastAsia" w:ascii="宋体" w:hAnsi="宋体" w:cs="宋体"/>
                <w:color w:val="auto"/>
                <w:sz w:val="24"/>
                <w:szCs w:val="24"/>
                <w:lang w:val="en-US" w:eastAsia="zh-CN"/>
              </w:rPr>
              <w:t>符合现行勘察设计规范、规程、规定、标准的要求，并通过相关主管部门的审批；</w:t>
            </w:r>
          </w:p>
        </w:tc>
      </w:tr>
      <w:tr w14:paraId="03E9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46" w:type="dxa"/>
            <w:noWrap w:val="0"/>
            <w:vAlign w:val="center"/>
          </w:tcPr>
          <w:p w14:paraId="5E487E92">
            <w:pPr>
              <w:keepNext w:val="0"/>
              <w:keepLines w:val="0"/>
              <w:pageBreakBefore w:val="0"/>
              <w:widowControl/>
              <w:kinsoku/>
              <w:wordWrap/>
              <w:overflowPunct/>
              <w:topLinePunct w:val="0"/>
              <w:bidi w:val="0"/>
              <w:snapToGrid/>
              <w:spacing w:line="288" w:lineRule="auto"/>
              <w:jc w:val="center"/>
              <w:textAlignment w:val="baseline"/>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8</w:t>
            </w:r>
          </w:p>
        </w:tc>
        <w:tc>
          <w:tcPr>
            <w:tcW w:w="1974" w:type="dxa"/>
            <w:noWrap w:val="0"/>
            <w:vAlign w:val="center"/>
          </w:tcPr>
          <w:p w14:paraId="434A307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highlight w:val="none"/>
              </w:rPr>
              <w:t>供应商资质条件、能力和信誉</w:t>
            </w:r>
          </w:p>
        </w:tc>
        <w:tc>
          <w:tcPr>
            <w:tcW w:w="7076" w:type="dxa"/>
            <w:noWrap w:val="0"/>
            <w:vAlign w:val="center"/>
          </w:tcPr>
          <w:p w14:paraId="22FEC3C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lang w:eastAsia="zh-CN"/>
              </w:rPr>
              <w:t>见竞争性磋商公告二、申请人资格要求。</w:t>
            </w:r>
          </w:p>
        </w:tc>
      </w:tr>
      <w:tr w14:paraId="491FB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1C1568D7">
            <w:pPr>
              <w:adjustRightInd w:val="0"/>
              <w:spacing w:line="324" w:lineRule="auto"/>
              <w:jc w:val="center"/>
              <w:rPr>
                <w:rFonts w:hint="eastAsia" w:ascii="宋体" w:hAnsi="宋体" w:eastAsia="宋体" w:cs="宋体"/>
                <w:color w:val="auto"/>
                <w:kern w:val="0"/>
                <w:sz w:val="24"/>
                <w:szCs w:val="24"/>
              </w:rPr>
            </w:pPr>
            <w:r>
              <w:rPr>
                <w:rFonts w:hint="eastAsia" w:ascii="宋体" w:hAnsi="宋体" w:eastAsia="宋体" w:cs="宋体"/>
                <w:color w:val="auto"/>
                <w:spacing w:val="6"/>
                <w:sz w:val="24"/>
                <w:szCs w:val="24"/>
              </w:rPr>
              <w:t>9</w:t>
            </w:r>
          </w:p>
        </w:tc>
        <w:tc>
          <w:tcPr>
            <w:tcW w:w="1974" w:type="dxa"/>
            <w:noWrap w:val="0"/>
            <w:vAlign w:val="center"/>
          </w:tcPr>
          <w:p w14:paraId="513AECC1">
            <w:pPr>
              <w:adjustRightInd w:val="0"/>
              <w:spacing w:line="324"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spacing w:val="6"/>
                <w:sz w:val="24"/>
                <w:szCs w:val="24"/>
              </w:rPr>
              <w:t>磋商有效</w:t>
            </w:r>
            <w:r>
              <w:rPr>
                <w:rFonts w:hint="eastAsia" w:ascii="宋体" w:hAnsi="宋体" w:eastAsia="宋体" w:cs="宋体"/>
                <w:color w:val="auto"/>
                <w:sz w:val="24"/>
                <w:szCs w:val="24"/>
              </w:rPr>
              <w:t>期</w:t>
            </w:r>
          </w:p>
        </w:tc>
        <w:tc>
          <w:tcPr>
            <w:tcW w:w="7076" w:type="dxa"/>
            <w:noWrap w:val="0"/>
            <w:vAlign w:val="center"/>
          </w:tcPr>
          <w:p w14:paraId="41C56871">
            <w:pPr>
              <w:adjustRightInd w:val="0"/>
              <w:spacing w:line="324"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6"/>
                <w:sz w:val="24"/>
                <w:szCs w:val="24"/>
              </w:rPr>
              <w:t>60日历天(从磋商截止之日算起)</w:t>
            </w:r>
          </w:p>
        </w:tc>
      </w:tr>
      <w:tr w14:paraId="211B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15017D0A">
            <w:pPr>
              <w:adjustRightInd w:val="0"/>
              <w:spacing w:line="324" w:lineRule="auto"/>
              <w:jc w:val="center"/>
              <w:rPr>
                <w:rFonts w:hint="eastAsia" w:ascii="宋体" w:hAnsi="宋体" w:eastAsia="宋体" w:cs="宋体"/>
                <w:color w:val="auto"/>
                <w:kern w:val="0"/>
                <w:sz w:val="24"/>
                <w:szCs w:val="24"/>
              </w:rPr>
            </w:pPr>
            <w:r>
              <w:rPr>
                <w:rFonts w:hint="eastAsia" w:ascii="宋体" w:hAnsi="宋体" w:eastAsia="宋体" w:cs="宋体"/>
                <w:color w:val="auto"/>
                <w:spacing w:val="6"/>
                <w:sz w:val="24"/>
                <w:szCs w:val="24"/>
              </w:rPr>
              <w:t>10</w:t>
            </w:r>
          </w:p>
        </w:tc>
        <w:tc>
          <w:tcPr>
            <w:tcW w:w="1974" w:type="dxa"/>
            <w:noWrap w:val="0"/>
            <w:vAlign w:val="center"/>
          </w:tcPr>
          <w:p w14:paraId="4FEAF724">
            <w:pPr>
              <w:adjustRightInd w:val="0"/>
              <w:spacing w:line="324"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spacing w:val="-10"/>
                <w:sz w:val="24"/>
                <w:szCs w:val="24"/>
              </w:rPr>
              <w:t>竞争性磋商保证金</w:t>
            </w:r>
          </w:p>
        </w:tc>
        <w:tc>
          <w:tcPr>
            <w:tcW w:w="7076" w:type="dxa"/>
            <w:noWrap w:val="0"/>
            <w:vAlign w:val="center"/>
          </w:tcPr>
          <w:p w14:paraId="672B2779">
            <w:pP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rPr>
              <w:t>根据《河南省财政厅关于优化政府采购营商环境有关问题的通知》（豫财购【2019】4号）第6条的规定，磋商保证金不再收取。</w:t>
            </w:r>
          </w:p>
        </w:tc>
      </w:tr>
      <w:tr w14:paraId="1EF3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0888DEB6">
            <w:pPr>
              <w:adjustRightInd w:val="0"/>
              <w:spacing w:line="324" w:lineRule="auto"/>
              <w:jc w:val="center"/>
              <w:rPr>
                <w:rFonts w:hint="eastAsia" w:ascii="宋体" w:hAnsi="宋体" w:eastAsia="宋体" w:cs="宋体"/>
                <w:color w:val="auto"/>
                <w:kern w:val="0"/>
                <w:sz w:val="24"/>
                <w:szCs w:val="24"/>
              </w:rPr>
            </w:pPr>
            <w:r>
              <w:rPr>
                <w:rFonts w:hint="eastAsia" w:ascii="宋体" w:hAnsi="宋体" w:eastAsia="宋体" w:cs="宋体"/>
                <w:color w:val="auto"/>
                <w:spacing w:val="6"/>
                <w:sz w:val="24"/>
                <w:szCs w:val="24"/>
              </w:rPr>
              <w:t>11</w:t>
            </w:r>
          </w:p>
        </w:tc>
        <w:tc>
          <w:tcPr>
            <w:tcW w:w="1974" w:type="dxa"/>
            <w:noWrap w:val="0"/>
            <w:vAlign w:val="center"/>
          </w:tcPr>
          <w:p w14:paraId="41DCE82B">
            <w:pPr>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szCs w:val="24"/>
              </w:rPr>
              <w:t>付款方式</w:t>
            </w:r>
          </w:p>
        </w:tc>
        <w:tc>
          <w:tcPr>
            <w:tcW w:w="7076" w:type="dxa"/>
            <w:noWrap w:val="0"/>
            <w:vAlign w:val="center"/>
          </w:tcPr>
          <w:p w14:paraId="203BDE9E">
            <w:pP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rPr>
              <w:t>双方协商</w:t>
            </w:r>
          </w:p>
        </w:tc>
      </w:tr>
      <w:tr w14:paraId="13147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34FA19AD">
            <w:pPr>
              <w:adjustRightInd w:val="0"/>
              <w:spacing w:line="324" w:lineRule="auto"/>
              <w:jc w:val="center"/>
              <w:rPr>
                <w:rFonts w:hint="eastAsia" w:ascii="宋体" w:hAnsi="宋体" w:eastAsia="宋体" w:cs="宋体"/>
                <w:color w:val="auto"/>
                <w:kern w:val="0"/>
                <w:sz w:val="24"/>
                <w:szCs w:val="24"/>
              </w:rPr>
            </w:pPr>
            <w:r>
              <w:rPr>
                <w:rFonts w:hint="eastAsia" w:ascii="宋体" w:hAnsi="宋体" w:eastAsia="宋体" w:cs="宋体"/>
                <w:color w:val="auto"/>
                <w:spacing w:val="6"/>
                <w:sz w:val="24"/>
                <w:szCs w:val="24"/>
              </w:rPr>
              <w:t>12</w:t>
            </w:r>
          </w:p>
        </w:tc>
        <w:tc>
          <w:tcPr>
            <w:tcW w:w="1974" w:type="dxa"/>
            <w:noWrap w:val="0"/>
            <w:vAlign w:val="center"/>
          </w:tcPr>
          <w:p w14:paraId="02E1E615">
            <w:pPr>
              <w:adjustRightInd w:val="0"/>
              <w:spacing w:line="324"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spacing w:val="6"/>
                <w:sz w:val="24"/>
                <w:szCs w:val="24"/>
              </w:rPr>
              <w:t>竞争性磋商响应文件份数</w:t>
            </w:r>
          </w:p>
        </w:tc>
        <w:tc>
          <w:tcPr>
            <w:tcW w:w="7076" w:type="dxa"/>
            <w:noWrap w:val="0"/>
            <w:vAlign w:val="center"/>
          </w:tcPr>
          <w:p w14:paraId="30530EA7">
            <w:pPr>
              <w:adjustRightInd w:val="0"/>
              <w:spacing w:line="324"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rPr>
              <w:t>本项目为电子化、无纸化交易项目。（不适用）</w:t>
            </w:r>
          </w:p>
        </w:tc>
      </w:tr>
      <w:tr w14:paraId="2714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1F64701D">
            <w:pPr>
              <w:adjustRightInd w:val="0"/>
              <w:spacing w:line="324" w:lineRule="auto"/>
              <w:jc w:val="center"/>
              <w:rPr>
                <w:rFonts w:hint="eastAsia" w:ascii="宋体" w:hAnsi="宋体" w:eastAsia="宋体" w:cs="宋体"/>
                <w:color w:val="auto"/>
                <w:kern w:val="0"/>
                <w:sz w:val="24"/>
                <w:szCs w:val="24"/>
              </w:rPr>
            </w:pPr>
            <w:r>
              <w:rPr>
                <w:rFonts w:hint="eastAsia" w:ascii="宋体" w:hAnsi="宋体" w:eastAsia="宋体" w:cs="宋体"/>
                <w:color w:val="auto"/>
                <w:spacing w:val="6"/>
                <w:sz w:val="24"/>
                <w:szCs w:val="24"/>
              </w:rPr>
              <w:t>13</w:t>
            </w:r>
          </w:p>
        </w:tc>
        <w:tc>
          <w:tcPr>
            <w:tcW w:w="1974" w:type="dxa"/>
            <w:noWrap w:val="0"/>
            <w:vAlign w:val="center"/>
          </w:tcPr>
          <w:p w14:paraId="0DFE6319">
            <w:pPr>
              <w:adjustRightInd w:val="0"/>
              <w:spacing w:line="324"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spacing w:val="6"/>
                <w:sz w:val="24"/>
                <w:szCs w:val="24"/>
              </w:rPr>
              <w:t>磋商响应文件递交截止时间</w:t>
            </w:r>
          </w:p>
        </w:tc>
        <w:tc>
          <w:tcPr>
            <w:tcW w:w="7076" w:type="dxa"/>
            <w:noWrap w:val="0"/>
            <w:vAlign w:val="center"/>
          </w:tcPr>
          <w:p w14:paraId="0C72B5A5">
            <w:pP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rPr>
              <w:t>时间：</w:t>
            </w:r>
            <w:r>
              <w:rPr>
                <w:rFonts w:hint="eastAsia" w:ascii="宋体" w:hAnsi="宋体" w:eastAsia="宋体" w:cs="宋体"/>
                <w:bCs/>
                <w:color w:val="auto"/>
                <w:kern w:val="0"/>
                <w:sz w:val="24"/>
                <w:szCs w:val="24"/>
              </w:rPr>
              <w:t>详见竞争性磋商公告</w:t>
            </w:r>
          </w:p>
        </w:tc>
      </w:tr>
      <w:tr w14:paraId="451F1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6E88BA29">
            <w:pPr>
              <w:adjustRightInd w:val="0"/>
              <w:spacing w:line="324" w:lineRule="auto"/>
              <w:jc w:val="center"/>
              <w:rPr>
                <w:rFonts w:hint="eastAsia" w:ascii="宋体" w:hAnsi="宋体" w:eastAsia="宋体" w:cs="宋体"/>
                <w:color w:val="auto"/>
                <w:kern w:val="0"/>
                <w:sz w:val="24"/>
                <w:szCs w:val="24"/>
              </w:rPr>
            </w:pPr>
            <w:r>
              <w:rPr>
                <w:rFonts w:hint="eastAsia" w:ascii="宋体" w:hAnsi="宋体" w:eastAsia="宋体" w:cs="宋体"/>
                <w:color w:val="auto"/>
                <w:spacing w:val="6"/>
                <w:sz w:val="24"/>
                <w:szCs w:val="24"/>
              </w:rPr>
              <w:t>14</w:t>
            </w:r>
          </w:p>
        </w:tc>
        <w:tc>
          <w:tcPr>
            <w:tcW w:w="1974" w:type="dxa"/>
            <w:noWrap w:val="0"/>
            <w:vAlign w:val="center"/>
          </w:tcPr>
          <w:p w14:paraId="57ACB50F">
            <w:pPr>
              <w:adjustRightInd w:val="0"/>
              <w:spacing w:line="324"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spacing w:val="6"/>
                <w:sz w:val="24"/>
                <w:szCs w:val="24"/>
              </w:rPr>
              <w:t>磋商响应文件递交</w:t>
            </w:r>
          </w:p>
        </w:tc>
        <w:tc>
          <w:tcPr>
            <w:tcW w:w="7076" w:type="dxa"/>
            <w:noWrap w:val="0"/>
            <w:vAlign w:val="center"/>
          </w:tcPr>
          <w:p w14:paraId="5999F2D5">
            <w:pPr>
              <w:adjustRightInd w:val="0"/>
              <w:spacing w:line="324"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6"/>
                <w:sz w:val="24"/>
                <w:szCs w:val="24"/>
              </w:rPr>
              <w:t>电子</w:t>
            </w:r>
            <w:r>
              <w:rPr>
                <w:rFonts w:hint="eastAsia" w:ascii="宋体" w:hAnsi="宋体" w:eastAsia="宋体" w:cs="宋体"/>
                <w:color w:val="auto"/>
                <w:spacing w:val="6"/>
                <w:sz w:val="24"/>
                <w:szCs w:val="24"/>
                <w:lang w:val="en-US" w:eastAsia="zh-CN"/>
              </w:rPr>
              <w:t>化</w:t>
            </w:r>
            <w:r>
              <w:rPr>
                <w:rFonts w:hint="eastAsia" w:ascii="宋体" w:hAnsi="宋体" w:eastAsia="宋体" w:cs="宋体"/>
                <w:color w:val="auto"/>
                <w:spacing w:val="6"/>
                <w:sz w:val="24"/>
                <w:szCs w:val="24"/>
              </w:rPr>
              <w:t>响应文件</w:t>
            </w:r>
            <w:r>
              <w:rPr>
                <w:rFonts w:hint="eastAsia" w:ascii="宋体" w:hAnsi="宋体" w:eastAsia="宋体" w:cs="宋体"/>
                <w:color w:val="auto"/>
                <w:spacing w:val="6"/>
                <w:sz w:val="24"/>
                <w:szCs w:val="24"/>
                <w:lang w:val="en-US" w:eastAsia="zh-CN"/>
              </w:rPr>
              <w:t>在</w:t>
            </w:r>
            <w:r>
              <w:rPr>
                <w:rFonts w:hint="eastAsia" w:ascii="宋体" w:hAnsi="宋体" w:eastAsia="宋体" w:cs="宋体"/>
                <w:color w:val="auto"/>
                <w:spacing w:val="6"/>
                <w:sz w:val="24"/>
                <w:szCs w:val="24"/>
              </w:rPr>
              <w:t>磋商截止时间前上传至“三门峡市公共资源交易中心网站”</w:t>
            </w:r>
          </w:p>
        </w:tc>
      </w:tr>
      <w:tr w14:paraId="3324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15030655">
            <w:pPr>
              <w:adjustRightInd w:val="0"/>
              <w:spacing w:line="324" w:lineRule="auto"/>
              <w:jc w:val="center"/>
              <w:rPr>
                <w:rFonts w:hint="eastAsia" w:ascii="宋体" w:hAnsi="宋体" w:eastAsia="宋体" w:cs="宋体"/>
                <w:color w:val="auto"/>
                <w:kern w:val="0"/>
                <w:sz w:val="24"/>
                <w:szCs w:val="24"/>
              </w:rPr>
            </w:pPr>
            <w:r>
              <w:rPr>
                <w:rFonts w:hint="eastAsia" w:ascii="宋体" w:hAnsi="宋体" w:eastAsia="宋体" w:cs="宋体"/>
                <w:color w:val="auto"/>
                <w:spacing w:val="6"/>
                <w:sz w:val="24"/>
                <w:szCs w:val="24"/>
              </w:rPr>
              <w:t>15</w:t>
            </w:r>
          </w:p>
        </w:tc>
        <w:tc>
          <w:tcPr>
            <w:tcW w:w="1974" w:type="dxa"/>
            <w:noWrap w:val="0"/>
            <w:vAlign w:val="center"/>
          </w:tcPr>
          <w:p w14:paraId="2576763D">
            <w:pPr>
              <w:adjustRightInd w:val="0"/>
              <w:spacing w:line="324"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highlight w:val="none"/>
                <w:lang w:val="en-US" w:eastAsia="zh-CN"/>
              </w:rPr>
              <w:t>磋商时间及地点</w:t>
            </w:r>
          </w:p>
        </w:tc>
        <w:tc>
          <w:tcPr>
            <w:tcW w:w="7076" w:type="dxa"/>
            <w:noWrap w:val="0"/>
            <w:vAlign w:val="center"/>
          </w:tcPr>
          <w:p w14:paraId="31F958C8">
            <w:pPr>
              <w:jc w:val="left"/>
              <w:rPr>
                <w:rFonts w:hint="eastAsia" w:ascii="宋体" w:hAnsi="宋体" w:eastAsia="宋体" w:cs="宋体"/>
                <w:color w:val="auto"/>
                <w:sz w:val="24"/>
                <w:szCs w:val="24"/>
                <w:lang w:eastAsia="zh-CN"/>
              </w:rPr>
            </w:pPr>
            <w:r>
              <w:rPr>
                <w:rFonts w:hint="eastAsia" w:ascii="宋体" w:hAnsi="宋体" w:eastAsia="宋体" w:cs="宋体"/>
                <w:color w:val="auto"/>
                <w:spacing w:val="6"/>
                <w:sz w:val="24"/>
                <w:szCs w:val="24"/>
              </w:rPr>
              <w:t>时间：</w:t>
            </w:r>
            <w:r>
              <w:rPr>
                <w:rFonts w:hint="eastAsia" w:ascii="宋体" w:hAnsi="宋体" w:cs="宋体"/>
                <w:color w:val="auto"/>
                <w:kern w:val="0"/>
                <w:sz w:val="24"/>
                <w:szCs w:val="24"/>
                <w:highlight w:val="none"/>
                <w:shd w:val="clear" w:color="auto" w:fill="auto"/>
                <w:lang w:eastAsia="zh-CN"/>
              </w:rPr>
              <w:t>2026年3月17日08时30分</w:t>
            </w:r>
          </w:p>
          <w:p w14:paraId="692A3F49">
            <w:pP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6"/>
                <w:sz w:val="24"/>
                <w:szCs w:val="24"/>
              </w:rPr>
              <w:t>地点：三门峡市公共资源交易中心开标室</w:t>
            </w:r>
          </w:p>
        </w:tc>
      </w:tr>
      <w:tr w14:paraId="2ACF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4641C75B">
            <w:pPr>
              <w:adjustRightInd w:val="0"/>
              <w:spacing w:line="324" w:lineRule="auto"/>
              <w:jc w:val="center"/>
              <w:rPr>
                <w:rFonts w:hint="eastAsia" w:ascii="宋体" w:hAnsi="宋体" w:eastAsia="宋体" w:cs="宋体"/>
                <w:color w:val="auto"/>
                <w:kern w:val="0"/>
                <w:sz w:val="24"/>
                <w:szCs w:val="24"/>
              </w:rPr>
            </w:pPr>
            <w:r>
              <w:rPr>
                <w:rFonts w:hint="eastAsia" w:ascii="宋体" w:hAnsi="宋体" w:eastAsia="宋体" w:cs="宋体"/>
                <w:color w:val="auto"/>
                <w:spacing w:val="6"/>
                <w:sz w:val="24"/>
                <w:szCs w:val="24"/>
              </w:rPr>
              <w:t>16</w:t>
            </w:r>
          </w:p>
        </w:tc>
        <w:tc>
          <w:tcPr>
            <w:tcW w:w="1974" w:type="dxa"/>
            <w:noWrap w:val="0"/>
            <w:vAlign w:val="center"/>
          </w:tcPr>
          <w:p w14:paraId="1D1D8569">
            <w:pPr>
              <w:spacing w:line="440" w:lineRule="exac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spacing w:val="6"/>
                <w:sz w:val="24"/>
                <w:szCs w:val="24"/>
              </w:rPr>
              <w:t>磋商小组的组建</w:t>
            </w:r>
          </w:p>
        </w:tc>
        <w:tc>
          <w:tcPr>
            <w:tcW w:w="7076" w:type="dxa"/>
            <w:noWrap w:val="0"/>
            <w:vAlign w:val="center"/>
          </w:tcPr>
          <w:p w14:paraId="01FA808B">
            <w:pPr>
              <w:widowControl/>
              <w:spacing w:line="400" w:lineRule="atLeas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6"/>
                <w:sz w:val="24"/>
                <w:szCs w:val="24"/>
              </w:rPr>
              <w:t>磋商小组成员为3人，采购人代表1人，其余专家2人从河南省政府采购评审专家库中随机抽取。</w:t>
            </w:r>
          </w:p>
        </w:tc>
      </w:tr>
      <w:tr w14:paraId="4DB28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20A1FF98">
            <w:pPr>
              <w:adjustRightInd w:val="0"/>
              <w:spacing w:line="324" w:lineRule="auto"/>
              <w:jc w:val="center"/>
              <w:rPr>
                <w:rFonts w:hint="eastAsia" w:ascii="宋体" w:hAnsi="宋体" w:eastAsia="宋体" w:cs="宋体"/>
                <w:color w:val="auto"/>
                <w:kern w:val="0"/>
                <w:sz w:val="24"/>
                <w:szCs w:val="24"/>
              </w:rPr>
            </w:pPr>
            <w:r>
              <w:rPr>
                <w:rFonts w:hint="eastAsia" w:ascii="宋体" w:hAnsi="宋体" w:eastAsia="宋体" w:cs="宋体"/>
                <w:color w:val="auto"/>
                <w:spacing w:val="6"/>
                <w:sz w:val="24"/>
                <w:szCs w:val="24"/>
              </w:rPr>
              <w:t>17</w:t>
            </w:r>
          </w:p>
        </w:tc>
        <w:tc>
          <w:tcPr>
            <w:tcW w:w="1974" w:type="dxa"/>
            <w:noWrap w:val="0"/>
            <w:vAlign w:val="center"/>
          </w:tcPr>
          <w:p w14:paraId="72FE09AE">
            <w:pPr>
              <w:widowControl/>
              <w:spacing w:line="400" w:lineRule="atLeas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spacing w:val="6"/>
                <w:sz w:val="24"/>
                <w:szCs w:val="24"/>
              </w:rPr>
              <w:t>磋商标准及方法</w:t>
            </w:r>
          </w:p>
        </w:tc>
        <w:tc>
          <w:tcPr>
            <w:tcW w:w="7076" w:type="dxa"/>
            <w:noWrap w:val="0"/>
            <w:vAlign w:val="center"/>
          </w:tcPr>
          <w:p w14:paraId="34319710">
            <w:pPr>
              <w:widowControl/>
              <w:spacing w:line="400" w:lineRule="atLeas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6"/>
                <w:sz w:val="24"/>
                <w:szCs w:val="24"/>
              </w:rPr>
              <w:t>由磋商小组采用综合评分法对提交最后报价的磋商供应商的磋商响应文件和最后报价进行综合评分。综合评分法，是指磋商响应文件满足竞争性磋商文件全部实质性要求且按评审因素的量化指标评审得分最高的供应商为成交候选供应商的磋商方法。</w:t>
            </w:r>
          </w:p>
        </w:tc>
      </w:tr>
      <w:tr w14:paraId="69F1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4B710A9D">
            <w:pPr>
              <w:adjustRightInd w:val="0"/>
              <w:spacing w:line="324" w:lineRule="auto"/>
              <w:jc w:val="center"/>
              <w:rPr>
                <w:rFonts w:hint="eastAsia" w:ascii="宋体" w:hAnsi="宋体" w:eastAsia="宋体" w:cs="宋体"/>
                <w:color w:val="auto"/>
                <w:kern w:val="0"/>
                <w:sz w:val="24"/>
                <w:szCs w:val="24"/>
              </w:rPr>
            </w:pPr>
            <w:r>
              <w:rPr>
                <w:rFonts w:hint="eastAsia" w:ascii="宋体" w:hAnsi="宋体" w:eastAsia="宋体" w:cs="宋体"/>
                <w:color w:val="auto"/>
                <w:spacing w:val="6"/>
                <w:sz w:val="24"/>
                <w:szCs w:val="24"/>
              </w:rPr>
              <w:t>18</w:t>
            </w:r>
          </w:p>
        </w:tc>
        <w:tc>
          <w:tcPr>
            <w:tcW w:w="1974" w:type="dxa"/>
            <w:noWrap w:val="0"/>
            <w:vAlign w:val="center"/>
          </w:tcPr>
          <w:p w14:paraId="4F5A0D43">
            <w:pPr>
              <w:widowControl/>
              <w:spacing w:line="400" w:lineRule="atLeas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spacing w:val="6"/>
                <w:sz w:val="24"/>
                <w:szCs w:val="24"/>
              </w:rPr>
              <w:t>履约保证金</w:t>
            </w:r>
          </w:p>
        </w:tc>
        <w:tc>
          <w:tcPr>
            <w:tcW w:w="7076" w:type="dxa"/>
            <w:noWrap w:val="0"/>
            <w:vAlign w:val="center"/>
          </w:tcPr>
          <w:p w14:paraId="715C0796">
            <w:pPr>
              <w:widowControl/>
              <w:spacing w:line="400" w:lineRule="atLeas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6"/>
                <w:sz w:val="24"/>
                <w:szCs w:val="24"/>
              </w:rPr>
              <w:t>无</w:t>
            </w:r>
          </w:p>
        </w:tc>
      </w:tr>
      <w:tr w14:paraId="41BE4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535EA20B">
            <w:pPr>
              <w:adjustRightInd w:val="0"/>
              <w:spacing w:line="324" w:lineRule="auto"/>
              <w:jc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19</w:t>
            </w:r>
          </w:p>
        </w:tc>
        <w:tc>
          <w:tcPr>
            <w:tcW w:w="1974" w:type="dxa"/>
            <w:noWrap w:val="0"/>
            <w:vAlign w:val="center"/>
          </w:tcPr>
          <w:p w14:paraId="1A8E3F7B">
            <w:pPr>
              <w:widowControl/>
              <w:spacing w:line="400" w:lineRule="atLeast"/>
              <w:jc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采购标的对应的中小企业划分标准所属行业</w:t>
            </w:r>
          </w:p>
        </w:tc>
        <w:tc>
          <w:tcPr>
            <w:tcW w:w="7076" w:type="dxa"/>
            <w:noWrap w:val="0"/>
            <w:vAlign w:val="center"/>
          </w:tcPr>
          <w:p w14:paraId="13CA1CA5">
            <w:pPr>
              <w:widowControl/>
              <w:spacing w:line="400" w:lineRule="atLeast"/>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本次采购标的对应的中小企业划分标准所属行业为：其他未列明行业。</w:t>
            </w:r>
          </w:p>
        </w:tc>
      </w:tr>
      <w:tr w14:paraId="64C06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1738DA44">
            <w:pPr>
              <w:adjustRightInd w:val="0"/>
              <w:spacing w:line="324" w:lineRule="auto"/>
              <w:jc w:val="center"/>
              <w:rPr>
                <w:rFonts w:hint="eastAsia" w:ascii="宋体" w:hAnsi="宋体" w:eastAsia="宋体" w:cs="宋体"/>
                <w:color w:val="auto"/>
                <w:kern w:val="0"/>
                <w:sz w:val="24"/>
                <w:szCs w:val="24"/>
              </w:rPr>
            </w:pPr>
            <w:r>
              <w:rPr>
                <w:rFonts w:hint="eastAsia" w:ascii="宋体" w:hAnsi="宋体" w:eastAsia="宋体" w:cs="宋体"/>
                <w:color w:val="auto"/>
                <w:spacing w:val="6"/>
                <w:sz w:val="24"/>
                <w:szCs w:val="24"/>
              </w:rPr>
              <w:t>20</w:t>
            </w:r>
          </w:p>
        </w:tc>
        <w:tc>
          <w:tcPr>
            <w:tcW w:w="1974" w:type="dxa"/>
            <w:noWrap w:val="0"/>
            <w:vAlign w:val="center"/>
          </w:tcPr>
          <w:p w14:paraId="77C531C5">
            <w:pPr>
              <w:widowControl/>
              <w:spacing w:line="400" w:lineRule="atLeast"/>
              <w:jc w:val="center"/>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最高限价</w:t>
            </w:r>
          </w:p>
        </w:tc>
        <w:tc>
          <w:tcPr>
            <w:tcW w:w="7076" w:type="dxa"/>
            <w:noWrap w:val="0"/>
            <w:vAlign w:val="center"/>
          </w:tcPr>
          <w:p w14:paraId="21B0EE92">
            <w:pPr>
              <w:widowControl/>
              <w:spacing w:line="400" w:lineRule="atLeast"/>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本项目</w:t>
            </w:r>
            <w:r>
              <w:rPr>
                <w:rFonts w:hint="eastAsia" w:ascii="宋体" w:hAnsi="宋体" w:eastAsia="宋体" w:cs="宋体"/>
                <w:color w:val="auto"/>
                <w:spacing w:val="6"/>
                <w:sz w:val="24"/>
                <w:szCs w:val="24"/>
                <w:lang w:val="en-US" w:eastAsia="zh-CN"/>
              </w:rPr>
              <w:t>最高限价</w:t>
            </w:r>
            <w:r>
              <w:rPr>
                <w:rFonts w:hint="eastAsia" w:ascii="宋体" w:hAnsi="宋体" w:eastAsia="宋体" w:cs="宋体"/>
                <w:color w:val="auto"/>
                <w:spacing w:val="6"/>
                <w:sz w:val="24"/>
                <w:szCs w:val="24"/>
              </w:rPr>
              <w:t>：</w:t>
            </w:r>
            <w:r>
              <w:rPr>
                <w:rFonts w:hint="eastAsia" w:ascii="宋体" w:hAnsi="宋体" w:cs="宋体"/>
                <w:color w:val="auto"/>
                <w:spacing w:val="6"/>
                <w:sz w:val="24"/>
                <w:szCs w:val="24"/>
                <w:lang w:val="en-US" w:eastAsia="zh-CN"/>
              </w:rPr>
              <w:t>794400</w:t>
            </w:r>
            <w:r>
              <w:rPr>
                <w:rFonts w:hint="eastAsia" w:ascii="宋体" w:hAnsi="宋体" w:eastAsia="宋体" w:cs="宋体"/>
                <w:color w:val="auto"/>
                <w:spacing w:val="6"/>
                <w:sz w:val="24"/>
                <w:szCs w:val="24"/>
              </w:rPr>
              <w:t>元</w:t>
            </w:r>
          </w:p>
          <w:p w14:paraId="0539DA2F">
            <w:pPr>
              <w:widowControl/>
              <w:spacing w:line="400" w:lineRule="atLeast"/>
              <w:jc w:val="left"/>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rPr>
              <w:t>磋商供应商磋商报价超出“</w:t>
            </w:r>
            <w:r>
              <w:rPr>
                <w:rFonts w:hint="eastAsia" w:ascii="宋体" w:hAnsi="宋体" w:eastAsia="宋体" w:cs="宋体"/>
                <w:color w:val="auto"/>
                <w:spacing w:val="6"/>
                <w:sz w:val="24"/>
                <w:szCs w:val="24"/>
                <w:lang w:val="en-US" w:eastAsia="zh-CN"/>
              </w:rPr>
              <w:t>最高限价</w:t>
            </w:r>
            <w:r>
              <w:rPr>
                <w:rFonts w:hint="eastAsia" w:ascii="宋体" w:hAnsi="宋体" w:eastAsia="宋体" w:cs="宋体"/>
                <w:color w:val="auto"/>
                <w:spacing w:val="6"/>
                <w:sz w:val="24"/>
                <w:szCs w:val="24"/>
              </w:rPr>
              <w:t>”的，该磋商供应商按无效处理。</w:t>
            </w:r>
          </w:p>
        </w:tc>
      </w:tr>
      <w:tr w14:paraId="66CA5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47CC92BD">
            <w:pPr>
              <w:adjustRightInd w:val="0"/>
              <w:spacing w:line="324" w:lineRule="auto"/>
              <w:jc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21</w:t>
            </w:r>
          </w:p>
        </w:tc>
        <w:tc>
          <w:tcPr>
            <w:tcW w:w="1974" w:type="dxa"/>
            <w:noWrap w:val="0"/>
            <w:vAlign w:val="center"/>
          </w:tcPr>
          <w:p w14:paraId="777E4799">
            <w:pPr>
              <w:adjustRightInd w:val="0"/>
              <w:spacing w:line="324" w:lineRule="auto"/>
              <w:jc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报价</w:t>
            </w:r>
          </w:p>
        </w:tc>
        <w:tc>
          <w:tcPr>
            <w:tcW w:w="7076" w:type="dxa"/>
            <w:noWrap w:val="0"/>
            <w:vAlign w:val="center"/>
          </w:tcPr>
          <w:p w14:paraId="7F0523E7">
            <w:pPr>
              <w:autoSpaceDE w:val="0"/>
              <w:autoSpaceDN w:val="0"/>
              <w:adjustRightInd w:val="0"/>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本次磋商应以人民币报价，分两次进行报价。</w:t>
            </w:r>
          </w:p>
        </w:tc>
      </w:tr>
      <w:tr w14:paraId="60E34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133F2190">
            <w:pPr>
              <w:adjustRightInd w:val="0"/>
              <w:spacing w:line="324" w:lineRule="auto"/>
              <w:jc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22</w:t>
            </w:r>
          </w:p>
        </w:tc>
        <w:tc>
          <w:tcPr>
            <w:tcW w:w="1974" w:type="dxa"/>
            <w:noWrap w:val="0"/>
            <w:vAlign w:val="center"/>
          </w:tcPr>
          <w:p w14:paraId="0C85C70A">
            <w:pPr>
              <w:widowControl/>
              <w:autoSpaceDE w:val="0"/>
              <w:autoSpaceDN w:val="0"/>
              <w:adjustRightInd w:val="0"/>
              <w:jc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知识产权</w:t>
            </w:r>
          </w:p>
        </w:tc>
        <w:tc>
          <w:tcPr>
            <w:tcW w:w="7076" w:type="dxa"/>
            <w:noWrap w:val="0"/>
            <w:vAlign w:val="center"/>
          </w:tcPr>
          <w:p w14:paraId="777EDAC9">
            <w:pPr>
              <w:widowControl/>
              <w:autoSpaceDE w:val="0"/>
              <w:autoSpaceDN w:val="0"/>
              <w:adjustRightInd w:val="0"/>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构成本竞争性磋商文件各个组成部分的文件，未经采购人书面同意，供应商不得擅自复印和用于非本项目所需的其他目的。采购人全部或者部分使用未成交供应商响应文件中的技术成果或技术方案时，需征得其书面同意，并不得擅自复印或提供给第三人。</w:t>
            </w:r>
          </w:p>
        </w:tc>
      </w:tr>
      <w:tr w14:paraId="019E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7EC48FAB">
            <w:pPr>
              <w:adjustRightInd w:val="0"/>
              <w:spacing w:line="324" w:lineRule="auto"/>
              <w:jc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23</w:t>
            </w:r>
          </w:p>
        </w:tc>
        <w:tc>
          <w:tcPr>
            <w:tcW w:w="1974" w:type="dxa"/>
            <w:noWrap w:val="0"/>
            <w:vAlign w:val="center"/>
          </w:tcPr>
          <w:p w14:paraId="31849A0E">
            <w:pPr>
              <w:widowControl/>
              <w:autoSpaceDE w:val="0"/>
              <w:autoSpaceDN w:val="0"/>
              <w:adjustRightInd w:val="0"/>
              <w:jc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履约保证金</w:t>
            </w:r>
          </w:p>
        </w:tc>
        <w:tc>
          <w:tcPr>
            <w:tcW w:w="7076" w:type="dxa"/>
            <w:noWrap w:val="0"/>
            <w:vAlign w:val="center"/>
          </w:tcPr>
          <w:p w14:paraId="2FBD6F07">
            <w:pPr>
              <w:widowControl/>
              <w:autoSpaceDE w:val="0"/>
              <w:autoSpaceDN w:val="0"/>
              <w:adjustRightInd w:val="0"/>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不收取</w:t>
            </w:r>
          </w:p>
        </w:tc>
      </w:tr>
      <w:tr w14:paraId="007B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7E36D85A">
            <w:pPr>
              <w:adjustRightInd w:val="0"/>
              <w:spacing w:line="324" w:lineRule="auto"/>
              <w:jc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24</w:t>
            </w:r>
          </w:p>
        </w:tc>
        <w:tc>
          <w:tcPr>
            <w:tcW w:w="1974" w:type="dxa"/>
            <w:noWrap w:val="0"/>
            <w:vAlign w:val="center"/>
          </w:tcPr>
          <w:p w14:paraId="1FD45A77">
            <w:pPr>
              <w:autoSpaceDE w:val="0"/>
              <w:autoSpaceDN w:val="0"/>
              <w:adjustRightInd w:val="0"/>
              <w:jc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结果公示</w:t>
            </w:r>
          </w:p>
        </w:tc>
        <w:tc>
          <w:tcPr>
            <w:tcW w:w="7076" w:type="dxa"/>
            <w:noWrap w:val="0"/>
            <w:vAlign w:val="center"/>
          </w:tcPr>
          <w:p w14:paraId="3270AB89">
            <w:pPr>
              <w:autoSpaceDE w:val="0"/>
              <w:autoSpaceDN w:val="0"/>
              <w:adjustRightInd w:val="0"/>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本项目磋商结果公告在磋商公告发布的同一媒介予以公示，公示期为一个工作日</w:t>
            </w:r>
          </w:p>
        </w:tc>
      </w:tr>
      <w:tr w14:paraId="5FEE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43437F9F">
            <w:pPr>
              <w:adjustRightInd w:val="0"/>
              <w:spacing w:line="324" w:lineRule="auto"/>
              <w:jc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25</w:t>
            </w:r>
          </w:p>
        </w:tc>
        <w:tc>
          <w:tcPr>
            <w:tcW w:w="1974" w:type="dxa"/>
            <w:noWrap w:val="0"/>
            <w:vAlign w:val="center"/>
          </w:tcPr>
          <w:p w14:paraId="2328CE08">
            <w:pPr>
              <w:autoSpaceDE w:val="0"/>
              <w:autoSpaceDN w:val="0"/>
              <w:adjustRightInd w:val="0"/>
              <w:jc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同义词语</w:t>
            </w:r>
          </w:p>
        </w:tc>
        <w:tc>
          <w:tcPr>
            <w:tcW w:w="7076" w:type="dxa"/>
            <w:noWrap w:val="0"/>
            <w:vAlign w:val="center"/>
          </w:tcPr>
          <w:p w14:paraId="330632EE">
            <w:pPr>
              <w:autoSpaceDE w:val="0"/>
              <w:autoSpaceDN w:val="0"/>
              <w:adjustRightInd w:val="0"/>
              <w:jc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构成磋商文件组成部分的“通用合同条款”、“专用合同条款”、“技术标准和要求”等章节中出现的措辞“发包人”和“承包人”，在</w:t>
            </w:r>
            <w:r>
              <w:rPr>
                <w:rFonts w:hint="eastAsia" w:ascii="宋体" w:hAnsi="宋体" w:cs="宋体"/>
                <w:color w:val="auto"/>
                <w:spacing w:val="6"/>
                <w:sz w:val="24"/>
                <w:szCs w:val="24"/>
                <w:lang w:eastAsia="zh-CN"/>
              </w:rPr>
              <w:t>磋商</w:t>
            </w:r>
            <w:r>
              <w:rPr>
                <w:rFonts w:hint="eastAsia" w:ascii="宋体" w:hAnsi="宋体" w:eastAsia="宋体" w:cs="宋体"/>
                <w:color w:val="auto"/>
                <w:spacing w:val="6"/>
                <w:sz w:val="24"/>
                <w:szCs w:val="24"/>
              </w:rPr>
              <w:t>投标阶段应当分别按“采购人”和“供应商”进行理解。</w:t>
            </w:r>
          </w:p>
        </w:tc>
      </w:tr>
      <w:tr w14:paraId="0D4F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4F703D61">
            <w:pPr>
              <w:adjustRightInd w:val="0"/>
              <w:spacing w:line="324" w:lineRule="auto"/>
              <w:jc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26</w:t>
            </w:r>
          </w:p>
        </w:tc>
        <w:tc>
          <w:tcPr>
            <w:tcW w:w="1974" w:type="dxa"/>
            <w:noWrap w:val="0"/>
            <w:vAlign w:val="center"/>
          </w:tcPr>
          <w:p w14:paraId="226C9C4D">
            <w:pPr>
              <w:autoSpaceDE w:val="0"/>
              <w:autoSpaceDN w:val="0"/>
              <w:adjustRightInd w:val="0"/>
              <w:jc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解释权</w:t>
            </w:r>
          </w:p>
        </w:tc>
        <w:tc>
          <w:tcPr>
            <w:tcW w:w="7076" w:type="dxa"/>
            <w:noWrap w:val="0"/>
            <w:vAlign w:val="center"/>
          </w:tcPr>
          <w:p w14:paraId="564A53E3">
            <w:pPr>
              <w:autoSpaceDE w:val="0"/>
              <w:autoSpaceDN w:val="0"/>
              <w:adjustRightInd w:val="0"/>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w:t>
            </w:r>
            <w:r>
              <w:rPr>
                <w:rFonts w:hint="eastAsia" w:ascii="宋体" w:hAnsi="宋体" w:cs="宋体"/>
                <w:color w:val="auto"/>
                <w:spacing w:val="6"/>
                <w:sz w:val="24"/>
                <w:szCs w:val="24"/>
                <w:lang w:eastAsia="zh-CN"/>
              </w:rPr>
              <w:t>磋商</w:t>
            </w:r>
            <w:r>
              <w:rPr>
                <w:rFonts w:hint="eastAsia" w:ascii="宋体" w:hAnsi="宋体" w:eastAsia="宋体" w:cs="宋体"/>
                <w:color w:val="auto"/>
                <w:spacing w:val="6"/>
                <w:sz w:val="24"/>
                <w:szCs w:val="24"/>
              </w:rPr>
              <w:t>投标阶段的规定，按磋商公告、供应商须知、</w:t>
            </w:r>
            <w:r>
              <w:rPr>
                <w:rFonts w:hint="eastAsia" w:ascii="宋体" w:hAnsi="宋体" w:cs="宋体"/>
                <w:color w:val="auto"/>
                <w:spacing w:val="6"/>
                <w:sz w:val="24"/>
                <w:szCs w:val="24"/>
                <w:lang w:eastAsia="zh-CN"/>
              </w:rPr>
              <w:t>评审办法</w:t>
            </w:r>
            <w:r>
              <w:rPr>
                <w:rFonts w:hint="eastAsia" w:ascii="宋体" w:hAnsi="宋体" w:eastAsia="宋体" w:cs="宋体"/>
                <w:color w:val="auto"/>
                <w:spacing w:val="6"/>
                <w:sz w:val="24"/>
                <w:szCs w:val="24"/>
              </w:rPr>
              <w:t>、磋商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34FA5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5EA34AED">
            <w:pPr>
              <w:adjustRightInd w:val="0"/>
              <w:spacing w:line="324" w:lineRule="auto"/>
              <w:jc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w:t>
            </w:r>
            <w:r>
              <w:rPr>
                <w:rFonts w:hint="eastAsia" w:ascii="宋体" w:hAnsi="宋体" w:eastAsia="宋体" w:cs="宋体"/>
                <w:color w:val="auto"/>
                <w:spacing w:val="6"/>
                <w:sz w:val="24"/>
                <w:szCs w:val="24"/>
                <w:lang w:val="en-US" w:eastAsia="zh-CN"/>
              </w:rPr>
              <w:t>7</w:t>
            </w:r>
          </w:p>
        </w:tc>
        <w:tc>
          <w:tcPr>
            <w:tcW w:w="1974" w:type="dxa"/>
            <w:noWrap w:val="0"/>
            <w:vAlign w:val="center"/>
          </w:tcPr>
          <w:p w14:paraId="0F840228">
            <w:pPr>
              <w:autoSpaceDE w:val="0"/>
              <w:autoSpaceDN w:val="0"/>
              <w:adjustRightInd w:val="0"/>
              <w:jc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代理服务费</w:t>
            </w:r>
          </w:p>
        </w:tc>
        <w:tc>
          <w:tcPr>
            <w:tcW w:w="7076" w:type="dxa"/>
            <w:noWrap w:val="0"/>
            <w:vAlign w:val="center"/>
          </w:tcPr>
          <w:p w14:paraId="78A810F5">
            <w:pPr>
              <w:autoSpaceDE w:val="0"/>
              <w:autoSpaceDN w:val="0"/>
              <w:adjustRightInd w:val="0"/>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1.收取标准：参考河南省</w:t>
            </w:r>
            <w:r>
              <w:rPr>
                <w:rFonts w:hint="eastAsia" w:ascii="宋体" w:hAnsi="宋体" w:cs="宋体"/>
                <w:color w:val="auto"/>
                <w:spacing w:val="6"/>
                <w:sz w:val="24"/>
                <w:szCs w:val="24"/>
                <w:lang w:eastAsia="zh-CN"/>
              </w:rPr>
              <w:t>磋商</w:t>
            </w:r>
            <w:r>
              <w:rPr>
                <w:rFonts w:hint="eastAsia" w:ascii="宋体" w:hAnsi="宋体" w:eastAsia="宋体" w:cs="宋体"/>
                <w:color w:val="auto"/>
                <w:spacing w:val="6"/>
                <w:sz w:val="24"/>
                <w:szCs w:val="24"/>
              </w:rPr>
              <w:t>代理服务收费指导意见（豫招协[2023]002号）规定的收费标准计算，由</w:t>
            </w:r>
            <w:r>
              <w:rPr>
                <w:rFonts w:hint="eastAsia" w:ascii="宋体" w:hAnsi="宋体" w:cs="宋体"/>
                <w:color w:val="auto"/>
                <w:spacing w:val="6"/>
                <w:sz w:val="24"/>
                <w:szCs w:val="24"/>
                <w:lang w:eastAsia="zh-CN"/>
              </w:rPr>
              <w:t>成交</w:t>
            </w:r>
            <w:r>
              <w:rPr>
                <w:rFonts w:hint="eastAsia" w:ascii="宋体" w:hAnsi="宋体" w:eastAsia="宋体" w:cs="宋体"/>
                <w:color w:val="auto"/>
                <w:spacing w:val="6"/>
                <w:sz w:val="24"/>
                <w:szCs w:val="24"/>
              </w:rPr>
              <w:t>人支付。</w:t>
            </w:r>
          </w:p>
          <w:p w14:paraId="7638A27A">
            <w:pPr>
              <w:autoSpaceDE w:val="0"/>
              <w:autoSpaceDN w:val="0"/>
              <w:adjustRightInd w:val="0"/>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2.收取方式：成交单位在领取成交通知书时，以现金或转账的方式一次性向代理机构缴纳代理服务费。</w:t>
            </w:r>
          </w:p>
        </w:tc>
      </w:tr>
      <w:tr w14:paraId="791E0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59B3E388">
            <w:pPr>
              <w:adjustRightInd w:val="0"/>
              <w:spacing w:line="324" w:lineRule="auto"/>
              <w:jc w:val="center"/>
              <w:rPr>
                <w:rFonts w:hint="default" w:ascii="宋体" w:hAnsi="宋体" w:eastAsia="宋体" w:cs="宋体"/>
                <w:color w:val="auto"/>
                <w:spacing w:val="6"/>
                <w:sz w:val="24"/>
                <w:szCs w:val="24"/>
                <w:lang w:val="en-US" w:eastAsia="zh-CN"/>
              </w:rPr>
            </w:pPr>
            <w:r>
              <w:rPr>
                <w:rFonts w:hint="eastAsia" w:ascii="宋体" w:hAnsi="宋体" w:cs="宋体"/>
                <w:color w:val="auto"/>
                <w:spacing w:val="6"/>
                <w:sz w:val="24"/>
                <w:szCs w:val="24"/>
                <w:lang w:val="en-US" w:eastAsia="zh-CN"/>
              </w:rPr>
              <w:t>28</w:t>
            </w:r>
          </w:p>
        </w:tc>
        <w:tc>
          <w:tcPr>
            <w:tcW w:w="1974" w:type="dxa"/>
            <w:noWrap w:val="0"/>
            <w:vAlign w:val="center"/>
          </w:tcPr>
          <w:p w14:paraId="11848C86">
            <w:pPr>
              <w:adjustRightInd w:val="0"/>
              <w:spacing w:line="324" w:lineRule="auto"/>
              <w:jc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电子化注意事项</w:t>
            </w:r>
          </w:p>
        </w:tc>
        <w:tc>
          <w:tcPr>
            <w:tcW w:w="7076" w:type="dxa"/>
            <w:noWrap w:val="0"/>
            <w:vAlign w:val="center"/>
          </w:tcPr>
          <w:p w14:paraId="0FD42673">
            <w:pPr>
              <w:autoSpaceDE w:val="0"/>
              <w:autoSpaceDN w:val="0"/>
              <w:adjustRightInd w:val="0"/>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具体要求：本项目为电子化、无纸化交易项目，响应文件是响应人、供应商（以下简称“响应人”）通过中心响应文件制作系统制作，并经过签章和加密后生成的电子版响应文件。</w:t>
            </w:r>
          </w:p>
          <w:p w14:paraId="19886802">
            <w:pPr>
              <w:autoSpaceDE w:val="0"/>
              <w:autoSpaceDN w:val="0"/>
              <w:adjustRightInd w:val="0"/>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电子化响应文件具体制作文件请点击https://download.bqpoint.com/download/downloadlist.html?SoftTypeCode=06进行下载。</w:t>
            </w:r>
          </w:p>
          <w:p w14:paraId="698496E8">
            <w:pPr>
              <w:autoSpaceDE w:val="0"/>
              <w:autoSpaceDN w:val="0"/>
              <w:adjustRightInd w:val="0"/>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温馨提示：本项目为电子化、无纸化交易项目，为保证您能投标成功，请需仔细阅读以下条款。</w:t>
            </w:r>
          </w:p>
          <w:p w14:paraId="4B81A944">
            <w:pPr>
              <w:autoSpaceDE w:val="0"/>
              <w:autoSpaceDN w:val="0"/>
              <w:adjustRightInd w:val="0"/>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一、电子化投标</w:t>
            </w:r>
          </w:p>
          <w:p w14:paraId="0F196A2F">
            <w:pPr>
              <w:autoSpaceDE w:val="0"/>
              <w:autoSpaceDN w:val="0"/>
              <w:adjustRightInd w:val="0"/>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（一）电子化响应文件的签章</w:t>
            </w:r>
          </w:p>
          <w:p w14:paraId="7937D8FF">
            <w:pPr>
              <w:autoSpaceDE w:val="0"/>
              <w:autoSpaceDN w:val="0"/>
              <w:adjustRightInd w:val="0"/>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1、响应人在生成电子化响应文件后，应对电子化响应文件进行签章，未进行签章的视为无效投标。</w:t>
            </w:r>
          </w:p>
          <w:p w14:paraId="39BC87A8">
            <w:pPr>
              <w:autoSpaceDE w:val="0"/>
              <w:autoSpaceDN w:val="0"/>
              <w:adjustRightInd w:val="0"/>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2、竞争性磋商文件中要求法定代表人或授权委托人签字或盖章的，响应人在进行电子化响应文件签章时，以签盖法定代表人签章为准。</w:t>
            </w:r>
          </w:p>
          <w:p w14:paraId="43A9796F">
            <w:pPr>
              <w:autoSpaceDE w:val="0"/>
              <w:autoSpaceDN w:val="0"/>
              <w:adjustRightInd w:val="0"/>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（二）电子化响应文件的格式及上传投标</w:t>
            </w:r>
          </w:p>
          <w:p w14:paraId="19054882">
            <w:pPr>
              <w:autoSpaceDE w:val="0"/>
              <w:autoSpaceDN w:val="0"/>
              <w:adjustRightInd w:val="0"/>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响应人所上传的电子化响应文件，应是通过中心响应文件制作系统制作的（响应文件制作工具下载地址：https://download.bqpoint.com/download/downloadlist.html?SoftTypeCode=06），经过签章和加密后生成的电子版响应文件。其中包含用于响应文件上传的主文件（后缀为.smxtf）和用于应急补救的响应文件备份文件（后缀为.nsmxtf）。备份文件主要用于电子化开标出现技术问题后的补救，请</w:t>
            </w:r>
            <w:r>
              <w:rPr>
                <w:rFonts w:hint="eastAsia" w:ascii="宋体" w:hAnsi="宋体" w:cs="宋体"/>
                <w:color w:val="auto"/>
                <w:sz w:val="24"/>
                <w:szCs w:val="24"/>
                <w:lang w:val="en-US" w:eastAsia="zh-CN"/>
              </w:rPr>
              <w:t>响应</w:t>
            </w:r>
            <w:r>
              <w:rPr>
                <w:rFonts w:hint="eastAsia" w:ascii="宋体" w:hAnsi="宋体" w:eastAsia="宋体" w:cs="宋体"/>
                <w:color w:val="auto"/>
                <w:sz w:val="24"/>
                <w:szCs w:val="24"/>
                <w:lang w:val="en-US" w:eastAsia="zh-CN"/>
              </w:rPr>
              <w:t>人</w:t>
            </w:r>
            <w:r>
              <w:rPr>
                <w:rFonts w:hint="eastAsia" w:ascii="宋体" w:hAnsi="宋体" w:eastAsia="宋体" w:cs="宋体"/>
                <w:color w:val="auto"/>
                <w:spacing w:val="6"/>
                <w:sz w:val="24"/>
                <w:szCs w:val="24"/>
              </w:rPr>
              <w:t>随身携带。</w:t>
            </w:r>
          </w:p>
          <w:p w14:paraId="1710F608">
            <w:pPr>
              <w:autoSpaceDE w:val="0"/>
              <w:autoSpaceDN w:val="0"/>
              <w:adjustRightInd w:val="0"/>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注：响应人投报多个标段的，需要每个标段单独制作电子响应文件。</w:t>
            </w:r>
          </w:p>
          <w:p w14:paraId="68CB1B29">
            <w:pPr>
              <w:autoSpaceDE w:val="0"/>
              <w:autoSpaceDN w:val="0"/>
              <w:adjustRightInd w:val="0"/>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2、电子化响应文件应在磋商截止时间前成功上传至三门峡市公共资源电子化交易系统。至磋商截止时间止，仍未上传成功的电子化响应文件将不予接收。</w:t>
            </w:r>
          </w:p>
          <w:p w14:paraId="0312D1C7">
            <w:pPr>
              <w:autoSpaceDE w:val="0"/>
              <w:autoSpaceDN w:val="0"/>
              <w:adjustRightInd w:val="0"/>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09BD0FCC">
            <w:pPr>
              <w:autoSpaceDE w:val="0"/>
              <w:autoSpaceDN w:val="0"/>
              <w:adjustRightInd w:val="0"/>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技术联系电话：0398-3117095   3117080</w:t>
            </w:r>
          </w:p>
          <w:p w14:paraId="3F80C469">
            <w:pPr>
              <w:autoSpaceDE w:val="0"/>
              <w:autoSpaceDN w:val="0"/>
              <w:adjustRightInd w:val="0"/>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新点客服电话:4009980000</w:t>
            </w:r>
          </w:p>
          <w:p w14:paraId="76358C7B">
            <w:pPr>
              <w:autoSpaceDE w:val="0"/>
              <w:autoSpaceDN w:val="0"/>
              <w:adjustRightInd w:val="0"/>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（三）电子化项目开标、解密、评标</w:t>
            </w:r>
          </w:p>
          <w:p w14:paraId="5D23F901">
            <w:pPr>
              <w:autoSpaceDE w:val="0"/>
              <w:autoSpaceDN w:val="0"/>
              <w:adjustRightInd w:val="0"/>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本项目采用电子化、无纸化进行磋商，开标当日，响应人无需到开标现场参加开标会议，响应人应当在磋商截止时间前，登陆不见面开标大厅选择登陆三门峡市公共资源电子招投标系统进行登陆（网址为http://122.112.246.33/BidOpening/bidopeninghallaction/hall/login）,在线准时参加开标活动并进行响应文件解密等。</w:t>
            </w:r>
          </w:p>
          <w:p w14:paraId="6F2B1F9C">
            <w:pPr>
              <w:autoSpaceDE w:val="0"/>
              <w:autoSpaceDN w:val="0"/>
              <w:adjustRightInd w:val="0"/>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6A0D13AE">
            <w:pPr>
              <w:autoSpaceDE w:val="0"/>
              <w:autoSpaceDN w:val="0"/>
              <w:adjustRightInd w:val="0"/>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3、电子化响应文件解密异常的处理</w:t>
            </w:r>
          </w:p>
          <w:p w14:paraId="22D43BF4">
            <w:pPr>
              <w:autoSpaceDE w:val="0"/>
              <w:autoSpaceDN w:val="0"/>
              <w:adjustRightInd w:val="0"/>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如出现响应人的电子响应文件无法解密等异常情况，响应人应及时致电中介服务机构说明。响应文件异常，按以下步骤进行处理：</w:t>
            </w:r>
          </w:p>
          <w:p w14:paraId="00D2B052">
            <w:pPr>
              <w:autoSpaceDE w:val="0"/>
              <w:autoSpaceDN w:val="0"/>
              <w:adjustRightInd w:val="0"/>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（1）首先由技术人员进行问题排查。</w:t>
            </w:r>
          </w:p>
          <w:p w14:paraId="1FA5E446">
            <w:pPr>
              <w:autoSpaceDE w:val="0"/>
              <w:autoSpaceDN w:val="0"/>
              <w:adjustRightInd w:val="0"/>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（2）经技术人员排查后，是响应人文件自身问题导致响应文件无法解密的，该响应文件将不予接收、解密。开标会议继续进行。</w:t>
            </w:r>
          </w:p>
          <w:p w14:paraId="321338DA">
            <w:pPr>
              <w:autoSpaceDE w:val="0"/>
              <w:autoSpaceDN w:val="0"/>
              <w:adjustRightInd w:val="0"/>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1472CCB0">
            <w:pPr>
              <w:autoSpaceDE w:val="0"/>
              <w:autoSpaceDN w:val="0"/>
              <w:adjustRightInd w:val="0"/>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4、待所有响应人响应文件解密完成后，由中介服务机构操作，对所有已解密响应文件进行解密。</w:t>
            </w:r>
          </w:p>
          <w:p w14:paraId="37B24697">
            <w:pPr>
              <w:autoSpaceDE w:val="0"/>
              <w:autoSpaceDN w:val="0"/>
              <w:adjustRightInd w:val="0"/>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响应人应保证在磋商期间电话、电脑、网络能够正常工作，响应人因停电、电脑病毒、网络堵塞等原因，未在规定的解密时间内对响应文件进行解密的，其响应文件不予接收。</w:t>
            </w:r>
          </w:p>
          <w:p w14:paraId="32C162AC">
            <w:pPr>
              <w:autoSpaceDE w:val="0"/>
              <w:autoSpaceDN w:val="0"/>
              <w:adjustRightInd w:val="0"/>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w:t>
            </w:r>
            <w:r>
              <w:rPr>
                <w:rFonts w:hint="eastAsia" w:ascii="宋体" w:hAnsi="宋体" w:cs="宋体"/>
                <w:color w:val="auto"/>
                <w:sz w:val="24"/>
                <w:szCs w:val="24"/>
                <w:lang w:val="en-US" w:eastAsia="zh-CN"/>
              </w:rPr>
              <w:t>响应</w:t>
            </w:r>
            <w:r>
              <w:rPr>
                <w:rFonts w:hint="eastAsia" w:ascii="宋体" w:hAnsi="宋体" w:eastAsia="宋体" w:cs="宋体"/>
                <w:color w:val="auto"/>
                <w:sz w:val="24"/>
                <w:szCs w:val="24"/>
                <w:lang w:val="en-US" w:eastAsia="zh-CN"/>
              </w:rPr>
              <w:t>人</w:t>
            </w:r>
            <w:r>
              <w:rPr>
                <w:rFonts w:hint="eastAsia" w:ascii="宋体" w:hAnsi="宋体" w:eastAsia="宋体" w:cs="宋体"/>
                <w:color w:val="auto"/>
                <w:spacing w:val="6"/>
                <w:sz w:val="24"/>
                <w:szCs w:val="24"/>
              </w:rPr>
              <w:t>的质疑并做好书面记录。响应人未在规定时间内提出质疑的，视为认可磋商过程。</w:t>
            </w:r>
          </w:p>
          <w:p w14:paraId="6AE11EBC">
            <w:pPr>
              <w:autoSpaceDE w:val="0"/>
              <w:autoSpaceDN w:val="0"/>
              <w:adjustRightInd w:val="0"/>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6、评标时，</w:t>
            </w:r>
            <w:r>
              <w:rPr>
                <w:rFonts w:hint="eastAsia" w:ascii="宋体" w:hAnsi="宋体" w:cs="宋体"/>
                <w:color w:val="auto"/>
                <w:spacing w:val="6"/>
                <w:sz w:val="24"/>
                <w:szCs w:val="24"/>
                <w:lang w:val="en-US" w:eastAsia="zh-CN"/>
              </w:rPr>
              <w:t>磋商小组</w:t>
            </w:r>
            <w:r>
              <w:rPr>
                <w:rFonts w:hint="eastAsia" w:ascii="宋体" w:hAnsi="宋体" w:eastAsia="宋体" w:cs="宋体"/>
                <w:color w:val="auto"/>
                <w:spacing w:val="6"/>
                <w:sz w:val="24"/>
                <w:szCs w:val="24"/>
              </w:rPr>
              <w:t>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w:t>
            </w:r>
            <w:r>
              <w:rPr>
                <w:rFonts w:hint="eastAsia" w:ascii="宋体" w:hAnsi="宋体" w:cs="宋体"/>
                <w:color w:val="auto"/>
                <w:spacing w:val="6"/>
                <w:sz w:val="24"/>
                <w:szCs w:val="24"/>
                <w:lang w:val="en-US" w:eastAsia="zh-CN"/>
              </w:rPr>
              <w:t>磋商小组</w:t>
            </w:r>
            <w:r>
              <w:rPr>
                <w:rFonts w:hint="eastAsia" w:ascii="宋体" w:hAnsi="宋体" w:eastAsia="宋体" w:cs="宋体"/>
                <w:color w:val="auto"/>
                <w:spacing w:val="6"/>
                <w:sz w:val="24"/>
                <w:szCs w:val="24"/>
              </w:rPr>
              <w:t>。</w:t>
            </w:r>
          </w:p>
          <w:p w14:paraId="34D68181">
            <w:pPr>
              <w:autoSpaceDE w:val="0"/>
              <w:autoSpaceDN w:val="0"/>
              <w:adjustRightInd w:val="0"/>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7、如</w:t>
            </w:r>
            <w:r>
              <w:rPr>
                <w:rFonts w:hint="eastAsia" w:ascii="宋体" w:hAnsi="宋体" w:cs="宋体"/>
                <w:color w:val="auto"/>
                <w:spacing w:val="6"/>
                <w:sz w:val="24"/>
                <w:szCs w:val="24"/>
                <w:lang w:val="en-US" w:eastAsia="zh-CN"/>
              </w:rPr>
              <w:t>磋商小组</w:t>
            </w:r>
            <w:r>
              <w:rPr>
                <w:rFonts w:hint="eastAsia" w:ascii="宋体" w:hAnsi="宋体" w:eastAsia="宋体" w:cs="宋体"/>
                <w:color w:val="auto"/>
                <w:spacing w:val="6"/>
                <w:sz w:val="24"/>
                <w:szCs w:val="24"/>
              </w:rPr>
              <w:t>对需要回复的响应人连续三次致电未接通的，视为响应人放弃回复，</w:t>
            </w:r>
            <w:r>
              <w:rPr>
                <w:rFonts w:hint="eastAsia" w:ascii="宋体" w:hAnsi="宋体" w:cs="宋体"/>
                <w:color w:val="auto"/>
                <w:spacing w:val="6"/>
                <w:sz w:val="24"/>
                <w:szCs w:val="24"/>
                <w:lang w:val="en-US" w:eastAsia="zh-CN"/>
              </w:rPr>
              <w:t>磋商小组</w:t>
            </w:r>
            <w:r>
              <w:rPr>
                <w:rFonts w:hint="eastAsia" w:ascii="宋体" w:hAnsi="宋体" w:eastAsia="宋体" w:cs="宋体"/>
                <w:color w:val="auto"/>
                <w:spacing w:val="6"/>
                <w:sz w:val="24"/>
                <w:szCs w:val="24"/>
              </w:rPr>
              <w:t>将自行对需要回复的内容进行认定。</w:t>
            </w:r>
          </w:p>
          <w:p w14:paraId="5608F878">
            <w:pPr>
              <w:autoSpaceDE w:val="0"/>
              <w:autoSpaceDN w:val="0"/>
              <w:adjustRightInd w:val="0"/>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二、资格审查资料</w:t>
            </w:r>
          </w:p>
          <w:p w14:paraId="419C1C15">
            <w:pPr>
              <w:autoSpaceDE w:val="0"/>
              <w:autoSpaceDN w:val="0"/>
              <w:adjustRightInd w:val="0"/>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本项目实行资格后审，资格评审以响应文件为准，其上传资料真实性由</w:t>
            </w:r>
            <w:r>
              <w:rPr>
                <w:rFonts w:hint="eastAsia" w:ascii="宋体" w:hAnsi="宋体" w:cs="宋体"/>
                <w:color w:val="auto"/>
                <w:sz w:val="24"/>
                <w:szCs w:val="24"/>
                <w:lang w:val="en-US" w:eastAsia="zh-CN"/>
              </w:rPr>
              <w:t>响应</w:t>
            </w:r>
            <w:r>
              <w:rPr>
                <w:rFonts w:hint="eastAsia" w:ascii="宋体" w:hAnsi="宋体" w:eastAsia="宋体" w:cs="宋体"/>
                <w:color w:val="auto"/>
                <w:sz w:val="24"/>
                <w:szCs w:val="24"/>
                <w:lang w:val="en-US" w:eastAsia="zh-CN"/>
              </w:rPr>
              <w:t>人</w:t>
            </w:r>
            <w:r>
              <w:rPr>
                <w:rFonts w:hint="eastAsia" w:ascii="宋体" w:hAnsi="宋体" w:eastAsia="宋体" w:cs="宋体"/>
                <w:color w:val="auto"/>
                <w:spacing w:val="6"/>
                <w:sz w:val="24"/>
                <w:szCs w:val="24"/>
              </w:rPr>
              <w:t>自行承担，同时，</w:t>
            </w:r>
            <w:r>
              <w:rPr>
                <w:rFonts w:hint="eastAsia" w:ascii="宋体" w:hAnsi="宋体" w:cs="宋体"/>
                <w:color w:val="auto"/>
                <w:sz w:val="24"/>
                <w:szCs w:val="24"/>
                <w:lang w:val="en-US" w:eastAsia="zh-CN"/>
              </w:rPr>
              <w:t>响应</w:t>
            </w:r>
            <w:r>
              <w:rPr>
                <w:rFonts w:hint="eastAsia" w:ascii="宋体" w:hAnsi="宋体" w:eastAsia="宋体" w:cs="宋体"/>
                <w:color w:val="auto"/>
                <w:sz w:val="24"/>
                <w:szCs w:val="24"/>
                <w:lang w:val="en-US" w:eastAsia="zh-CN"/>
              </w:rPr>
              <w:t>人</w:t>
            </w:r>
            <w:r>
              <w:rPr>
                <w:rFonts w:hint="eastAsia" w:ascii="宋体" w:hAnsi="宋体" w:eastAsia="宋体" w:cs="宋体"/>
                <w:color w:val="auto"/>
                <w:spacing w:val="6"/>
                <w:sz w:val="24"/>
                <w:szCs w:val="24"/>
              </w:rPr>
              <w:t>要完善主体库。提示：本项目为电子化、无纸化交易项目，为保证您能投标成功，请需仔细阅读以上条款。</w:t>
            </w:r>
          </w:p>
        </w:tc>
      </w:tr>
    </w:tbl>
    <w:p w14:paraId="05E8CB9A">
      <w:pPr>
        <w:spacing w:line="440" w:lineRule="exact"/>
        <w:jc w:val="both"/>
        <w:rPr>
          <w:rFonts w:hint="eastAsia" w:ascii="宋体" w:hAnsi="宋体" w:eastAsia="宋体" w:cs="宋体"/>
          <w:b/>
          <w:bCs/>
          <w:color w:val="auto"/>
          <w:sz w:val="28"/>
          <w:szCs w:val="24"/>
        </w:rPr>
      </w:pPr>
    </w:p>
    <w:p w14:paraId="58EA8AFB">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1.总则</w:t>
      </w:r>
    </w:p>
    <w:p w14:paraId="29F62458">
      <w:pPr>
        <w:widowControl/>
        <w:kinsoku w:val="0"/>
        <w:autoSpaceDE w:val="0"/>
        <w:autoSpaceDN w:val="0"/>
        <w:adjustRightInd w:val="0"/>
        <w:snapToGrid w:val="0"/>
        <w:spacing w:line="360" w:lineRule="auto"/>
        <w:ind w:firstLine="486" w:firstLineChars="200"/>
        <w:jc w:val="left"/>
        <w:textAlignment w:val="baseline"/>
        <w:rPr>
          <w:rFonts w:hint="eastAsia" w:ascii="宋体" w:hAnsi="宋体" w:eastAsia="宋体" w:cs="宋体"/>
          <w:b/>
          <w:snapToGrid w:val="0"/>
          <w:color w:val="auto"/>
          <w:kern w:val="0"/>
          <w:sz w:val="24"/>
          <w:szCs w:val="24"/>
        </w:rPr>
      </w:pPr>
      <w:r>
        <w:rPr>
          <w:rFonts w:hint="eastAsia" w:ascii="宋体" w:hAnsi="宋体" w:eastAsia="宋体" w:cs="宋体"/>
          <w:b/>
          <w:bCs/>
          <w:snapToGrid w:val="0"/>
          <w:color w:val="auto"/>
          <w:spacing w:val="1"/>
          <w:kern w:val="0"/>
          <w:sz w:val="24"/>
          <w:szCs w:val="24"/>
        </w:rPr>
        <w:t>1.</w:t>
      </w:r>
      <w:r>
        <w:rPr>
          <w:rFonts w:hint="eastAsia" w:ascii="宋体" w:hAnsi="宋体" w:eastAsia="宋体" w:cs="宋体"/>
          <w:b/>
          <w:bCs/>
          <w:snapToGrid w:val="0"/>
          <w:color w:val="auto"/>
          <w:kern w:val="0"/>
          <w:sz w:val="24"/>
          <w:szCs w:val="24"/>
        </w:rPr>
        <w:t>1</w:t>
      </w:r>
      <w:r>
        <w:rPr>
          <w:rFonts w:hint="eastAsia" w:ascii="宋体" w:hAnsi="宋体" w:eastAsia="宋体" w:cs="宋体"/>
          <w:b/>
          <w:snapToGrid w:val="0"/>
          <w:color w:val="auto"/>
          <w:kern w:val="0"/>
          <w:sz w:val="24"/>
          <w:szCs w:val="24"/>
        </w:rPr>
        <w:t>项目概况</w:t>
      </w:r>
    </w:p>
    <w:p w14:paraId="6A6AFCB1">
      <w:pPr>
        <w:widowControl/>
        <w:kinsoku w:val="0"/>
        <w:autoSpaceDE w:val="0"/>
        <w:autoSpaceDN w:val="0"/>
        <w:adjustRightInd w:val="0"/>
        <w:snapToGrid w:val="0"/>
        <w:spacing w:line="360" w:lineRule="auto"/>
        <w:ind w:left="37" w:right="24" w:firstLine="496" w:firstLineChars="200"/>
        <w:jc w:val="left"/>
        <w:textAlignment w:val="baseline"/>
        <w:rPr>
          <w:rFonts w:hint="eastAsia" w:ascii="宋体" w:hAnsi="宋体" w:eastAsia="宋体" w:cs="宋体"/>
          <w:snapToGrid w:val="0"/>
          <w:color w:val="auto"/>
          <w:spacing w:val="1"/>
          <w:kern w:val="0"/>
          <w:sz w:val="24"/>
          <w:szCs w:val="24"/>
        </w:rPr>
      </w:pPr>
      <w:r>
        <w:rPr>
          <w:rFonts w:hint="eastAsia" w:ascii="宋体" w:hAnsi="宋体" w:eastAsia="宋体" w:cs="宋体"/>
          <w:snapToGrid w:val="0"/>
          <w:color w:val="auto"/>
          <w:spacing w:val="4"/>
          <w:kern w:val="0"/>
          <w:sz w:val="24"/>
          <w:szCs w:val="24"/>
        </w:rPr>
        <w:t>1.1.1</w:t>
      </w:r>
      <w:r>
        <w:rPr>
          <w:rFonts w:hint="eastAsia" w:ascii="宋体" w:hAnsi="宋体" w:eastAsia="宋体" w:cs="宋体"/>
          <w:snapToGrid w:val="0"/>
          <w:color w:val="auto"/>
          <w:spacing w:val="2"/>
          <w:kern w:val="0"/>
          <w:sz w:val="24"/>
          <w:szCs w:val="24"/>
        </w:rPr>
        <w:t>本项目</w:t>
      </w:r>
      <w:r>
        <w:rPr>
          <w:rFonts w:hint="eastAsia" w:ascii="宋体" w:hAnsi="宋体" w:eastAsia="宋体" w:cs="宋体"/>
          <w:snapToGrid w:val="0"/>
          <w:color w:val="auto"/>
          <w:spacing w:val="2"/>
          <w:kern w:val="0"/>
          <w:sz w:val="24"/>
          <w:szCs w:val="24"/>
          <w:lang w:eastAsia="zh-CN"/>
        </w:rPr>
        <w:t>参照</w:t>
      </w:r>
      <w:r>
        <w:rPr>
          <w:rFonts w:hint="eastAsia" w:ascii="宋体" w:hAnsi="宋体" w:eastAsia="宋体" w:cs="宋体"/>
          <w:snapToGrid w:val="0"/>
          <w:color w:val="auto"/>
          <w:spacing w:val="-4"/>
          <w:kern w:val="0"/>
          <w:sz w:val="24"/>
          <w:szCs w:val="24"/>
        </w:rPr>
        <w:t>《中华人民共和国政府采购法》《中华人民共和国</w:t>
      </w:r>
      <w:r>
        <w:rPr>
          <w:rFonts w:hint="eastAsia" w:ascii="宋体" w:hAnsi="宋体" w:eastAsia="宋体" w:cs="宋体"/>
          <w:snapToGrid w:val="0"/>
          <w:color w:val="auto"/>
          <w:spacing w:val="-3"/>
          <w:kern w:val="0"/>
          <w:sz w:val="24"/>
          <w:szCs w:val="24"/>
        </w:rPr>
        <w:t>政</w:t>
      </w:r>
      <w:r>
        <w:rPr>
          <w:rFonts w:hint="eastAsia" w:ascii="宋体" w:hAnsi="宋体" w:eastAsia="宋体" w:cs="宋体"/>
          <w:snapToGrid w:val="0"/>
          <w:color w:val="auto"/>
          <w:spacing w:val="1"/>
          <w:kern w:val="0"/>
          <w:sz w:val="24"/>
          <w:szCs w:val="24"/>
        </w:rPr>
        <w:t>府采购法实施条例》等有关法律、法规和规章的规定</w:t>
      </w:r>
      <w:r>
        <w:rPr>
          <w:rFonts w:hint="eastAsia" w:ascii="宋体" w:hAnsi="宋体" w:eastAsia="宋体" w:cs="宋体"/>
          <w:snapToGrid w:val="0"/>
          <w:color w:val="auto"/>
          <w:spacing w:val="-7"/>
          <w:kern w:val="0"/>
          <w:sz w:val="24"/>
          <w:szCs w:val="24"/>
        </w:rPr>
        <w:t>，</w:t>
      </w:r>
      <w:r>
        <w:rPr>
          <w:rFonts w:hint="eastAsia" w:ascii="宋体" w:hAnsi="宋体" w:eastAsia="宋体" w:cs="宋体"/>
          <w:snapToGrid w:val="0"/>
          <w:color w:val="auto"/>
          <w:spacing w:val="2"/>
          <w:kern w:val="0"/>
          <w:sz w:val="24"/>
          <w:szCs w:val="24"/>
        </w:rPr>
        <w:t>本</w:t>
      </w:r>
      <w:r>
        <w:rPr>
          <w:rFonts w:hint="eastAsia" w:ascii="宋体" w:hAnsi="宋体" w:cs="宋体"/>
          <w:snapToGrid w:val="0"/>
          <w:color w:val="auto"/>
          <w:spacing w:val="2"/>
          <w:kern w:val="0"/>
          <w:sz w:val="24"/>
          <w:szCs w:val="24"/>
          <w:lang w:eastAsia="zh-CN"/>
        </w:rPr>
        <w:t>磋商</w:t>
      </w:r>
      <w:r>
        <w:rPr>
          <w:rFonts w:hint="eastAsia" w:ascii="宋体" w:hAnsi="宋体" w:eastAsia="宋体" w:cs="宋体"/>
          <w:snapToGrid w:val="0"/>
          <w:color w:val="auto"/>
          <w:spacing w:val="-5"/>
          <w:kern w:val="0"/>
          <w:sz w:val="24"/>
          <w:szCs w:val="24"/>
        </w:rPr>
        <w:t>项目已具备</w:t>
      </w:r>
      <w:r>
        <w:rPr>
          <w:rFonts w:hint="eastAsia" w:ascii="宋体" w:hAnsi="宋体" w:cs="宋体"/>
          <w:snapToGrid w:val="0"/>
          <w:color w:val="auto"/>
          <w:spacing w:val="-5"/>
          <w:kern w:val="0"/>
          <w:sz w:val="24"/>
          <w:szCs w:val="24"/>
          <w:lang w:eastAsia="zh-CN"/>
        </w:rPr>
        <w:t>磋商</w:t>
      </w:r>
      <w:r>
        <w:rPr>
          <w:rFonts w:hint="eastAsia" w:ascii="宋体" w:hAnsi="宋体" w:eastAsia="宋体" w:cs="宋体"/>
          <w:snapToGrid w:val="0"/>
          <w:color w:val="auto"/>
          <w:spacing w:val="-5"/>
          <w:kern w:val="0"/>
          <w:sz w:val="24"/>
          <w:szCs w:val="24"/>
        </w:rPr>
        <w:t>条件，现对本项目进行</w:t>
      </w:r>
      <w:r>
        <w:rPr>
          <w:rFonts w:hint="eastAsia" w:ascii="宋体" w:hAnsi="宋体" w:cs="宋体"/>
          <w:snapToGrid w:val="0"/>
          <w:color w:val="auto"/>
          <w:spacing w:val="-5"/>
          <w:kern w:val="0"/>
          <w:sz w:val="24"/>
          <w:szCs w:val="24"/>
          <w:lang w:val="en-US" w:eastAsia="zh-CN"/>
        </w:rPr>
        <w:t>竞争性磋商</w:t>
      </w:r>
      <w:r>
        <w:rPr>
          <w:rFonts w:hint="eastAsia" w:ascii="宋体" w:hAnsi="宋体" w:eastAsia="宋体" w:cs="宋体"/>
          <w:snapToGrid w:val="0"/>
          <w:color w:val="auto"/>
          <w:spacing w:val="-4"/>
          <w:kern w:val="0"/>
          <w:sz w:val="24"/>
          <w:szCs w:val="24"/>
        </w:rPr>
        <w:t>。</w:t>
      </w:r>
    </w:p>
    <w:p w14:paraId="119AC155">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1.1.2采购人</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见</w:t>
      </w:r>
      <w:r>
        <w:rPr>
          <w:rFonts w:hint="eastAsia" w:ascii="宋体" w:hAnsi="宋体" w:eastAsia="宋体" w:cs="宋体"/>
          <w:color w:val="auto"/>
          <w:spacing w:val="-2"/>
          <w:kern w:val="0"/>
          <w:sz w:val="24"/>
          <w:szCs w:val="24"/>
        </w:rPr>
        <w:t>投标供应商须</w:t>
      </w:r>
      <w:r>
        <w:rPr>
          <w:rFonts w:hint="eastAsia" w:ascii="宋体" w:hAnsi="宋体" w:eastAsia="宋体" w:cs="宋体"/>
          <w:color w:val="auto"/>
          <w:kern w:val="0"/>
          <w:sz w:val="24"/>
          <w:szCs w:val="24"/>
        </w:rPr>
        <w:t>知前</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表。</w:t>
      </w:r>
    </w:p>
    <w:p w14:paraId="558BA524">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1.1.3采购代</w:t>
      </w:r>
      <w:r>
        <w:rPr>
          <w:rFonts w:hint="eastAsia" w:ascii="宋体" w:hAnsi="宋体" w:eastAsia="宋体" w:cs="宋体"/>
          <w:color w:val="auto"/>
          <w:spacing w:val="-2"/>
          <w:kern w:val="0"/>
          <w:sz w:val="24"/>
          <w:szCs w:val="24"/>
        </w:rPr>
        <w:t>理</w:t>
      </w:r>
      <w:r>
        <w:rPr>
          <w:rFonts w:hint="eastAsia" w:ascii="宋体" w:hAnsi="宋体" w:eastAsia="宋体" w:cs="宋体"/>
          <w:color w:val="auto"/>
          <w:kern w:val="0"/>
          <w:sz w:val="24"/>
          <w:szCs w:val="24"/>
        </w:rPr>
        <w:t>机</w:t>
      </w:r>
      <w:r>
        <w:rPr>
          <w:rFonts w:hint="eastAsia" w:ascii="宋体" w:hAnsi="宋体" w:eastAsia="宋体" w:cs="宋体"/>
          <w:color w:val="auto"/>
          <w:spacing w:val="-2"/>
          <w:kern w:val="0"/>
          <w:sz w:val="24"/>
          <w:szCs w:val="24"/>
        </w:rPr>
        <w:t>构</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见投标供应商须</w:t>
      </w:r>
      <w:r>
        <w:rPr>
          <w:rFonts w:hint="eastAsia" w:ascii="宋体" w:hAnsi="宋体" w:eastAsia="宋体" w:cs="宋体"/>
          <w:color w:val="auto"/>
          <w:kern w:val="0"/>
          <w:sz w:val="24"/>
          <w:szCs w:val="24"/>
        </w:rPr>
        <w:t>知</w:t>
      </w:r>
      <w:r>
        <w:rPr>
          <w:rFonts w:hint="eastAsia" w:ascii="宋体" w:hAnsi="宋体" w:eastAsia="宋体" w:cs="宋体"/>
          <w:color w:val="auto"/>
          <w:spacing w:val="-2"/>
          <w:kern w:val="0"/>
          <w:sz w:val="24"/>
          <w:szCs w:val="24"/>
        </w:rPr>
        <w:t>前</w:t>
      </w:r>
      <w:r>
        <w:rPr>
          <w:rFonts w:hint="eastAsia" w:ascii="宋体" w:hAnsi="宋体" w:eastAsia="宋体" w:cs="宋体"/>
          <w:color w:val="auto"/>
          <w:kern w:val="0"/>
          <w:sz w:val="24"/>
          <w:szCs w:val="24"/>
        </w:rPr>
        <w:t>附</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w:t>
      </w:r>
    </w:p>
    <w:p w14:paraId="2E9A4460">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1.1.4采购项目名称：见投标供应商须知前附表。</w:t>
      </w:r>
    </w:p>
    <w:p w14:paraId="4015A339">
      <w:pPr>
        <w:spacing w:line="360" w:lineRule="auto"/>
        <w:ind w:firstLine="478" w:firstLineChars="200"/>
        <w:rPr>
          <w:rFonts w:hint="eastAsia" w:ascii="宋体" w:hAnsi="宋体" w:eastAsia="宋体" w:cs="宋体"/>
          <w:b/>
          <w:bCs/>
          <w:color w:val="auto"/>
          <w:sz w:val="24"/>
          <w:szCs w:val="24"/>
        </w:rPr>
      </w:pPr>
      <w:r>
        <w:rPr>
          <w:rFonts w:hint="eastAsia" w:ascii="宋体" w:hAnsi="宋体" w:eastAsia="宋体" w:cs="宋体"/>
          <w:b/>
          <w:bCs/>
          <w:color w:val="auto"/>
          <w:spacing w:val="-1"/>
          <w:sz w:val="24"/>
          <w:szCs w:val="24"/>
        </w:rPr>
        <w:t>1.2</w:t>
      </w:r>
      <w:r>
        <w:rPr>
          <w:rFonts w:hint="eastAsia" w:ascii="宋体" w:hAnsi="宋体" w:eastAsia="宋体" w:cs="宋体"/>
          <w:b/>
          <w:color w:val="auto"/>
          <w:spacing w:val="-1"/>
          <w:sz w:val="24"/>
          <w:szCs w:val="24"/>
        </w:rPr>
        <w:t>资</w:t>
      </w:r>
      <w:r>
        <w:rPr>
          <w:rFonts w:hint="eastAsia" w:ascii="宋体" w:hAnsi="宋体" w:eastAsia="宋体" w:cs="宋体"/>
          <w:b/>
          <w:color w:val="auto"/>
          <w:sz w:val="24"/>
          <w:szCs w:val="24"/>
        </w:rPr>
        <w:t>金来源和落实情况</w:t>
      </w:r>
    </w:p>
    <w:p w14:paraId="68AA7949">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1.2.1资</w:t>
      </w:r>
      <w:r>
        <w:rPr>
          <w:rFonts w:hint="eastAsia" w:ascii="宋体" w:hAnsi="宋体" w:eastAsia="宋体" w:cs="宋体"/>
          <w:color w:val="auto"/>
          <w:spacing w:val="-2"/>
          <w:kern w:val="0"/>
          <w:sz w:val="24"/>
          <w:szCs w:val="24"/>
        </w:rPr>
        <w:t>金</w:t>
      </w:r>
      <w:r>
        <w:rPr>
          <w:rFonts w:hint="eastAsia" w:ascii="宋体" w:hAnsi="宋体" w:eastAsia="宋体" w:cs="宋体"/>
          <w:color w:val="auto"/>
          <w:kern w:val="0"/>
          <w:sz w:val="24"/>
          <w:szCs w:val="24"/>
        </w:rPr>
        <w:t>来</w:t>
      </w:r>
      <w:r>
        <w:rPr>
          <w:rFonts w:hint="eastAsia" w:ascii="宋体" w:hAnsi="宋体" w:eastAsia="宋体" w:cs="宋体"/>
          <w:color w:val="auto"/>
          <w:spacing w:val="-2"/>
          <w:kern w:val="0"/>
          <w:sz w:val="24"/>
          <w:szCs w:val="24"/>
        </w:rPr>
        <w:t>源</w:t>
      </w:r>
      <w:r>
        <w:rPr>
          <w:rFonts w:hint="eastAsia" w:ascii="宋体" w:hAnsi="宋体" w:eastAsia="宋体" w:cs="宋体"/>
          <w:color w:val="auto"/>
          <w:kern w:val="0"/>
          <w:sz w:val="24"/>
          <w:szCs w:val="24"/>
        </w:rPr>
        <w:t>及</w:t>
      </w:r>
      <w:r>
        <w:rPr>
          <w:rFonts w:hint="eastAsia" w:ascii="宋体" w:hAnsi="宋体" w:eastAsia="宋体" w:cs="宋体"/>
          <w:color w:val="auto"/>
          <w:spacing w:val="-2"/>
          <w:kern w:val="0"/>
          <w:sz w:val="24"/>
          <w:szCs w:val="24"/>
        </w:rPr>
        <w:t>比</w:t>
      </w:r>
      <w:r>
        <w:rPr>
          <w:rFonts w:hint="eastAsia" w:ascii="宋体" w:hAnsi="宋体" w:eastAsia="宋体" w:cs="宋体"/>
          <w:color w:val="auto"/>
          <w:kern w:val="0"/>
          <w:sz w:val="24"/>
          <w:szCs w:val="24"/>
        </w:rPr>
        <w:t>例</w:t>
      </w:r>
      <w:r>
        <w:rPr>
          <w:rFonts w:hint="eastAsia" w:ascii="宋体" w:hAnsi="宋体" w:eastAsia="宋体" w:cs="宋体"/>
          <w:color w:val="auto"/>
          <w:spacing w:val="-2"/>
          <w:kern w:val="0"/>
          <w:sz w:val="24"/>
          <w:szCs w:val="24"/>
        </w:rPr>
        <w:t>：见</w:t>
      </w:r>
      <w:r>
        <w:rPr>
          <w:rFonts w:hint="eastAsia" w:ascii="宋体" w:hAnsi="宋体" w:eastAsia="宋体" w:cs="宋体"/>
          <w:color w:val="auto"/>
          <w:kern w:val="0"/>
          <w:sz w:val="24"/>
          <w:szCs w:val="24"/>
        </w:rPr>
        <w:t>投标供应商须</w:t>
      </w:r>
      <w:r>
        <w:rPr>
          <w:rFonts w:hint="eastAsia" w:ascii="宋体" w:hAnsi="宋体" w:eastAsia="宋体" w:cs="宋体"/>
          <w:color w:val="auto"/>
          <w:spacing w:val="-2"/>
          <w:kern w:val="0"/>
          <w:sz w:val="24"/>
          <w:szCs w:val="24"/>
        </w:rPr>
        <w:t>知</w:t>
      </w:r>
      <w:r>
        <w:rPr>
          <w:rFonts w:hint="eastAsia" w:ascii="宋体" w:hAnsi="宋体" w:eastAsia="宋体" w:cs="宋体"/>
          <w:color w:val="auto"/>
          <w:kern w:val="0"/>
          <w:sz w:val="24"/>
          <w:szCs w:val="24"/>
        </w:rPr>
        <w:t>前</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表。</w:t>
      </w:r>
    </w:p>
    <w:p w14:paraId="6ABECD67">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1.2.2资</w:t>
      </w:r>
      <w:r>
        <w:rPr>
          <w:rFonts w:hint="eastAsia" w:ascii="宋体" w:hAnsi="宋体" w:eastAsia="宋体" w:cs="宋体"/>
          <w:color w:val="auto"/>
          <w:spacing w:val="-2"/>
          <w:kern w:val="0"/>
          <w:sz w:val="24"/>
          <w:szCs w:val="24"/>
        </w:rPr>
        <w:t>金</w:t>
      </w:r>
      <w:r>
        <w:rPr>
          <w:rFonts w:hint="eastAsia" w:ascii="宋体" w:hAnsi="宋体" w:eastAsia="宋体" w:cs="宋体"/>
          <w:color w:val="auto"/>
          <w:kern w:val="0"/>
          <w:sz w:val="24"/>
          <w:szCs w:val="24"/>
        </w:rPr>
        <w:t>落</w:t>
      </w:r>
      <w:r>
        <w:rPr>
          <w:rFonts w:hint="eastAsia" w:ascii="宋体" w:hAnsi="宋体" w:eastAsia="宋体" w:cs="宋体"/>
          <w:color w:val="auto"/>
          <w:spacing w:val="-2"/>
          <w:kern w:val="0"/>
          <w:sz w:val="24"/>
          <w:szCs w:val="24"/>
        </w:rPr>
        <w:t>实</w:t>
      </w:r>
      <w:r>
        <w:rPr>
          <w:rFonts w:hint="eastAsia" w:ascii="宋体" w:hAnsi="宋体" w:eastAsia="宋体" w:cs="宋体"/>
          <w:color w:val="auto"/>
          <w:kern w:val="0"/>
          <w:sz w:val="24"/>
          <w:szCs w:val="24"/>
        </w:rPr>
        <w:t>情</w:t>
      </w:r>
      <w:r>
        <w:rPr>
          <w:rFonts w:hint="eastAsia" w:ascii="宋体" w:hAnsi="宋体" w:eastAsia="宋体" w:cs="宋体"/>
          <w:color w:val="auto"/>
          <w:spacing w:val="-2"/>
          <w:kern w:val="0"/>
          <w:sz w:val="24"/>
          <w:szCs w:val="24"/>
        </w:rPr>
        <w:t>况</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见投标供应商须</w:t>
      </w:r>
      <w:r>
        <w:rPr>
          <w:rFonts w:hint="eastAsia" w:ascii="宋体" w:hAnsi="宋体" w:eastAsia="宋体" w:cs="宋体"/>
          <w:color w:val="auto"/>
          <w:kern w:val="0"/>
          <w:sz w:val="24"/>
          <w:szCs w:val="24"/>
        </w:rPr>
        <w:t>知</w:t>
      </w:r>
      <w:r>
        <w:rPr>
          <w:rFonts w:hint="eastAsia" w:ascii="宋体" w:hAnsi="宋体" w:eastAsia="宋体" w:cs="宋体"/>
          <w:color w:val="auto"/>
          <w:spacing w:val="-2"/>
          <w:kern w:val="0"/>
          <w:sz w:val="24"/>
          <w:szCs w:val="24"/>
        </w:rPr>
        <w:t>前</w:t>
      </w:r>
      <w:r>
        <w:rPr>
          <w:rFonts w:hint="eastAsia" w:ascii="宋体" w:hAnsi="宋体" w:eastAsia="宋体" w:cs="宋体"/>
          <w:color w:val="auto"/>
          <w:kern w:val="0"/>
          <w:sz w:val="24"/>
          <w:szCs w:val="24"/>
        </w:rPr>
        <w:t>附</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w:t>
      </w:r>
    </w:p>
    <w:p w14:paraId="48246E2E">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lang w:eastAsia="zh-CN"/>
        </w:rPr>
      </w:pPr>
      <w:r>
        <w:rPr>
          <w:rFonts w:hint="eastAsia" w:ascii="宋体" w:hAnsi="宋体" w:eastAsia="宋体" w:cs="宋体"/>
          <w:b/>
          <w:color w:val="auto"/>
          <w:spacing w:val="1"/>
          <w:kern w:val="0"/>
          <w:sz w:val="24"/>
          <w:szCs w:val="24"/>
        </w:rPr>
        <w:t>1</w:t>
      </w:r>
      <w:r>
        <w:rPr>
          <w:rFonts w:hint="eastAsia" w:ascii="宋体" w:hAnsi="宋体" w:eastAsia="宋体" w:cs="宋体"/>
          <w:b/>
          <w:color w:val="auto"/>
          <w:kern w:val="0"/>
          <w:sz w:val="24"/>
          <w:szCs w:val="24"/>
        </w:rPr>
        <w:t>.3采购范</w:t>
      </w:r>
      <w:r>
        <w:rPr>
          <w:rFonts w:hint="eastAsia" w:ascii="宋体" w:hAnsi="宋体" w:eastAsia="宋体" w:cs="宋体"/>
          <w:b/>
          <w:color w:val="auto"/>
          <w:spacing w:val="-3"/>
          <w:kern w:val="0"/>
          <w:sz w:val="24"/>
          <w:szCs w:val="24"/>
        </w:rPr>
        <w:t>围</w:t>
      </w:r>
      <w:r>
        <w:rPr>
          <w:rFonts w:hint="eastAsia" w:ascii="宋体" w:hAnsi="宋体" w:eastAsia="宋体" w:cs="宋体"/>
          <w:b/>
          <w:color w:val="auto"/>
          <w:kern w:val="0"/>
          <w:sz w:val="24"/>
          <w:szCs w:val="24"/>
        </w:rPr>
        <w:t>、</w:t>
      </w:r>
      <w:r>
        <w:rPr>
          <w:rFonts w:hint="eastAsia" w:ascii="宋体" w:hAnsi="宋体" w:eastAsia="宋体" w:cs="宋体"/>
          <w:b/>
          <w:color w:val="auto"/>
          <w:kern w:val="0"/>
          <w:sz w:val="24"/>
          <w:szCs w:val="24"/>
          <w:lang w:eastAsia="zh-CN"/>
        </w:rPr>
        <w:t>服务</w:t>
      </w:r>
      <w:r>
        <w:rPr>
          <w:rFonts w:hint="eastAsia" w:ascii="宋体" w:hAnsi="宋体" w:cs="宋体"/>
          <w:b/>
          <w:color w:val="auto"/>
          <w:kern w:val="0"/>
          <w:sz w:val="24"/>
          <w:szCs w:val="24"/>
          <w:lang w:val="en-US" w:eastAsia="zh-CN"/>
        </w:rPr>
        <w:t>周期</w:t>
      </w:r>
      <w:r>
        <w:rPr>
          <w:rFonts w:hint="eastAsia" w:ascii="宋体" w:hAnsi="宋体" w:eastAsia="宋体" w:cs="宋体"/>
          <w:b/>
          <w:color w:val="auto"/>
          <w:kern w:val="0"/>
          <w:sz w:val="24"/>
          <w:szCs w:val="24"/>
        </w:rPr>
        <w:t>、</w:t>
      </w:r>
      <w:r>
        <w:rPr>
          <w:rFonts w:hint="eastAsia" w:ascii="宋体" w:hAnsi="宋体" w:eastAsia="宋体" w:cs="宋体"/>
          <w:b/>
          <w:color w:val="auto"/>
          <w:spacing w:val="-3"/>
          <w:kern w:val="0"/>
          <w:sz w:val="24"/>
          <w:szCs w:val="24"/>
        </w:rPr>
        <w:t>质量要求</w:t>
      </w:r>
      <w:r>
        <w:rPr>
          <w:rFonts w:hint="eastAsia" w:ascii="宋体" w:hAnsi="宋体" w:cs="宋体"/>
          <w:b/>
          <w:color w:val="auto"/>
          <w:spacing w:val="-3"/>
          <w:kern w:val="0"/>
          <w:sz w:val="24"/>
          <w:szCs w:val="24"/>
          <w:lang w:eastAsia="zh-CN"/>
        </w:rPr>
        <w:t>、</w:t>
      </w:r>
      <w:r>
        <w:rPr>
          <w:rFonts w:hint="eastAsia" w:ascii="宋体" w:hAnsi="宋体" w:eastAsia="宋体" w:cs="宋体"/>
          <w:b/>
          <w:color w:val="auto"/>
          <w:spacing w:val="-3"/>
          <w:kern w:val="0"/>
          <w:sz w:val="24"/>
          <w:szCs w:val="24"/>
        </w:rPr>
        <w:t>合同履约期限</w:t>
      </w:r>
    </w:p>
    <w:p w14:paraId="19919F7F">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1.3.1采购范</w:t>
      </w:r>
      <w:r>
        <w:rPr>
          <w:rFonts w:hint="eastAsia" w:ascii="宋体" w:hAnsi="宋体" w:eastAsia="宋体" w:cs="宋体"/>
          <w:color w:val="auto"/>
          <w:spacing w:val="-2"/>
          <w:kern w:val="0"/>
          <w:sz w:val="24"/>
          <w:szCs w:val="24"/>
        </w:rPr>
        <w:t>围</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见</w:t>
      </w:r>
      <w:r>
        <w:rPr>
          <w:rFonts w:hint="eastAsia" w:ascii="宋体" w:hAnsi="宋体" w:eastAsia="宋体" w:cs="宋体"/>
          <w:color w:val="auto"/>
          <w:kern w:val="0"/>
          <w:sz w:val="24"/>
          <w:szCs w:val="24"/>
        </w:rPr>
        <w:t>投标供应商须知</w:t>
      </w:r>
      <w:r>
        <w:rPr>
          <w:rFonts w:hint="eastAsia" w:ascii="宋体" w:hAnsi="宋体" w:eastAsia="宋体" w:cs="宋体"/>
          <w:color w:val="auto"/>
          <w:spacing w:val="-2"/>
          <w:kern w:val="0"/>
          <w:sz w:val="24"/>
          <w:szCs w:val="24"/>
        </w:rPr>
        <w:t>前</w:t>
      </w:r>
      <w:r>
        <w:rPr>
          <w:rFonts w:hint="eastAsia" w:ascii="宋体" w:hAnsi="宋体" w:eastAsia="宋体" w:cs="宋体"/>
          <w:color w:val="auto"/>
          <w:kern w:val="0"/>
          <w:sz w:val="24"/>
          <w:szCs w:val="24"/>
        </w:rPr>
        <w:t>附</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w:t>
      </w:r>
    </w:p>
    <w:p w14:paraId="25621832">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1.3.2</w:t>
      </w:r>
      <w:r>
        <w:rPr>
          <w:rFonts w:hint="eastAsia" w:ascii="宋体" w:hAnsi="宋体" w:eastAsia="宋体" w:cs="宋体"/>
          <w:color w:val="auto"/>
          <w:kern w:val="0"/>
          <w:sz w:val="24"/>
          <w:szCs w:val="24"/>
          <w:lang w:eastAsia="zh-CN"/>
        </w:rPr>
        <w:t>服务</w:t>
      </w:r>
      <w:r>
        <w:rPr>
          <w:rFonts w:hint="eastAsia" w:ascii="宋体" w:hAnsi="宋体" w:cs="宋体"/>
          <w:color w:val="auto"/>
          <w:kern w:val="0"/>
          <w:sz w:val="24"/>
          <w:szCs w:val="24"/>
          <w:lang w:val="en-US" w:eastAsia="zh-CN"/>
        </w:rPr>
        <w:t>周期</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见</w:t>
      </w:r>
      <w:r>
        <w:rPr>
          <w:rFonts w:hint="eastAsia" w:ascii="宋体" w:hAnsi="宋体" w:eastAsia="宋体" w:cs="宋体"/>
          <w:color w:val="auto"/>
          <w:spacing w:val="-2"/>
          <w:kern w:val="0"/>
          <w:sz w:val="24"/>
          <w:szCs w:val="24"/>
        </w:rPr>
        <w:t>投标供应商须</w:t>
      </w:r>
      <w:r>
        <w:rPr>
          <w:rFonts w:hint="eastAsia" w:ascii="宋体" w:hAnsi="宋体" w:eastAsia="宋体" w:cs="宋体"/>
          <w:color w:val="auto"/>
          <w:kern w:val="0"/>
          <w:sz w:val="24"/>
          <w:szCs w:val="24"/>
        </w:rPr>
        <w:t>知前</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表。</w:t>
      </w:r>
    </w:p>
    <w:p w14:paraId="254E8231">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bCs/>
          <w:color w:val="auto"/>
          <w:sz w:val="24"/>
          <w:szCs w:val="24"/>
        </w:rPr>
        <w:t>1.3.</w:t>
      </w:r>
      <w:r>
        <w:rPr>
          <w:rFonts w:hint="eastAsia" w:ascii="宋体" w:hAnsi="宋体" w:cs="宋体"/>
          <w:bCs/>
          <w:color w:val="auto"/>
          <w:sz w:val="24"/>
          <w:szCs w:val="24"/>
          <w:lang w:val="en-US" w:eastAsia="zh-CN"/>
        </w:rPr>
        <w:t>3</w:t>
      </w:r>
      <w:r>
        <w:rPr>
          <w:rFonts w:hint="eastAsia" w:ascii="宋体" w:hAnsi="宋体" w:eastAsia="宋体" w:cs="宋体"/>
          <w:color w:val="auto"/>
          <w:sz w:val="24"/>
          <w:szCs w:val="24"/>
        </w:rPr>
        <w:t>质量要求：</w:t>
      </w:r>
      <w:r>
        <w:rPr>
          <w:rFonts w:hint="eastAsia" w:ascii="宋体" w:hAnsi="宋体" w:eastAsia="宋体" w:cs="宋体"/>
          <w:color w:val="auto"/>
          <w:kern w:val="0"/>
          <w:sz w:val="24"/>
          <w:szCs w:val="24"/>
        </w:rPr>
        <w:t>见</w:t>
      </w:r>
      <w:r>
        <w:rPr>
          <w:rFonts w:hint="eastAsia" w:ascii="宋体" w:hAnsi="宋体" w:eastAsia="宋体" w:cs="宋体"/>
          <w:color w:val="auto"/>
          <w:spacing w:val="-2"/>
          <w:kern w:val="0"/>
          <w:sz w:val="24"/>
          <w:szCs w:val="24"/>
        </w:rPr>
        <w:t>投标供应商须</w:t>
      </w:r>
      <w:r>
        <w:rPr>
          <w:rFonts w:hint="eastAsia" w:ascii="宋体" w:hAnsi="宋体" w:eastAsia="宋体" w:cs="宋体"/>
          <w:color w:val="auto"/>
          <w:kern w:val="0"/>
          <w:sz w:val="24"/>
          <w:szCs w:val="24"/>
        </w:rPr>
        <w:t>知前</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表。</w:t>
      </w:r>
    </w:p>
    <w:p w14:paraId="1B845921">
      <w:pPr>
        <w:spacing w:line="360" w:lineRule="auto"/>
        <w:ind w:firstLine="480" w:firstLineChars="200"/>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 xml:space="preserve">1.3.4 </w:t>
      </w:r>
      <w:r>
        <w:rPr>
          <w:rFonts w:hint="eastAsia" w:ascii="宋体" w:hAnsi="宋体" w:eastAsia="宋体" w:cs="宋体"/>
          <w:color w:val="auto"/>
          <w:kern w:val="0"/>
          <w:sz w:val="24"/>
          <w:szCs w:val="24"/>
          <w:highlight w:val="none"/>
        </w:rPr>
        <w:t>合同履约期限</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见</w:t>
      </w:r>
      <w:r>
        <w:rPr>
          <w:rFonts w:hint="eastAsia" w:ascii="宋体" w:hAnsi="宋体" w:eastAsia="宋体" w:cs="宋体"/>
          <w:color w:val="auto"/>
          <w:spacing w:val="-2"/>
          <w:kern w:val="0"/>
          <w:sz w:val="24"/>
          <w:szCs w:val="24"/>
        </w:rPr>
        <w:t>投标供应商须</w:t>
      </w:r>
      <w:r>
        <w:rPr>
          <w:rFonts w:hint="eastAsia" w:ascii="宋体" w:hAnsi="宋体" w:eastAsia="宋体" w:cs="宋体"/>
          <w:color w:val="auto"/>
          <w:kern w:val="0"/>
          <w:sz w:val="24"/>
          <w:szCs w:val="24"/>
        </w:rPr>
        <w:t>知前</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表。</w:t>
      </w:r>
    </w:p>
    <w:p w14:paraId="52F052E0">
      <w:pPr>
        <w:spacing w:line="360" w:lineRule="auto"/>
        <w:ind w:firstLine="486" w:firstLineChars="200"/>
        <w:rPr>
          <w:rFonts w:hint="eastAsia" w:ascii="宋体" w:hAnsi="宋体" w:eastAsia="宋体" w:cs="宋体"/>
          <w:b/>
          <w:color w:val="auto"/>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kern w:val="0"/>
          <w:sz w:val="24"/>
          <w:szCs w:val="24"/>
        </w:rPr>
        <w:t>.4投标供应商</w:t>
      </w:r>
      <w:r>
        <w:rPr>
          <w:rFonts w:hint="eastAsia" w:ascii="宋体" w:hAnsi="宋体" w:eastAsia="宋体" w:cs="宋体"/>
          <w:b/>
          <w:color w:val="auto"/>
          <w:spacing w:val="-3"/>
          <w:kern w:val="0"/>
          <w:sz w:val="24"/>
          <w:szCs w:val="24"/>
        </w:rPr>
        <w:t>资</w:t>
      </w:r>
      <w:r>
        <w:rPr>
          <w:rFonts w:hint="eastAsia" w:ascii="宋体" w:hAnsi="宋体" w:eastAsia="宋体" w:cs="宋体"/>
          <w:b/>
          <w:color w:val="auto"/>
          <w:kern w:val="0"/>
          <w:sz w:val="24"/>
          <w:szCs w:val="24"/>
        </w:rPr>
        <w:t>格要求</w:t>
      </w:r>
    </w:p>
    <w:p w14:paraId="74BADCB6">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1.4.1投标供应商</w:t>
      </w:r>
      <w:r>
        <w:rPr>
          <w:rFonts w:hint="eastAsia" w:ascii="宋体" w:hAnsi="宋体" w:eastAsia="宋体" w:cs="宋体"/>
          <w:color w:val="auto"/>
          <w:spacing w:val="-2"/>
          <w:kern w:val="0"/>
          <w:sz w:val="24"/>
          <w:szCs w:val="24"/>
        </w:rPr>
        <w:t>应</w:t>
      </w:r>
      <w:r>
        <w:rPr>
          <w:rFonts w:hint="eastAsia" w:ascii="宋体" w:hAnsi="宋体" w:eastAsia="宋体" w:cs="宋体"/>
          <w:color w:val="auto"/>
          <w:kern w:val="0"/>
          <w:sz w:val="24"/>
          <w:szCs w:val="24"/>
        </w:rPr>
        <w:t>具</w:t>
      </w:r>
      <w:r>
        <w:rPr>
          <w:rFonts w:hint="eastAsia" w:ascii="宋体" w:hAnsi="宋体" w:eastAsia="宋体" w:cs="宋体"/>
          <w:color w:val="auto"/>
          <w:spacing w:val="-2"/>
          <w:kern w:val="0"/>
          <w:sz w:val="24"/>
          <w:szCs w:val="24"/>
        </w:rPr>
        <w:t>备</w:t>
      </w:r>
      <w:r>
        <w:rPr>
          <w:rFonts w:hint="eastAsia" w:ascii="宋体" w:hAnsi="宋体" w:eastAsia="宋体" w:cs="宋体"/>
          <w:color w:val="auto"/>
          <w:kern w:val="0"/>
          <w:sz w:val="24"/>
          <w:szCs w:val="24"/>
        </w:rPr>
        <w:t>承</w:t>
      </w:r>
      <w:r>
        <w:rPr>
          <w:rFonts w:hint="eastAsia" w:ascii="宋体" w:hAnsi="宋体" w:eastAsia="宋体" w:cs="宋体"/>
          <w:color w:val="auto"/>
          <w:spacing w:val="-2"/>
          <w:kern w:val="0"/>
          <w:sz w:val="24"/>
          <w:szCs w:val="24"/>
        </w:rPr>
        <w:t>担本</w:t>
      </w:r>
      <w:r>
        <w:rPr>
          <w:rFonts w:hint="eastAsia" w:ascii="宋体" w:hAnsi="宋体" w:cs="宋体"/>
          <w:color w:val="auto"/>
          <w:kern w:val="0"/>
          <w:sz w:val="24"/>
          <w:szCs w:val="24"/>
          <w:lang w:eastAsia="zh-CN"/>
        </w:rPr>
        <w:t>磋商</w:t>
      </w:r>
      <w:r>
        <w:rPr>
          <w:rFonts w:hint="eastAsia" w:ascii="宋体" w:hAnsi="宋体" w:eastAsia="宋体" w:cs="宋体"/>
          <w:color w:val="auto"/>
          <w:spacing w:val="-2"/>
          <w:kern w:val="0"/>
          <w:sz w:val="24"/>
          <w:szCs w:val="24"/>
        </w:rPr>
        <w:t>项</w:t>
      </w:r>
      <w:r>
        <w:rPr>
          <w:rFonts w:hint="eastAsia" w:ascii="宋体" w:hAnsi="宋体" w:eastAsia="宋体" w:cs="宋体"/>
          <w:color w:val="auto"/>
          <w:kern w:val="0"/>
          <w:sz w:val="24"/>
          <w:szCs w:val="24"/>
        </w:rPr>
        <w:t>目</w:t>
      </w:r>
      <w:r>
        <w:rPr>
          <w:rFonts w:hint="eastAsia" w:ascii="宋体" w:hAnsi="宋体" w:eastAsia="宋体" w:cs="宋体"/>
          <w:color w:val="auto"/>
          <w:spacing w:val="-2"/>
          <w:kern w:val="0"/>
          <w:sz w:val="24"/>
          <w:szCs w:val="24"/>
        </w:rPr>
        <w:t>资</w:t>
      </w:r>
      <w:r>
        <w:rPr>
          <w:rFonts w:hint="eastAsia" w:ascii="宋体" w:hAnsi="宋体" w:eastAsia="宋体" w:cs="宋体"/>
          <w:color w:val="auto"/>
          <w:kern w:val="0"/>
          <w:sz w:val="24"/>
          <w:szCs w:val="24"/>
        </w:rPr>
        <w:t>质</w:t>
      </w:r>
      <w:r>
        <w:rPr>
          <w:rFonts w:hint="eastAsia" w:ascii="宋体" w:hAnsi="宋体" w:eastAsia="宋体" w:cs="宋体"/>
          <w:color w:val="auto"/>
          <w:spacing w:val="-2"/>
          <w:kern w:val="0"/>
          <w:sz w:val="24"/>
          <w:szCs w:val="24"/>
        </w:rPr>
        <w:t>条</w:t>
      </w:r>
      <w:r>
        <w:rPr>
          <w:rFonts w:hint="eastAsia" w:ascii="宋体" w:hAnsi="宋体" w:eastAsia="宋体" w:cs="宋体"/>
          <w:color w:val="auto"/>
          <w:kern w:val="0"/>
          <w:sz w:val="24"/>
          <w:szCs w:val="24"/>
        </w:rPr>
        <w:t>件</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能</w:t>
      </w:r>
      <w:r>
        <w:rPr>
          <w:rFonts w:hint="eastAsia" w:ascii="宋体" w:hAnsi="宋体" w:eastAsia="宋体" w:cs="宋体"/>
          <w:color w:val="auto"/>
          <w:spacing w:val="-2"/>
          <w:kern w:val="0"/>
          <w:sz w:val="24"/>
          <w:szCs w:val="24"/>
        </w:rPr>
        <w:t>力</w:t>
      </w:r>
      <w:r>
        <w:rPr>
          <w:rFonts w:hint="eastAsia" w:ascii="宋体" w:hAnsi="宋体" w:eastAsia="宋体" w:cs="宋体"/>
          <w:color w:val="auto"/>
          <w:kern w:val="0"/>
          <w:sz w:val="24"/>
          <w:szCs w:val="24"/>
        </w:rPr>
        <w:t>和信</w:t>
      </w:r>
      <w:r>
        <w:rPr>
          <w:rFonts w:hint="eastAsia" w:ascii="宋体" w:hAnsi="宋体" w:eastAsia="宋体" w:cs="宋体"/>
          <w:color w:val="auto"/>
          <w:spacing w:val="-2"/>
          <w:kern w:val="0"/>
          <w:sz w:val="24"/>
          <w:szCs w:val="24"/>
        </w:rPr>
        <w:t>誉</w:t>
      </w:r>
      <w:r>
        <w:rPr>
          <w:rFonts w:hint="eastAsia" w:ascii="宋体" w:hAnsi="宋体" w:eastAsia="宋体" w:cs="宋体"/>
          <w:color w:val="auto"/>
          <w:kern w:val="0"/>
          <w:sz w:val="24"/>
          <w:szCs w:val="24"/>
        </w:rPr>
        <w:t>：</w:t>
      </w:r>
      <w:r>
        <w:rPr>
          <w:rFonts w:hint="eastAsia" w:ascii="宋体" w:hAnsi="宋体" w:eastAsia="宋体" w:cs="宋体"/>
          <w:color w:val="auto"/>
          <w:spacing w:val="1"/>
          <w:kern w:val="0"/>
          <w:sz w:val="24"/>
          <w:szCs w:val="24"/>
        </w:rPr>
        <w:t>见投标供应商须知前附表。</w:t>
      </w:r>
    </w:p>
    <w:p w14:paraId="394213FB">
      <w:pPr>
        <w:spacing w:line="360" w:lineRule="auto"/>
        <w:ind w:firstLine="480" w:firstLineChars="200"/>
        <w:rPr>
          <w:rFonts w:hint="eastAsia" w:ascii="宋体" w:hAnsi="宋体" w:eastAsia="宋体" w:cs="宋体"/>
          <w:color w:val="auto"/>
          <w:kern w:val="0"/>
          <w:position w:val="-1"/>
          <w:sz w:val="24"/>
          <w:szCs w:val="24"/>
        </w:rPr>
      </w:pPr>
      <w:r>
        <w:rPr>
          <w:rFonts w:hint="eastAsia" w:ascii="宋体" w:hAnsi="宋体" w:eastAsia="宋体" w:cs="宋体"/>
          <w:color w:val="auto"/>
          <w:kern w:val="0"/>
          <w:position w:val="-1"/>
          <w:sz w:val="24"/>
          <w:szCs w:val="24"/>
        </w:rPr>
        <w:t>1.4.2</w:t>
      </w:r>
      <w:r>
        <w:rPr>
          <w:rFonts w:hint="eastAsia" w:ascii="宋体" w:hAnsi="宋体" w:eastAsia="宋体" w:cs="宋体"/>
          <w:color w:val="auto"/>
          <w:spacing w:val="-2"/>
          <w:kern w:val="0"/>
          <w:position w:val="-1"/>
          <w:sz w:val="24"/>
          <w:szCs w:val="24"/>
        </w:rPr>
        <w:t>本项目</w:t>
      </w:r>
      <w:r>
        <w:rPr>
          <w:rFonts w:hint="eastAsia" w:ascii="宋体" w:hAnsi="宋体" w:cs="宋体"/>
          <w:color w:val="auto"/>
          <w:spacing w:val="-2"/>
          <w:kern w:val="0"/>
          <w:position w:val="-1"/>
          <w:sz w:val="24"/>
          <w:szCs w:val="24"/>
          <w:lang w:val="en-US" w:eastAsia="zh-CN"/>
        </w:rPr>
        <w:t>不</w:t>
      </w:r>
      <w:r>
        <w:rPr>
          <w:rFonts w:hint="eastAsia" w:ascii="宋体" w:hAnsi="宋体" w:eastAsia="宋体" w:cs="宋体"/>
          <w:color w:val="auto"/>
          <w:kern w:val="0"/>
          <w:position w:val="-1"/>
          <w:sz w:val="24"/>
          <w:szCs w:val="24"/>
        </w:rPr>
        <w:t>接</w:t>
      </w:r>
      <w:r>
        <w:rPr>
          <w:rFonts w:hint="eastAsia" w:ascii="宋体" w:hAnsi="宋体" w:eastAsia="宋体" w:cs="宋体"/>
          <w:color w:val="auto"/>
          <w:spacing w:val="-2"/>
          <w:kern w:val="0"/>
          <w:position w:val="-1"/>
          <w:sz w:val="24"/>
          <w:szCs w:val="24"/>
        </w:rPr>
        <w:t>受</w:t>
      </w:r>
      <w:r>
        <w:rPr>
          <w:rFonts w:hint="eastAsia" w:ascii="宋体" w:hAnsi="宋体" w:eastAsia="宋体" w:cs="宋体"/>
          <w:color w:val="auto"/>
          <w:kern w:val="0"/>
          <w:position w:val="-1"/>
          <w:sz w:val="24"/>
          <w:szCs w:val="24"/>
        </w:rPr>
        <w:t>联</w:t>
      </w:r>
      <w:r>
        <w:rPr>
          <w:rFonts w:hint="eastAsia" w:ascii="宋体" w:hAnsi="宋体" w:eastAsia="宋体" w:cs="宋体"/>
          <w:color w:val="auto"/>
          <w:spacing w:val="-2"/>
          <w:kern w:val="0"/>
          <w:position w:val="-1"/>
          <w:sz w:val="24"/>
          <w:szCs w:val="24"/>
        </w:rPr>
        <w:t>合</w:t>
      </w:r>
      <w:r>
        <w:rPr>
          <w:rFonts w:hint="eastAsia" w:ascii="宋体" w:hAnsi="宋体" w:eastAsia="宋体" w:cs="宋体"/>
          <w:color w:val="auto"/>
          <w:kern w:val="0"/>
          <w:position w:val="-1"/>
          <w:sz w:val="24"/>
          <w:szCs w:val="24"/>
        </w:rPr>
        <w:t>体</w:t>
      </w:r>
      <w:r>
        <w:rPr>
          <w:rFonts w:hint="eastAsia" w:ascii="宋体" w:hAnsi="宋体" w:eastAsia="宋体" w:cs="宋体"/>
          <w:color w:val="auto"/>
          <w:spacing w:val="-2"/>
          <w:kern w:val="0"/>
          <w:position w:val="-1"/>
          <w:sz w:val="24"/>
          <w:szCs w:val="24"/>
        </w:rPr>
        <w:t>投</w:t>
      </w:r>
      <w:r>
        <w:rPr>
          <w:rFonts w:hint="eastAsia" w:ascii="宋体" w:hAnsi="宋体" w:eastAsia="宋体" w:cs="宋体"/>
          <w:color w:val="auto"/>
          <w:kern w:val="0"/>
          <w:position w:val="-1"/>
          <w:sz w:val="24"/>
          <w:szCs w:val="24"/>
        </w:rPr>
        <w:t>标。</w:t>
      </w:r>
    </w:p>
    <w:p w14:paraId="13D75BA5">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1.4.3投标供应商</w:t>
      </w:r>
      <w:r>
        <w:rPr>
          <w:rFonts w:hint="eastAsia" w:ascii="宋体" w:hAnsi="宋体" w:eastAsia="宋体" w:cs="宋体"/>
          <w:color w:val="auto"/>
          <w:spacing w:val="-2"/>
          <w:kern w:val="0"/>
          <w:sz w:val="24"/>
          <w:szCs w:val="24"/>
        </w:rPr>
        <w:t>不</w:t>
      </w:r>
      <w:r>
        <w:rPr>
          <w:rFonts w:hint="eastAsia" w:ascii="宋体" w:hAnsi="宋体" w:eastAsia="宋体" w:cs="宋体"/>
          <w:color w:val="auto"/>
          <w:kern w:val="0"/>
          <w:sz w:val="24"/>
          <w:szCs w:val="24"/>
        </w:rPr>
        <w:t>得</w:t>
      </w:r>
      <w:r>
        <w:rPr>
          <w:rFonts w:hint="eastAsia" w:ascii="宋体" w:hAnsi="宋体" w:eastAsia="宋体" w:cs="宋体"/>
          <w:color w:val="auto"/>
          <w:spacing w:val="-2"/>
          <w:kern w:val="0"/>
          <w:sz w:val="24"/>
          <w:szCs w:val="24"/>
        </w:rPr>
        <w:t>存</w:t>
      </w:r>
      <w:r>
        <w:rPr>
          <w:rFonts w:hint="eastAsia" w:ascii="宋体" w:hAnsi="宋体" w:eastAsia="宋体" w:cs="宋体"/>
          <w:color w:val="auto"/>
          <w:kern w:val="0"/>
          <w:sz w:val="24"/>
          <w:szCs w:val="24"/>
        </w:rPr>
        <w:t>在</w:t>
      </w:r>
      <w:r>
        <w:rPr>
          <w:rFonts w:hint="eastAsia" w:ascii="宋体" w:hAnsi="宋体" w:eastAsia="宋体" w:cs="宋体"/>
          <w:color w:val="auto"/>
          <w:spacing w:val="-2"/>
          <w:kern w:val="0"/>
          <w:sz w:val="24"/>
          <w:szCs w:val="24"/>
        </w:rPr>
        <w:t>下列</w:t>
      </w:r>
      <w:r>
        <w:rPr>
          <w:rFonts w:hint="eastAsia" w:ascii="宋体" w:hAnsi="宋体" w:eastAsia="宋体" w:cs="宋体"/>
          <w:color w:val="auto"/>
          <w:kern w:val="0"/>
          <w:sz w:val="24"/>
          <w:szCs w:val="24"/>
        </w:rPr>
        <w:t>情形</w:t>
      </w:r>
      <w:r>
        <w:rPr>
          <w:rFonts w:hint="eastAsia" w:ascii="宋体" w:hAnsi="宋体" w:eastAsia="宋体" w:cs="宋体"/>
          <w:color w:val="auto"/>
          <w:spacing w:val="-2"/>
          <w:kern w:val="0"/>
          <w:sz w:val="24"/>
          <w:szCs w:val="24"/>
        </w:rPr>
        <w:t>之</w:t>
      </w:r>
      <w:r>
        <w:rPr>
          <w:rFonts w:hint="eastAsia" w:ascii="宋体" w:hAnsi="宋体" w:eastAsia="宋体" w:cs="宋体"/>
          <w:color w:val="auto"/>
          <w:kern w:val="0"/>
          <w:sz w:val="24"/>
          <w:szCs w:val="24"/>
        </w:rPr>
        <w:t>一：</w:t>
      </w:r>
    </w:p>
    <w:p w14:paraId="2352B646">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与</w:t>
      </w:r>
      <w:r>
        <w:rPr>
          <w:rFonts w:hint="eastAsia" w:ascii="宋体" w:hAnsi="宋体" w:eastAsia="宋体" w:cs="宋体"/>
          <w:color w:val="auto"/>
          <w:spacing w:val="-2"/>
          <w:kern w:val="0"/>
          <w:sz w:val="24"/>
          <w:szCs w:val="24"/>
        </w:rPr>
        <w:t>采购人</w:t>
      </w:r>
      <w:r>
        <w:rPr>
          <w:rFonts w:hint="eastAsia" w:ascii="宋体" w:hAnsi="宋体" w:eastAsia="宋体" w:cs="宋体"/>
          <w:color w:val="auto"/>
          <w:kern w:val="0"/>
          <w:sz w:val="24"/>
          <w:szCs w:val="24"/>
        </w:rPr>
        <w:t>存</w:t>
      </w:r>
      <w:r>
        <w:rPr>
          <w:rFonts w:hint="eastAsia" w:ascii="宋体" w:hAnsi="宋体" w:eastAsia="宋体" w:cs="宋体"/>
          <w:color w:val="auto"/>
          <w:spacing w:val="-2"/>
          <w:kern w:val="0"/>
          <w:sz w:val="24"/>
          <w:szCs w:val="24"/>
        </w:rPr>
        <w:t>在</w:t>
      </w:r>
      <w:r>
        <w:rPr>
          <w:rFonts w:hint="eastAsia" w:ascii="宋体" w:hAnsi="宋体" w:eastAsia="宋体" w:cs="宋体"/>
          <w:color w:val="auto"/>
          <w:kern w:val="0"/>
          <w:sz w:val="24"/>
          <w:szCs w:val="24"/>
        </w:rPr>
        <w:t>利</w:t>
      </w:r>
      <w:r>
        <w:rPr>
          <w:rFonts w:hint="eastAsia" w:ascii="宋体" w:hAnsi="宋体" w:eastAsia="宋体" w:cs="宋体"/>
          <w:color w:val="auto"/>
          <w:spacing w:val="-2"/>
          <w:kern w:val="0"/>
          <w:sz w:val="24"/>
          <w:szCs w:val="24"/>
        </w:rPr>
        <w:t>害关</w:t>
      </w:r>
      <w:r>
        <w:rPr>
          <w:rFonts w:hint="eastAsia" w:ascii="宋体" w:hAnsi="宋体" w:eastAsia="宋体" w:cs="宋体"/>
          <w:color w:val="auto"/>
          <w:kern w:val="0"/>
          <w:sz w:val="24"/>
          <w:szCs w:val="24"/>
        </w:rPr>
        <w:t>系且</w:t>
      </w:r>
      <w:r>
        <w:rPr>
          <w:rFonts w:hint="eastAsia" w:ascii="宋体" w:hAnsi="宋体" w:eastAsia="宋体" w:cs="宋体"/>
          <w:color w:val="auto"/>
          <w:spacing w:val="-2"/>
          <w:kern w:val="0"/>
          <w:sz w:val="24"/>
          <w:szCs w:val="24"/>
        </w:rPr>
        <w:t>可</w:t>
      </w:r>
      <w:r>
        <w:rPr>
          <w:rFonts w:hint="eastAsia" w:ascii="宋体" w:hAnsi="宋体" w:eastAsia="宋体" w:cs="宋体"/>
          <w:color w:val="auto"/>
          <w:kern w:val="0"/>
          <w:sz w:val="24"/>
          <w:szCs w:val="24"/>
        </w:rPr>
        <w:t>能</w:t>
      </w:r>
      <w:r>
        <w:rPr>
          <w:rFonts w:hint="eastAsia" w:ascii="宋体" w:hAnsi="宋体" w:eastAsia="宋体" w:cs="宋体"/>
          <w:color w:val="auto"/>
          <w:spacing w:val="-2"/>
          <w:kern w:val="0"/>
          <w:sz w:val="24"/>
          <w:szCs w:val="24"/>
        </w:rPr>
        <w:t>影</w:t>
      </w:r>
      <w:r>
        <w:rPr>
          <w:rFonts w:hint="eastAsia" w:ascii="宋体" w:hAnsi="宋体" w:eastAsia="宋体" w:cs="宋体"/>
          <w:color w:val="auto"/>
          <w:kern w:val="0"/>
          <w:sz w:val="24"/>
          <w:szCs w:val="24"/>
        </w:rPr>
        <w:t>响</w:t>
      </w:r>
      <w:r>
        <w:rPr>
          <w:rFonts w:hint="eastAsia" w:ascii="宋体" w:hAnsi="宋体" w:cs="宋体"/>
          <w:color w:val="auto"/>
          <w:spacing w:val="-2"/>
          <w:kern w:val="0"/>
          <w:sz w:val="24"/>
          <w:szCs w:val="24"/>
          <w:lang w:eastAsia="zh-CN"/>
        </w:rPr>
        <w:t>磋商</w:t>
      </w:r>
      <w:r>
        <w:rPr>
          <w:rFonts w:hint="eastAsia" w:ascii="宋体" w:hAnsi="宋体" w:eastAsia="宋体" w:cs="宋体"/>
          <w:color w:val="auto"/>
          <w:spacing w:val="-2"/>
          <w:kern w:val="0"/>
          <w:sz w:val="24"/>
          <w:szCs w:val="24"/>
        </w:rPr>
        <w:t>公</w:t>
      </w:r>
      <w:r>
        <w:rPr>
          <w:rFonts w:hint="eastAsia" w:ascii="宋体" w:hAnsi="宋体" w:eastAsia="宋体" w:cs="宋体"/>
          <w:color w:val="auto"/>
          <w:kern w:val="0"/>
          <w:sz w:val="24"/>
          <w:szCs w:val="24"/>
        </w:rPr>
        <w:t>正</w:t>
      </w:r>
      <w:r>
        <w:rPr>
          <w:rFonts w:hint="eastAsia" w:ascii="宋体" w:hAnsi="宋体" w:eastAsia="宋体" w:cs="宋体"/>
          <w:color w:val="auto"/>
          <w:spacing w:val="-2"/>
          <w:kern w:val="0"/>
          <w:sz w:val="24"/>
          <w:szCs w:val="24"/>
        </w:rPr>
        <w:t>性</w:t>
      </w:r>
      <w:r>
        <w:rPr>
          <w:rFonts w:hint="eastAsia" w:ascii="宋体" w:hAnsi="宋体" w:eastAsia="宋体" w:cs="宋体"/>
          <w:color w:val="auto"/>
          <w:kern w:val="0"/>
          <w:sz w:val="24"/>
          <w:szCs w:val="24"/>
        </w:rPr>
        <w:t>；</w:t>
      </w:r>
    </w:p>
    <w:p w14:paraId="5DDDA9D1">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与本</w:t>
      </w:r>
      <w:r>
        <w:rPr>
          <w:rFonts w:hint="eastAsia" w:ascii="宋体" w:hAnsi="宋体" w:cs="宋体"/>
          <w:color w:val="auto"/>
          <w:kern w:val="0"/>
          <w:sz w:val="24"/>
          <w:szCs w:val="24"/>
          <w:lang w:eastAsia="zh-CN"/>
        </w:rPr>
        <w:t>磋商</w:t>
      </w:r>
      <w:r>
        <w:rPr>
          <w:rFonts w:hint="eastAsia" w:ascii="宋体" w:hAnsi="宋体" w:eastAsia="宋体" w:cs="宋体"/>
          <w:color w:val="auto"/>
          <w:kern w:val="0"/>
          <w:sz w:val="24"/>
          <w:szCs w:val="24"/>
        </w:rPr>
        <w:t>项目的其他投标供应商的单位负责人为同一人；</w:t>
      </w:r>
    </w:p>
    <w:p w14:paraId="39F61314">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与本</w:t>
      </w:r>
      <w:r>
        <w:rPr>
          <w:rFonts w:hint="eastAsia" w:ascii="宋体" w:hAnsi="宋体" w:cs="宋体"/>
          <w:color w:val="auto"/>
          <w:kern w:val="0"/>
          <w:sz w:val="24"/>
          <w:szCs w:val="24"/>
          <w:lang w:eastAsia="zh-CN"/>
        </w:rPr>
        <w:t>磋商</w:t>
      </w:r>
      <w:r>
        <w:rPr>
          <w:rFonts w:hint="eastAsia" w:ascii="宋体" w:hAnsi="宋体" w:eastAsia="宋体" w:cs="宋体"/>
          <w:color w:val="auto"/>
          <w:kern w:val="0"/>
          <w:sz w:val="24"/>
          <w:szCs w:val="24"/>
        </w:rPr>
        <w:t>项目的其他投标供应商存在直接控股、管理关系；</w:t>
      </w:r>
    </w:p>
    <w:p w14:paraId="40EF16ED">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spacing w:val="-7"/>
          <w:kern w:val="0"/>
          <w:sz w:val="24"/>
          <w:szCs w:val="24"/>
        </w:rPr>
        <w:t>4</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被</w:t>
      </w:r>
      <w:r>
        <w:rPr>
          <w:rFonts w:hint="eastAsia" w:ascii="宋体" w:hAnsi="宋体" w:eastAsia="宋体" w:cs="宋体"/>
          <w:color w:val="auto"/>
          <w:kern w:val="0"/>
          <w:sz w:val="24"/>
          <w:szCs w:val="24"/>
        </w:rPr>
        <w:t>依</w:t>
      </w:r>
      <w:r>
        <w:rPr>
          <w:rFonts w:hint="eastAsia" w:ascii="宋体" w:hAnsi="宋体" w:eastAsia="宋体" w:cs="宋体"/>
          <w:color w:val="auto"/>
          <w:spacing w:val="-2"/>
          <w:kern w:val="0"/>
          <w:sz w:val="24"/>
          <w:szCs w:val="24"/>
        </w:rPr>
        <w:t>法</w:t>
      </w:r>
      <w:r>
        <w:rPr>
          <w:rFonts w:hint="eastAsia" w:ascii="宋体" w:hAnsi="宋体" w:eastAsia="宋体" w:cs="宋体"/>
          <w:color w:val="auto"/>
          <w:kern w:val="0"/>
          <w:sz w:val="24"/>
          <w:szCs w:val="24"/>
        </w:rPr>
        <w:t>暂</w:t>
      </w:r>
      <w:r>
        <w:rPr>
          <w:rFonts w:hint="eastAsia" w:ascii="宋体" w:hAnsi="宋体" w:eastAsia="宋体" w:cs="宋体"/>
          <w:color w:val="auto"/>
          <w:spacing w:val="-2"/>
          <w:kern w:val="0"/>
          <w:sz w:val="24"/>
          <w:szCs w:val="24"/>
        </w:rPr>
        <w:t>停</w:t>
      </w:r>
      <w:r>
        <w:rPr>
          <w:rFonts w:hint="eastAsia" w:ascii="宋体" w:hAnsi="宋体" w:eastAsia="宋体" w:cs="宋体"/>
          <w:color w:val="auto"/>
          <w:kern w:val="0"/>
          <w:sz w:val="24"/>
          <w:szCs w:val="24"/>
        </w:rPr>
        <w:t>或</w:t>
      </w:r>
      <w:r>
        <w:rPr>
          <w:rFonts w:hint="eastAsia" w:ascii="宋体" w:hAnsi="宋体" w:eastAsia="宋体" w:cs="宋体"/>
          <w:color w:val="auto"/>
          <w:spacing w:val="-2"/>
          <w:kern w:val="0"/>
          <w:sz w:val="24"/>
          <w:szCs w:val="24"/>
        </w:rPr>
        <w:t>者取</w:t>
      </w:r>
      <w:r>
        <w:rPr>
          <w:rFonts w:hint="eastAsia" w:ascii="宋体" w:hAnsi="宋体" w:eastAsia="宋体" w:cs="宋体"/>
          <w:color w:val="auto"/>
          <w:kern w:val="0"/>
          <w:sz w:val="24"/>
          <w:szCs w:val="24"/>
        </w:rPr>
        <w:t>消投</w:t>
      </w:r>
      <w:r>
        <w:rPr>
          <w:rFonts w:hint="eastAsia" w:ascii="宋体" w:hAnsi="宋体" w:eastAsia="宋体" w:cs="宋体"/>
          <w:color w:val="auto"/>
          <w:spacing w:val="-2"/>
          <w:kern w:val="0"/>
          <w:sz w:val="24"/>
          <w:szCs w:val="24"/>
        </w:rPr>
        <w:t>标</w:t>
      </w:r>
      <w:r>
        <w:rPr>
          <w:rFonts w:hint="eastAsia" w:ascii="宋体" w:hAnsi="宋体" w:eastAsia="宋体" w:cs="宋体"/>
          <w:color w:val="auto"/>
          <w:kern w:val="0"/>
          <w:sz w:val="24"/>
          <w:szCs w:val="24"/>
        </w:rPr>
        <w:t>资</w:t>
      </w:r>
      <w:r>
        <w:rPr>
          <w:rFonts w:hint="eastAsia" w:ascii="宋体" w:hAnsi="宋体" w:eastAsia="宋体" w:cs="宋体"/>
          <w:color w:val="auto"/>
          <w:spacing w:val="-2"/>
          <w:kern w:val="0"/>
          <w:sz w:val="24"/>
          <w:szCs w:val="24"/>
        </w:rPr>
        <w:t>格</w:t>
      </w:r>
      <w:r>
        <w:rPr>
          <w:rFonts w:hint="eastAsia" w:ascii="宋体" w:hAnsi="宋体" w:eastAsia="宋体" w:cs="宋体"/>
          <w:color w:val="auto"/>
          <w:kern w:val="0"/>
          <w:sz w:val="24"/>
          <w:szCs w:val="24"/>
        </w:rPr>
        <w:t>；</w:t>
      </w:r>
    </w:p>
    <w:p w14:paraId="11540A04">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被</w:t>
      </w:r>
      <w:r>
        <w:rPr>
          <w:rFonts w:hint="eastAsia" w:ascii="宋体" w:hAnsi="宋体" w:eastAsia="宋体" w:cs="宋体"/>
          <w:color w:val="auto"/>
          <w:spacing w:val="-2"/>
          <w:kern w:val="0"/>
          <w:sz w:val="24"/>
          <w:szCs w:val="24"/>
        </w:rPr>
        <w:t>责</w:t>
      </w:r>
      <w:r>
        <w:rPr>
          <w:rFonts w:hint="eastAsia" w:ascii="宋体" w:hAnsi="宋体" w:eastAsia="宋体" w:cs="宋体"/>
          <w:color w:val="auto"/>
          <w:kern w:val="0"/>
          <w:sz w:val="24"/>
          <w:szCs w:val="24"/>
        </w:rPr>
        <w:t>令</w:t>
      </w:r>
      <w:r>
        <w:rPr>
          <w:rFonts w:hint="eastAsia" w:ascii="宋体" w:hAnsi="宋体" w:eastAsia="宋体" w:cs="宋体"/>
          <w:color w:val="auto"/>
          <w:spacing w:val="-2"/>
          <w:kern w:val="0"/>
          <w:sz w:val="24"/>
          <w:szCs w:val="24"/>
        </w:rPr>
        <w:t>停</w:t>
      </w:r>
      <w:r>
        <w:rPr>
          <w:rFonts w:hint="eastAsia" w:ascii="宋体" w:hAnsi="宋体" w:eastAsia="宋体" w:cs="宋体"/>
          <w:color w:val="auto"/>
          <w:kern w:val="0"/>
          <w:sz w:val="24"/>
          <w:szCs w:val="24"/>
        </w:rPr>
        <w:t>产</w:t>
      </w:r>
      <w:r>
        <w:rPr>
          <w:rFonts w:hint="eastAsia" w:ascii="宋体" w:hAnsi="宋体" w:eastAsia="宋体" w:cs="宋体"/>
          <w:color w:val="auto"/>
          <w:spacing w:val="-2"/>
          <w:kern w:val="0"/>
          <w:sz w:val="24"/>
          <w:szCs w:val="24"/>
        </w:rPr>
        <w:t>停</w:t>
      </w:r>
      <w:r>
        <w:rPr>
          <w:rFonts w:hint="eastAsia" w:ascii="宋体" w:hAnsi="宋体" w:eastAsia="宋体" w:cs="宋体"/>
          <w:color w:val="auto"/>
          <w:kern w:val="0"/>
          <w:sz w:val="24"/>
          <w:szCs w:val="24"/>
        </w:rPr>
        <w:t>业</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暂扣</w:t>
      </w:r>
      <w:r>
        <w:rPr>
          <w:rFonts w:hint="eastAsia" w:ascii="宋体" w:hAnsi="宋体" w:eastAsia="宋体" w:cs="宋体"/>
          <w:color w:val="auto"/>
          <w:spacing w:val="-2"/>
          <w:kern w:val="0"/>
          <w:sz w:val="24"/>
          <w:szCs w:val="24"/>
        </w:rPr>
        <w:t>或</w:t>
      </w:r>
      <w:r>
        <w:rPr>
          <w:rFonts w:hint="eastAsia" w:ascii="宋体" w:hAnsi="宋体" w:eastAsia="宋体" w:cs="宋体"/>
          <w:color w:val="auto"/>
          <w:kern w:val="0"/>
          <w:sz w:val="24"/>
          <w:szCs w:val="24"/>
        </w:rPr>
        <w:t>者</w:t>
      </w:r>
      <w:r>
        <w:rPr>
          <w:rFonts w:hint="eastAsia" w:ascii="宋体" w:hAnsi="宋体" w:eastAsia="宋体" w:cs="宋体"/>
          <w:color w:val="auto"/>
          <w:spacing w:val="-2"/>
          <w:kern w:val="0"/>
          <w:sz w:val="24"/>
          <w:szCs w:val="24"/>
        </w:rPr>
        <w:t>吊</w:t>
      </w:r>
      <w:r>
        <w:rPr>
          <w:rFonts w:hint="eastAsia" w:ascii="宋体" w:hAnsi="宋体" w:eastAsia="宋体" w:cs="宋体"/>
          <w:color w:val="auto"/>
          <w:kern w:val="0"/>
          <w:sz w:val="24"/>
          <w:szCs w:val="24"/>
        </w:rPr>
        <w:t>销</w:t>
      </w:r>
      <w:r>
        <w:rPr>
          <w:rFonts w:hint="eastAsia" w:ascii="宋体" w:hAnsi="宋体" w:eastAsia="宋体" w:cs="宋体"/>
          <w:color w:val="auto"/>
          <w:spacing w:val="-2"/>
          <w:kern w:val="0"/>
          <w:sz w:val="24"/>
          <w:szCs w:val="24"/>
        </w:rPr>
        <w:t>许</w:t>
      </w:r>
      <w:r>
        <w:rPr>
          <w:rFonts w:hint="eastAsia" w:ascii="宋体" w:hAnsi="宋体" w:eastAsia="宋体" w:cs="宋体"/>
          <w:color w:val="auto"/>
          <w:kern w:val="0"/>
          <w:sz w:val="24"/>
          <w:szCs w:val="24"/>
        </w:rPr>
        <w:t>可</w:t>
      </w:r>
      <w:r>
        <w:rPr>
          <w:rFonts w:hint="eastAsia" w:ascii="宋体" w:hAnsi="宋体" w:eastAsia="宋体" w:cs="宋体"/>
          <w:color w:val="auto"/>
          <w:spacing w:val="-2"/>
          <w:kern w:val="0"/>
          <w:sz w:val="24"/>
          <w:szCs w:val="24"/>
        </w:rPr>
        <w:t>证</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暂</w:t>
      </w:r>
      <w:r>
        <w:rPr>
          <w:rFonts w:hint="eastAsia" w:ascii="宋体" w:hAnsi="宋体" w:eastAsia="宋体" w:cs="宋体"/>
          <w:color w:val="auto"/>
          <w:kern w:val="0"/>
          <w:sz w:val="24"/>
          <w:szCs w:val="24"/>
        </w:rPr>
        <w:t>扣或</w:t>
      </w:r>
      <w:r>
        <w:rPr>
          <w:rFonts w:hint="eastAsia" w:ascii="宋体" w:hAnsi="宋体" w:eastAsia="宋体" w:cs="宋体"/>
          <w:color w:val="auto"/>
          <w:spacing w:val="-2"/>
          <w:kern w:val="0"/>
          <w:sz w:val="24"/>
          <w:szCs w:val="24"/>
        </w:rPr>
        <w:t>者</w:t>
      </w:r>
      <w:r>
        <w:rPr>
          <w:rFonts w:hint="eastAsia" w:ascii="宋体" w:hAnsi="宋体" w:eastAsia="宋体" w:cs="宋体"/>
          <w:color w:val="auto"/>
          <w:kern w:val="0"/>
          <w:sz w:val="24"/>
          <w:szCs w:val="24"/>
        </w:rPr>
        <w:t>吊</w:t>
      </w:r>
      <w:r>
        <w:rPr>
          <w:rFonts w:hint="eastAsia" w:ascii="宋体" w:hAnsi="宋体" w:eastAsia="宋体" w:cs="宋体"/>
          <w:color w:val="auto"/>
          <w:spacing w:val="-2"/>
          <w:kern w:val="0"/>
          <w:sz w:val="24"/>
          <w:szCs w:val="24"/>
        </w:rPr>
        <w:t>销</w:t>
      </w:r>
      <w:r>
        <w:rPr>
          <w:rFonts w:hint="eastAsia" w:ascii="宋体" w:hAnsi="宋体" w:eastAsia="宋体" w:cs="宋体"/>
          <w:color w:val="auto"/>
          <w:kern w:val="0"/>
          <w:sz w:val="24"/>
          <w:szCs w:val="24"/>
        </w:rPr>
        <w:t>执</w:t>
      </w:r>
      <w:r>
        <w:rPr>
          <w:rFonts w:hint="eastAsia" w:ascii="宋体" w:hAnsi="宋体" w:eastAsia="宋体" w:cs="宋体"/>
          <w:color w:val="auto"/>
          <w:spacing w:val="-2"/>
          <w:kern w:val="0"/>
          <w:sz w:val="24"/>
          <w:szCs w:val="24"/>
        </w:rPr>
        <w:t>照</w:t>
      </w:r>
      <w:r>
        <w:rPr>
          <w:rFonts w:hint="eastAsia" w:ascii="宋体" w:hAnsi="宋体" w:eastAsia="宋体" w:cs="宋体"/>
          <w:color w:val="auto"/>
          <w:kern w:val="0"/>
          <w:sz w:val="24"/>
          <w:szCs w:val="24"/>
        </w:rPr>
        <w:t>；</w:t>
      </w:r>
    </w:p>
    <w:p w14:paraId="0C44D012">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进</w:t>
      </w:r>
      <w:r>
        <w:rPr>
          <w:rFonts w:hint="eastAsia" w:ascii="宋体" w:hAnsi="宋体" w:eastAsia="宋体" w:cs="宋体"/>
          <w:color w:val="auto"/>
          <w:spacing w:val="-2"/>
          <w:kern w:val="0"/>
          <w:sz w:val="24"/>
          <w:szCs w:val="24"/>
        </w:rPr>
        <w:t>入</w:t>
      </w:r>
      <w:r>
        <w:rPr>
          <w:rFonts w:hint="eastAsia" w:ascii="宋体" w:hAnsi="宋体" w:eastAsia="宋体" w:cs="宋体"/>
          <w:color w:val="auto"/>
          <w:kern w:val="0"/>
          <w:sz w:val="24"/>
          <w:szCs w:val="24"/>
        </w:rPr>
        <w:t>清</w:t>
      </w:r>
      <w:r>
        <w:rPr>
          <w:rFonts w:hint="eastAsia" w:ascii="宋体" w:hAnsi="宋体" w:eastAsia="宋体" w:cs="宋体"/>
          <w:color w:val="auto"/>
          <w:spacing w:val="-2"/>
          <w:kern w:val="0"/>
          <w:sz w:val="24"/>
          <w:szCs w:val="24"/>
        </w:rPr>
        <w:t>算</w:t>
      </w:r>
      <w:r>
        <w:rPr>
          <w:rFonts w:hint="eastAsia" w:ascii="宋体" w:hAnsi="宋体" w:eastAsia="宋体" w:cs="宋体"/>
          <w:color w:val="auto"/>
          <w:kern w:val="0"/>
          <w:sz w:val="24"/>
          <w:szCs w:val="24"/>
        </w:rPr>
        <w:t>程</w:t>
      </w:r>
      <w:r>
        <w:rPr>
          <w:rFonts w:hint="eastAsia" w:ascii="宋体" w:hAnsi="宋体" w:eastAsia="宋体" w:cs="宋体"/>
          <w:color w:val="auto"/>
          <w:spacing w:val="-2"/>
          <w:kern w:val="0"/>
          <w:sz w:val="24"/>
          <w:szCs w:val="24"/>
        </w:rPr>
        <w:t>序</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或</w:t>
      </w:r>
      <w:r>
        <w:rPr>
          <w:rFonts w:hint="eastAsia" w:ascii="宋体" w:hAnsi="宋体" w:eastAsia="宋体" w:cs="宋体"/>
          <w:color w:val="auto"/>
          <w:kern w:val="0"/>
          <w:sz w:val="24"/>
          <w:szCs w:val="24"/>
        </w:rPr>
        <w:t>被宣</w:t>
      </w:r>
      <w:r>
        <w:rPr>
          <w:rFonts w:hint="eastAsia" w:ascii="宋体" w:hAnsi="宋体" w:eastAsia="宋体" w:cs="宋体"/>
          <w:color w:val="auto"/>
          <w:spacing w:val="-2"/>
          <w:kern w:val="0"/>
          <w:sz w:val="24"/>
          <w:szCs w:val="24"/>
        </w:rPr>
        <w:t>告</w:t>
      </w:r>
      <w:r>
        <w:rPr>
          <w:rFonts w:hint="eastAsia" w:ascii="宋体" w:hAnsi="宋体" w:eastAsia="宋体" w:cs="宋体"/>
          <w:color w:val="auto"/>
          <w:kern w:val="0"/>
          <w:sz w:val="24"/>
          <w:szCs w:val="24"/>
        </w:rPr>
        <w:t>破</w:t>
      </w:r>
      <w:r>
        <w:rPr>
          <w:rFonts w:hint="eastAsia" w:ascii="宋体" w:hAnsi="宋体" w:eastAsia="宋体" w:cs="宋体"/>
          <w:color w:val="auto"/>
          <w:spacing w:val="-2"/>
          <w:kern w:val="0"/>
          <w:sz w:val="24"/>
          <w:szCs w:val="24"/>
        </w:rPr>
        <w:t>产</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或</w:t>
      </w:r>
      <w:r>
        <w:rPr>
          <w:rFonts w:hint="eastAsia" w:ascii="宋体" w:hAnsi="宋体" w:eastAsia="宋体" w:cs="宋体"/>
          <w:color w:val="auto"/>
          <w:kern w:val="0"/>
          <w:sz w:val="24"/>
          <w:szCs w:val="24"/>
        </w:rPr>
        <w:t>其</w:t>
      </w:r>
      <w:r>
        <w:rPr>
          <w:rFonts w:hint="eastAsia" w:ascii="宋体" w:hAnsi="宋体" w:eastAsia="宋体" w:cs="宋体"/>
          <w:color w:val="auto"/>
          <w:spacing w:val="-2"/>
          <w:kern w:val="0"/>
          <w:sz w:val="24"/>
          <w:szCs w:val="24"/>
        </w:rPr>
        <w:t>他</w:t>
      </w:r>
      <w:r>
        <w:rPr>
          <w:rFonts w:hint="eastAsia" w:ascii="宋体" w:hAnsi="宋体" w:eastAsia="宋体" w:cs="宋体"/>
          <w:color w:val="auto"/>
          <w:kern w:val="0"/>
          <w:sz w:val="24"/>
          <w:szCs w:val="24"/>
        </w:rPr>
        <w:t>丧</w:t>
      </w:r>
      <w:r>
        <w:rPr>
          <w:rFonts w:hint="eastAsia" w:ascii="宋体" w:hAnsi="宋体" w:eastAsia="宋体" w:cs="宋体"/>
          <w:color w:val="auto"/>
          <w:spacing w:val="-2"/>
          <w:kern w:val="0"/>
          <w:sz w:val="24"/>
          <w:szCs w:val="24"/>
        </w:rPr>
        <w:t>失</w:t>
      </w:r>
      <w:r>
        <w:rPr>
          <w:rFonts w:hint="eastAsia" w:ascii="宋体" w:hAnsi="宋体" w:eastAsia="宋体" w:cs="宋体"/>
          <w:color w:val="auto"/>
          <w:kern w:val="0"/>
          <w:sz w:val="24"/>
          <w:szCs w:val="24"/>
        </w:rPr>
        <w:t>履约</w:t>
      </w:r>
      <w:r>
        <w:rPr>
          <w:rFonts w:hint="eastAsia" w:ascii="宋体" w:hAnsi="宋体" w:eastAsia="宋体" w:cs="宋体"/>
          <w:color w:val="auto"/>
          <w:spacing w:val="-2"/>
          <w:kern w:val="0"/>
          <w:sz w:val="24"/>
          <w:szCs w:val="24"/>
        </w:rPr>
        <w:t>能</w:t>
      </w:r>
      <w:r>
        <w:rPr>
          <w:rFonts w:hint="eastAsia" w:ascii="宋体" w:hAnsi="宋体" w:eastAsia="宋体" w:cs="宋体"/>
          <w:color w:val="auto"/>
          <w:kern w:val="0"/>
          <w:sz w:val="24"/>
          <w:szCs w:val="24"/>
        </w:rPr>
        <w:t>力</w:t>
      </w:r>
      <w:r>
        <w:rPr>
          <w:rFonts w:hint="eastAsia" w:ascii="宋体" w:hAnsi="宋体" w:eastAsia="宋体" w:cs="宋体"/>
          <w:color w:val="auto"/>
          <w:spacing w:val="-2"/>
          <w:kern w:val="0"/>
          <w:sz w:val="24"/>
          <w:szCs w:val="24"/>
        </w:rPr>
        <w:t>的</w:t>
      </w:r>
      <w:r>
        <w:rPr>
          <w:rFonts w:hint="eastAsia" w:ascii="宋体" w:hAnsi="宋体" w:eastAsia="宋体" w:cs="宋体"/>
          <w:color w:val="auto"/>
          <w:kern w:val="0"/>
          <w:sz w:val="24"/>
          <w:szCs w:val="24"/>
        </w:rPr>
        <w:t>情</w:t>
      </w:r>
      <w:r>
        <w:rPr>
          <w:rFonts w:hint="eastAsia" w:ascii="宋体" w:hAnsi="宋体" w:eastAsia="宋体" w:cs="宋体"/>
          <w:color w:val="auto"/>
          <w:spacing w:val="-2"/>
          <w:kern w:val="0"/>
          <w:sz w:val="24"/>
          <w:szCs w:val="24"/>
        </w:rPr>
        <w:t>形</w:t>
      </w:r>
      <w:r>
        <w:rPr>
          <w:rFonts w:hint="eastAsia" w:ascii="宋体" w:hAnsi="宋体" w:eastAsia="宋体" w:cs="宋体"/>
          <w:color w:val="auto"/>
          <w:kern w:val="0"/>
          <w:sz w:val="24"/>
          <w:szCs w:val="24"/>
        </w:rPr>
        <w:t>；</w:t>
      </w:r>
    </w:p>
    <w:p w14:paraId="30D14823">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（7）在最近三年</w:t>
      </w:r>
      <w:r>
        <w:rPr>
          <w:rFonts w:hint="eastAsia" w:ascii="宋体" w:hAnsi="宋体" w:eastAsia="宋体" w:cs="宋体"/>
          <w:color w:val="auto"/>
          <w:spacing w:val="-2"/>
          <w:kern w:val="0"/>
          <w:sz w:val="24"/>
          <w:szCs w:val="24"/>
        </w:rPr>
        <w:t>内严重违约、</w:t>
      </w:r>
      <w:r>
        <w:rPr>
          <w:rFonts w:hint="eastAsia" w:ascii="宋体" w:hAnsi="宋体" w:eastAsia="宋体" w:cs="宋体"/>
          <w:color w:val="auto"/>
          <w:kern w:val="0"/>
          <w:sz w:val="24"/>
          <w:szCs w:val="24"/>
        </w:rPr>
        <w:t>发</w:t>
      </w:r>
      <w:r>
        <w:rPr>
          <w:rFonts w:hint="eastAsia" w:ascii="宋体" w:hAnsi="宋体" w:eastAsia="宋体" w:cs="宋体"/>
          <w:color w:val="auto"/>
          <w:spacing w:val="-2"/>
          <w:kern w:val="0"/>
          <w:sz w:val="24"/>
          <w:szCs w:val="24"/>
        </w:rPr>
        <w:t>生</w:t>
      </w:r>
      <w:r>
        <w:rPr>
          <w:rFonts w:hint="eastAsia" w:ascii="宋体" w:hAnsi="宋体" w:eastAsia="宋体" w:cs="宋体"/>
          <w:color w:val="auto"/>
          <w:kern w:val="0"/>
          <w:sz w:val="24"/>
          <w:szCs w:val="24"/>
        </w:rPr>
        <w:t>重大</w:t>
      </w:r>
      <w:r>
        <w:rPr>
          <w:rFonts w:hint="eastAsia" w:ascii="宋体" w:hAnsi="宋体" w:eastAsia="宋体" w:cs="宋体"/>
          <w:color w:val="auto"/>
          <w:kern w:val="0"/>
          <w:sz w:val="24"/>
          <w:szCs w:val="24"/>
          <w:lang w:eastAsia="zh-CN"/>
        </w:rPr>
        <w:t>服务</w:t>
      </w:r>
      <w:r>
        <w:rPr>
          <w:rFonts w:hint="eastAsia" w:ascii="宋体" w:hAnsi="宋体" w:eastAsia="宋体" w:cs="宋体"/>
          <w:color w:val="auto"/>
          <w:kern w:val="0"/>
          <w:sz w:val="24"/>
          <w:szCs w:val="24"/>
        </w:rPr>
        <w:t>质量问题</w:t>
      </w:r>
      <w:r>
        <w:rPr>
          <w:rFonts w:hint="eastAsia" w:ascii="宋体" w:hAnsi="宋体" w:eastAsia="宋体" w:cs="宋体"/>
          <w:color w:val="auto"/>
          <w:spacing w:val="-2"/>
          <w:kern w:val="0"/>
          <w:sz w:val="24"/>
          <w:szCs w:val="24"/>
        </w:rPr>
        <w:t>的。</w:t>
      </w:r>
    </w:p>
    <w:p w14:paraId="2EAF19EC">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rPr>
      </w:pPr>
      <w:r>
        <w:rPr>
          <w:rFonts w:hint="eastAsia" w:ascii="宋体" w:hAnsi="宋体" w:eastAsia="宋体" w:cs="宋体"/>
          <w:b/>
          <w:color w:val="auto"/>
          <w:spacing w:val="1"/>
          <w:kern w:val="0"/>
          <w:position w:val="-1"/>
          <w:sz w:val="24"/>
          <w:szCs w:val="24"/>
        </w:rPr>
        <w:t>1</w:t>
      </w:r>
      <w:r>
        <w:rPr>
          <w:rFonts w:hint="eastAsia" w:ascii="宋体" w:hAnsi="宋体" w:eastAsia="宋体" w:cs="宋体"/>
          <w:b/>
          <w:color w:val="auto"/>
          <w:kern w:val="0"/>
          <w:position w:val="-1"/>
          <w:sz w:val="24"/>
          <w:szCs w:val="24"/>
        </w:rPr>
        <w:t>.5费用承担</w:t>
      </w:r>
    </w:p>
    <w:p w14:paraId="2582B68F">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投标供应商准</w:t>
      </w:r>
      <w:r>
        <w:rPr>
          <w:rFonts w:hint="eastAsia" w:ascii="宋体" w:hAnsi="宋体" w:eastAsia="宋体" w:cs="宋体"/>
          <w:color w:val="auto"/>
          <w:spacing w:val="-2"/>
          <w:kern w:val="0"/>
          <w:sz w:val="24"/>
          <w:szCs w:val="24"/>
        </w:rPr>
        <w:t>备</w:t>
      </w:r>
      <w:r>
        <w:rPr>
          <w:rFonts w:hint="eastAsia" w:ascii="宋体" w:hAnsi="宋体" w:eastAsia="宋体" w:cs="宋体"/>
          <w:color w:val="auto"/>
          <w:kern w:val="0"/>
          <w:sz w:val="24"/>
          <w:szCs w:val="24"/>
        </w:rPr>
        <w:t>和</w:t>
      </w:r>
      <w:r>
        <w:rPr>
          <w:rFonts w:hint="eastAsia" w:ascii="宋体" w:hAnsi="宋体" w:eastAsia="宋体" w:cs="宋体"/>
          <w:color w:val="auto"/>
          <w:spacing w:val="-2"/>
          <w:kern w:val="0"/>
          <w:sz w:val="24"/>
          <w:szCs w:val="24"/>
        </w:rPr>
        <w:t>参</w:t>
      </w:r>
      <w:r>
        <w:rPr>
          <w:rFonts w:hint="eastAsia" w:ascii="宋体" w:hAnsi="宋体" w:eastAsia="宋体" w:cs="宋体"/>
          <w:color w:val="auto"/>
          <w:kern w:val="0"/>
          <w:sz w:val="24"/>
          <w:szCs w:val="24"/>
        </w:rPr>
        <w:t>加</w:t>
      </w:r>
      <w:r>
        <w:rPr>
          <w:rFonts w:hint="eastAsia" w:ascii="宋体" w:hAnsi="宋体" w:eastAsia="宋体" w:cs="宋体"/>
          <w:color w:val="auto"/>
          <w:spacing w:val="-2"/>
          <w:kern w:val="0"/>
          <w:sz w:val="24"/>
          <w:szCs w:val="24"/>
        </w:rPr>
        <w:t>投</w:t>
      </w:r>
      <w:r>
        <w:rPr>
          <w:rFonts w:hint="eastAsia" w:ascii="宋体" w:hAnsi="宋体" w:eastAsia="宋体" w:cs="宋体"/>
          <w:color w:val="auto"/>
          <w:kern w:val="0"/>
          <w:sz w:val="24"/>
          <w:szCs w:val="24"/>
        </w:rPr>
        <w:t>标</w:t>
      </w:r>
      <w:r>
        <w:rPr>
          <w:rFonts w:hint="eastAsia" w:ascii="宋体" w:hAnsi="宋体" w:eastAsia="宋体" w:cs="宋体"/>
          <w:color w:val="auto"/>
          <w:spacing w:val="-2"/>
          <w:kern w:val="0"/>
          <w:sz w:val="24"/>
          <w:szCs w:val="24"/>
        </w:rPr>
        <w:t>活</w:t>
      </w:r>
      <w:r>
        <w:rPr>
          <w:rFonts w:hint="eastAsia" w:ascii="宋体" w:hAnsi="宋体" w:eastAsia="宋体" w:cs="宋体"/>
          <w:color w:val="auto"/>
          <w:kern w:val="0"/>
          <w:sz w:val="24"/>
          <w:szCs w:val="24"/>
        </w:rPr>
        <w:t>动发</w:t>
      </w:r>
      <w:r>
        <w:rPr>
          <w:rFonts w:hint="eastAsia" w:ascii="宋体" w:hAnsi="宋体" w:eastAsia="宋体" w:cs="宋体"/>
          <w:color w:val="auto"/>
          <w:spacing w:val="-2"/>
          <w:kern w:val="0"/>
          <w:sz w:val="24"/>
          <w:szCs w:val="24"/>
        </w:rPr>
        <w:t>生</w:t>
      </w:r>
      <w:r>
        <w:rPr>
          <w:rFonts w:hint="eastAsia" w:ascii="宋体" w:hAnsi="宋体" w:eastAsia="宋体" w:cs="宋体"/>
          <w:color w:val="auto"/>
          <w:kern w:val="0"/>
          <w:sz w:val="24"/>
          <w:szCs w:val="24"/>
        </w:rPr>
        <w:t>的</w:t>
      </w:r>
      <w:r>
        <w:rPr>
          <w:rFonts w:hint="eastAsia" w:ascii="宋体" w:hAnsi="宋体" w:eastAsia="宋体" w:cs="宋体"/>
          <w:color w:val="auto"/>
          <w:spacing w:val="-2"/>
          <w:kern w:val="0"/>
          <w:sz w:val="24"/>
          <w:szCs w:val="24"/>
        </w:rPr>
        <w:t>费</w:t>
      </w:r>
      <w:r>
        <w:rPr>
          <w:rFonts w:hint="eastAsia" w:ascii="宋体" w:hAnsi="宋体" w:eastAsia="宋体" w:cs="宋体"/>
          <w:color w:val="auto"/>
          <w:kern w:val="0"/>
          <w:sz w:val="24"/>
          <w:szCs w:val="24"/>
        </w:rPr>
        <w:t>用</w:t>
      </w:r>
      <w:r>
        <w:rPr>
          <w:rFonts w:hint="eastAsia" w:ascii="宋体" w:hAnsi="宋体" w:eastAsia="宋体" w:cs="宋体"/>
          <w:color w:val="auto"/>
          <w:spacing w:val="-2"/>
          <w:kern w:val="0"/>
          <w:sz w:val="24"/>
          <w:szCs w:val="24"/>
        </w:rPr>
        <w:t>自</w:t>
      </w:r>
      <w:r>
        <w:rPr>
          <w:rFonts w:hint="eastAsia" w:ascii="宋体" w:hAnsi="宋体" w:eastAsia="宋体" w:cs="宋体"/>
          <w:color w:val="auto"/>
          <w:kern w:val="0"/>
          <w:sz w:val="24"/>
          <w:szCs w:val="24"/>
        </w:rPr>
        <w:t>理。</w:t>
      </w:r>
    </w:p>
    <w:p w14:paraId="7FF25AF6">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kern w:val="0"/>
          <w:sz w:val="24"/>
          <w:szCs w:val="24"/>
        </w:rPr>
        <w:t>.6保密</w:t>
      </w:r>
    </w:p>
    <w:p w14:paraId="59C1ECF1">
      <w:pPr>
        <w:autoSpaceDE w:val="0"/>
        <w:autoSpaceDN w:val="0"/>
        <w:adjustRightInd w:val="0"/>
        <w:spacing w:line="360" w:lineRule="auto"/>
        <w:ind w:right="143"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参与</w:t>
      </w:r>
      <w:r>
        <w:rPr>
          <w:rFonts w:hint="eastAsia" w:ascii="宋体" w:hAnsi="宋体" w:cs="宋体"/>
          <w:color w:val="auto"/>
          <w:kern w:val="0"/>
          <w:sz w:val="24"/>
          <w:szCs w:val="24"/>
          <w:lang w:eastAsia="zh-CN"/>
        </w:rPr>
        <w:t>磋商</w:t>
      </w:r>
      <w:r>
        <w:rPr>
          <w:rFonts w:hint="eastAsia" w:ascii="宋体" w:hAnsi="宋体" w:eastAsia="宋体" w:cs="宋体"/>
          <w:color w:val="auto"/>
          <w:kern w:val="0"/>
          <w:sz w:val="24"/>
          <w:szCs w:val="24"/>
        </w:rPr>
        <w:t>投标活动的各方应对</w:t>
      </w:r>
      <w:r>
        <w:rPr>
          <w:rFonts w:hint="eastAsia" w:ascii="宋体" w:hAnsi="宋体" w:eastAsia="宋体" w:cs="宋体"/>
          <w:color w:val="auto"/>
          <w:kern w:val="0"/>
          <w:sz w:val="24"/>
          <w:szCs w:val="24"/>
          <w:lang w:val="en-US" w:eastAsia="zh-CN"/>
        </w:rPr>
        <w:t>竞争性磋商文件</w:t>
      </w:r>
      <w:r>
        <w:rPr>
          <w:rFonts w:hint="eastAsia" w:ascii="宋体" w:hAnsi="宋体" w:eastAsia="宋体" w:cs="宋体"/>
          <w:color w:val="auto"/>
          <w:kern w:val="0"/>
          <w:sz w:val="24"/>
          <w:szCs w:val="24"/>
        </w:rPr>
        <w:t>和</w:t>
      </w:r>
      <w:r>
        <w:rPr>
          <w:rFonts w:hint="eastAsia" w:ascii="宋体" w:hAnsi="宋体" w:eastAsia="宋体" w:cs="宋体"/>
          <w:color w:val="auto"/>
          <w:kern w:val="0"/>
          <w:sz w:val="24"/>
          <w:szCs w:val="24"/>
          <w:lang w:val="en-US" w:eastAsia="zh-CN"/>
        </w:rPr>
        <w:t>响应文件</w:t>
      </w:r>
      <w:r>
        <w:rPr>
          <w:rFonts w:hint="eastAsia" w:ascii="宋体" w:hAnsi="宋体" w:eastAsia="宋体" w:cs="宋体"/>
          <w:color w:val="auto"/>
          <w:kern w:val="0"/>
          <w:sz w:val="24"/>
          <w:szCs w:val="24"/>
        </w:rPr>
        <w:t>中的商业和技术等秘密保密，否则应承担相</w:t>
      </w:r>
      <w:r>
        <w:rPr>
          <w:rFonts w:hint="eastAsia" w:ascii="宋体" w:hAnsi="宋体" w:eastAsia="宋体" w:cs="宋体"/>
          <w:color w:val="auto"/>
          <w:spacing w:val="-2"/>
          <w:kern w:val="0"/>
          <w:sz w:val="24"/>
          <w:szCs w:val="24"/>
        </w:rPr>
        <w:t>应</w:t>
      </w:r>
      <w:r>
        <w:rPr>
          <w:rFonts w:hint="eastAsia" w:ascii="宋体" w:hAnsi="宋体" w:eastAsia="宋体" w:cs="宋体"/>
          <w:color w:val="auto"/>
          <w:kern w:val="0"/>
          <w:sz w:val="24"/>
          <w:szCs w:val="24"/>
        </w:rPr>
        <w:t>的</w:t>
      </w:r>
      <w:r>
        <w:rPr>
          <w:rFonts w:hint="eastAsia" w:ascii="宋体" w:hAnsi="宋体" w:eastAsia="宋体" w:cs="宋体"/>
          <w:color w:val="auto"/>
          <w:spacing w:val="-2"/>
          <w:kern w:val="0"/>
          <w:sz w:val="24"/>
          <w:szCs w:val="24"/>
        </w:rPr>
        <w:t>法</w:t>
      </w:r>
      <w:r>
        <w:rPr>
          <w:rFonts w:hint="eastAsia" w:ascii="宋体" w:hAnsi="宋体" w:eastAsia="宋体" w:cs="宋体"/>
          <w:color w:val="auto"/>
          <w:kern w:val="0"/>
          <w:sz w:val="24"/>
          <w:szCs w:val="24"/>
        </w:rPr>
        <w:t>律</w:t>
      </w:r>
      <w:r>
        <w:rPr>
          <w:rFonts w:hint="eastAsia" w:ascii="宋体" w:hAnsi="宋体" w:eastAsia="宋体" w:cs="宋体"/>
          <w:color w:val="auto"/>
          <w:spacing w:val="-2"/>
          <w:kern w:val="0"/>
          <w:sz w:val="24"/>
          <w:szCs w:val="24"/>
        </w:rPr>
        <w:t>责</w:t>
      </w:r>
      <w:r>
        <w:rPr>
          <w:rFonts w:hint="eastAsia" w:ascii="宋体" w:hAnsi="宋体" w:eastAsia="宋体" w:cs="宋体"/>
          <w:color w:val="auto"/>
          <w:kern w:val="0"/>
          <w:sz w:val="24"/>
          <w:szCs w:val="24"/>
        </w:rPr>
        <w:t>任。</w:t>
      </w:r>
    </w:p>
    <w:p w14:paraId="3ABCCF7B">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spacing w:val="-1"/>
          <w:kern w:val="0"/>
          <w:sz w:val="24"/>
          <w:szCs w:val="24"/>
        </w:rPr>
        <w:t>.</w:t>
      </w:r>
      <w:r>
        <w:rPr>
          <w:rFonts w:hint="eastAsia" w:ascii="宋体" w:hAnsi="宋体" w:eastAsia="宋体" w:cs="宋体"/>
          <w:b/>
          <w:color w:val="auto"/>
          <w:kern w:val="0"/>
          <w:sz w:val="24"/>
          <w:szCs w:val="24"/>
        </w:rPr>
        <w:t>7语言文字</w:t>
      </w:r>
    </w:p>
    <w:p w14:paraId="280A4FD3">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竞争性磋商文件</w:t>
      </w:r>
      <w:r>
        <w:rPr>
          <w:rFonts w:hint="eastAsia" w:ascii="宋体" w:hAnsi="宋体" w:eastAsia="宋体" w:cs="宋体"/>
          <w:color w:val="auto"/>
          <w:kern w:val="0"/>
          <w:sz w:val="24"/>
          <w:szCs w:val="24"/>
          <w:highlight w:val="none"/>
          <w:lang w:eastAsia="zh-CN"/>
        </w:rPr>
        <w:t>及响应文件</w:t>
      </w:r>
      <w:r>
        <w:rPr>
          <w:rFonts w:hint="eastAsia" w:ascii="宋体" w:hAnsi="宋体" w:eastAsia="宋体" w:cs="宋体"/>
          <w:color w:val="auto"/>
          <w:spacing w:val="-2"/>
          <w:kern w:val="0"/>
          <w:sz w:val="24"/>
          <w:szCs w:val="24"/>
        </w:rPr>
        <w:t>使</w:t>
      </w:r>
      <w:r>
        <w:rPr>
          <w:rFonts w:hint="eastAsia" w:ascii="宋体" w:hAnsi="宋体" w:eastAsia="宋体" w:cs="宋体"/>
          <w:color w:val="auto"/>
          <w:kern w:val="0"/>
          <w:sz w:val="24"/>
          <w:szCs w:val="24"/>
        </w:rPr>
        <w:t>用</w:t>
      </w:r>
      <w:r>
        <w:rPr>
          <w:rFonts w:hint="eastAsia" w:ascii="宋体" w:hAnsi="宋体" w:eastAsia="宋体" w:cs="宋体"/>
          <w:color w:val="auto"/>
          <w:spacing w:val="-2"/>
          <w:kern w:val="0"/>
          <w:sz w:val="24"/>
          <w:szCs w:val="24"/>
        </w:rPr>
        <w:t>的</w:t>
      </w:r>
      <w:r>
        <w:rPr>
          <w:rFonts w:hint="eastAsia" w:ascii="宋体" w:hAnsi="宋体" w:eastAsia="宋体" w:cs="宋体"/>
          <w:color w:val="auto"/>
          <w:kern w:val="0"/>
          <w:sz w:val="24"/>
          <w:szCs w:val="24"/>
        </w:rPr>
        <w:t>语</w:t>
      </w:r>
      <w:r>
        <w:rPr>
          <w:rFonts w:hint="eastAsia" w:ascii="宋体" w:hAnsi="宋体" w:eastAsia="宋体" w:cs="宋体"/>
          <w:color w:val="auto"/>
          <w:spacing w:val="-2"/>
          <w:kern w:val="0"/>
          <w:sz w:val="24"/>
          <w:szCs w:val="24"/>
        </w:rPr>
        <w:t>言</w:t>
      </w:r>
      <w:r>
        <w:rPr>
          <w:rFonts w:hint="eastAsia" w:ascii="宋体" w:hAnsi="宋体" w:eastAsia="宋体" w:cs="宋体"/>
          <w:color w:val="auto"/>
          <w:kern w:val="0"/>
          <w:sz w:val="24"/>
          <w:szCs w:val="24"/>
        </w:rPr>
        <w:t>文字</w:t>
      </w:r>
      <w:r>
        <w:rPr>
          <w:rFonts w:hint="eastAsia" w:ascii="宋体" w:hAnsi="宋体" w:eastAsia="宋体" w:cs="宋体"/>
          <w:color w:val="auto"/>
          <w:spacing w:val="-2"/>
          <w:kern w:val="0"/>
          <w:sz w:val="24"/>
          <w:szCs w:val="24"/>
        </w:rPr>
        <w:t>为</w:t>
      </w:r>
      <w:r>
        <w:rPr>
          <w:rFonts w:hint="eastAsia" w:ascii="宋体" w:hAnsi="宋体" w:eastAsia="宋体" w:cs="宋体"/>
          <w:color w:val="auto"/>
          <w:kern w:val="0"/>
          <w:sz w:val="24"/>
          <w:szCs w:val="24"/>
        </w:rPr>
        <w:t>中</w:t>
      </w:r>
      <w:r>
        <w:rPr>
          <w:rFonts w:hint="eastAsia" w:ascii="宋体" w:hAnsi="宋体" w:eastAsia="宋体" w:cs="宋体"/>
          <w:color w:val="auto"/>
          <w:spacing w:val="-2"/>
          <w:kern w:val="0"/>
          <w:sz w:val="24"/>
          <w:szCs w:val="24"/>
        </w:rPr>
        <w:t>文</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专</w:t>
      </w:r>
      <w:r>
        <w:rPr>
          <w:rFonts w:hint="eastAsia" w:ascii="宋体" w:hAnsi="宋体" w:eastAsia="宋体" w:cs="宋体"/>
          <w:color w:val="auto"/>
          <w:kern w:val="0"/>
          <w:sz w:val="24"/>
          <w:szCs w:val="24"/>
        </w:rPr>
        <w:t>用</w:t>
      </w:r>
      <w:r>
        <w:rPr>
          <w:rFonts w:hint="eastAsia" w:ascii="宋体" w:hAnsi="宋体" w:eastAsia="宋体" w:cs="宋体"/>
          <w:color w:val="auto"/>
          <w:spacing w:val="-2"/>
          <w:kern w:val="0"/>
          <w:sz w:val="24"/>
          <w:szCs w:val="24"/>
        </w:rPr>
        <w:t>术</w:t>
      </w:r>
      <w:r>
        <w:rPr>
          <w:rFonts w:hint="eastAsia" w:ascii="宋体" w:hAnsi="宋体" w:eastAsia="宋体" w:cs="宋体"/>
          <w:color w:val="auto"/>
          <w:kern w:val="0"/>
          <w:sz w:val="24"/>
          <w:szCs w:val="24"/>
        </w:rPr>
        <w:t>语</w:t>
      </w:r>
      <w:r>
        <w:rPr>
          <w:rFonts w:hint="eastAsia" w:ascii="宋体" w:hAnsi="宋体" w:eastAsia="宋体" w:cs="宋体"/>
          <w:color w:val="auto"/>
          <w:spacing w:val="-2"/>
          <w:kern w:val="0"/>
          <w:sz w:val="24"/>
          <w:szCs w:val="24"/>
        </w:rPr>
        <w:t>使</w:t>
      </w:r>
      <w:r>
        <w:rPr>
          <w:rFonts w:hint="eastAsia" w:ascii="宋体" w:hAnsi="宋体" w:eastAsia="宋体" w:cs="宋体"/>
          <w:color w:val="auto"/>
          <w:kern w:val="0"/>
          <w:sz w:val="24"/>
          <w:szCs w:val="24"/>
        </w:rPr>
        <w:t>用外</w:t>
      </w:r>
      <w:r>
        <w:rPr>
          <w:rFonts w:hint="eastAsia" w:ascii="宋体" w:hAnsi="宋体" w:eastAsia="宋体" w:cs="宋体"/>
          <w:color w:val="auto"/>
          <w:spacing w:val="-2"/>
          <w:kern w:val="0"/>
          <w:sz w:val="24"/>
          <w:szCs w:val="24"/>
        </w:rPr>
        <w:t>文</w:t>
      </w:r>
      <w:r>
        <w:rPr>
          <w:rFonts w:hint="eastAsia" w:ascii="宋体" w:hAnsi="宋体" w:eastAsia="宋体" w:cs="宋体"/>
          <w:color w:val="auto"/>
          <w:kern w:val="0"/>
          <w:sz w:val="24"/>
          <w:szCs w:val="24"/>
        </w:rPr>
        <w:t>的</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应</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有</w:t>
      </w:r>
      <w:r>
        <w:rPr>
          <w:rFonts w:hint="eastAsia" w:ascii="宋体" w:hAnsi="宋体" w:eastAsia="宋体" w:cs="宋体"/>
          <w:color w:val="auto"/>
          <w:spacing w:val="-2"/>
          <w:kern w:val="0"/>
          <w:sz w:val="24"/>
          <w:szCs w:val="24"/>
        </w:rPr>
        <w:t>中</w:t>
      </w:r>
      <w:r>
        <w:rPr>
          <w:rFonts w:hint="eastAsia" w:ascii="宋体" w:hAnsi="宋体" w:eastAsia="宋体" w:cs="宋体"/>
          <w:color w:val="auto"/>
          <w:kern w:val="0"/>
          <w:sz w:val="24"/>
          <w:szCs w:val="24"/>
        </w:rPr>
        <w:t>文</w:t>
      </w:r>
      <w:r>
        <w:rPr>
          <w:rFonts w:hint="eastAsia" w:ascii="宋体" w:hAnsi="宋体" w:eastAsia="宋体" w:cs="宋体"/>
          <w:color w:val="auto"/>
          <w:spacing w:val="-2"/>
          <w:kern w:val="0"/>
          <w:sz w:val="24"/>
          <w:szCs w:val="24"/>
        </w:rPr>
        <w:t>注</w:t>
      </w:r>
      <w:r>
        <w:rPr>
          <w:rFonts w:hint="eastAsia" w:ascii="宋体" w:hAnsi="宋体" w:eastAsia="宋体" w:cs="宋体"/>
          <w:color w:val="auto"/>
          <w:kern w:val="0"/>
          <w:sz w:val="24"/>
          <w:szCs w:val="24"/>
        </w:rPr>
        <w:t>释。</w:t>
      </w:r>
    </w:p>
    <w:p w14:paraId="72B45DF3">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spacing w:val="-1"/>
          <w:kern w:val="0"/>
          <w:sz w:val="24"/>
          <w:szCs w:val="24"/>
        </w:rPr>
        <w:t>.</w:t>
      </w:r>
      <w:r>
        <w:rPr>
          <w:rFonts w:hint="eastAsia" w:ascii="宋体" w:hAnsi="宋体" w:eastAsia="宋体" w:cs="宋体"/>
          <w:b/>
          <w:color w:val="auto"/>
          <w:kern w:val="0"/>
          <w:sz w:val="24"/>
          <w:szCs w:val="24"/>
        </w:rPr>
        <w:t>8计量单位</w:t>
      </w:r>
    </w:p>
    <w:p w14:paraId="162BCF6D">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所有</w:t>
      </w:r>
      <w:r>
        <w:rPr>
          <w:rFonts w:hint="eastAsia" w:ascii="宋体" w:hAnsi="宋体" w:eastAsia="宋体" w:cs="宋体"/>
          <w:color w:val="auto"/>
          <w:spacing w:val="-2"/>
          <w:kern w:val="0"/>
          <w:sz w:val="24"/>
          <w:szCs w:val="24"/>
        </w:rPr>
        <w:t>计</w:t>
      </w:r>
      <w:r>
        <w:rPr>
          <w:rFonts w:hint="eastAsia" w:ascii="宋体" w:hAnsi="宋体" w:eastAsia="宋体" w:cs="宋体"/>
          <w:color w:val="auto"/>
          <w:kern w:val="0"/>
          <w:sz w:val="24"/>
          <w:szCs w:val="24"/>
        </w:rPr>
        <w:t>量</w:t>
      </w:r>
      <w:r>
        <w:rPr>
          <w:rFonts w:hint="eastAsia" w:ascii="宋体" w:hAnsi="宋体" w:eastAsia="宋体" w:cs="宋体"/>
          <w:color w:val="auto"/>
          <w:spacing w:val="-2"/>
          <w:kern w:val="0"/>
          <w:sz w:val="24"/>
          <w:szCs w:val="24"/>
        </w:rPr>
        <w:t>均</w:t>
      </w:r>
      <w:r>
        <w:rPr>
          <w:rFonts w:hint="eastAsia" w:ascii="宋体" w:hAnsi="宋体" w:eastAsia="宋体" w:cs="宋体"/>
          <w:color w:val="auto"/>
          <w:kern w:val="0"/>
          <w:sz w:val="24"/>
          <w:szCs w:val="24"/>
        </w:rPr>
        <w:t>采</w:t>
      </w:r>
      <w:r>
        <w:rPr>
          <w:rFonts w:hint="eastAsia" w:ascii="宋体" w:hAnsi="宋体" w:eastAsia="宋体" w:cs="宋体"/>
          <w:color w:val="auto"/>
          <w:spacing w:val="-2"/>
          <w:kern w:val="0"/>
          <w:sz w:val="24"/>
          <w:szCs w:val="24"/>
        </w:rPr>
        <w:t>用</w:t>
      </w:r>
      <w:r>
        <w:rPr>
          <w:rFonts w:hint="eastAsia" w:ascii="宋体" w:hAnsi="宋体" w:eastAsia="宋体" w:cs="宋体"/>
          <w:color w:val="auto"/>
          <w:kern w:val="0"/>
          <w:sz w:val="24"/>
          <w:szCs w:val="24"/>
        </w:rPr>
        <w:t>中</w:t>
      </w:r>
      <w:r>
        <w:rPr>
          <w:rFonts w:hint="eastAsia" w:ascii="宋体" w:hAnsi="宋体" w:eastAsia="宋体" w:cs="宋体"/>
          <w:color w:val="auto"/>
          <w:spacing w:val="-2"/>
          <w:kern w:val="0"/>
          <w:sz w:val="24"/>
          <w:szCs w:val="24"/>
        </w:rPr>
        <w:t>华</w:t>
      </w:r>
      <w:r>
        <w:rPr>
          <w:rFonts w:hint="eastAsia" w:ascii="宋体" w:hAnsi="宋体" w:eastAsia="宋体" w:cs="宋体"/>
          <w:color w:val="auto"/>
          <w:kern w:val="0"/>
          <w:sz w:val="24"/>
          <w:szCs w:val="24"/>
        </w:rPr>
        <w:t>人</w:t>
      </w:r>
      <w:r>
        <w:rPr>
          <w:rFonts w:hint="eastAsia" w:ascii="宋体" w:hAnsi="宋体" w:eastAsia="宋体" w:cs="宋体"/>
          <w:color w:val="auto"/>
          <w:spacing w:val="-2"/>
          <w:kern w:val="0"/>
          <w:sz w:val="24"/>
          <w:szCs w:val="24"/>
        </w:rPr>
        <w:t>民</w:t>
      </w:r>
      <w:r>
        <w:rPr>
          <w:rFonts w:hint="eastAsia" w:ascii="宋体" w:hAnsi="宋体" w:eastAsia="宋体" w:cs="宋体"/>
          <w:color w:val="auto"/>
          <w:kern w:val="0"/>
          <w:sz w:val="24"/>
          <w:szCs w:val="24"/>
        </w:rPr>
        <w:t>共和</w:t>
      </w:r>
      <w:r>
        <w:rPr>
          <w:rFonts w:hint="eastAsia" w:ascii="宋体" w:hAnsi="宋体" w:eastAsia="宋体" w:cs="宋体"/>
          <w:color w:val="auto"/>
          <w:spacing w:val="-2"/>
          <w:kern w:val="0"/>
          <w:sz w:val="24"/>
          <w:szCs w:val="24"/>
        </w:rPr>
        <w:t>国</w:t>
      </w:r>
      <w:r>
        <w:rPr>
          <w:rFonts w:hint="eastAsia" w:ascii="宋体" w:hAnsi="宋体" w:eastAsia="宋体" w:cs="宋体"/>
          <w:color w:val="auto"/>
          <w:kern w:val="0"/>
          <w:sz w:val="24"/>
          <w:szCs w:val="24"/>
        </w:rPr>
        <w:t>法</w:t>
      </w:r>
      <w:r>
        <w:rPr>
          <w:rFonts w:hint="eastAsia" w:ascii="宋体" w:hAnsi="宋体" w:eastAsia="宋体" w:cs="宋体"/>
          <w:color w:val="auto"/>
          <w:spacing w:val="-2"/>
          <w:kern w:val="0"/>
          <w:sz w:val="24"/>
          <w:szCs w:val="24"/>
        </w:rPr>
        <w:t>定</w:t>
      </w:r>
      <w:r>
        <w:rPr>
          <w:rFonts w:hint="eastAsia" w:ascii="宋体" w:hAnsi="宋体" w:eastAsia="宋体" w:cs="宋体"/>
          <w:color w:val="auto"/>
          <w:kern w:val="0"/>
          <w:sz w:val="24"/>
          <w:szCs w:val="24"/>
        </w:rPr>
        <w:t>计</w:t>
      </w:r>
      <w:r>
        <w:rPr>
          <w:rFonts w:hint="eastAsia" w:ascii="宋体" w:hAnsi="宋体" w:eastAsia="宋体" w:cs="宋体"/>
          <w:color w:val="auto"/>
          <w:spacing w:val="-2"/>
          <w:kern w:val="0"/>
          <w:sz w:val="24"/>
          <w:szCs w:val="24"/>
        </w:rPr>
        <w:t>量</w:t>
      </w:r>
      <w:r>
        <w:rPr>
          <w:rFonts w:hint="eastAsia" w:ascii="宋体" w:hAnsi="宋体" w:eastAsia="宋体" w:cs="宋体"/>
          <w:color w:val="auto"/>
          <w:kern w:val="0"/>
          <w:sz w:val="24"/>
          <w:szCs w:val="24"/>
        </w:rPr>
        <w:t>单</w:t>
      </w:r>
      <w:r>
        <w:rPr>
          <w:rFonts w:hint="eastAsia" w:ascii="宋体" w:hAnsi="宋体" w:eastAsia="宋体" w:cs="宋体"/>
          <w:color w:val="auto"/>
          <w:spacing w:val="-2"/>
          <w:kern w:val="0"/>
          <w:sz w:val="24"/>
          <w:szCs w:val="24"/>
        </w:rPr>
        <w:t>位</w:t>
      </w:r>
      <w:r>
        <w:rPr>
          <w:rFonts w:hint="eastAsia" w:ascii="宋体" w:hAnsi="宋体" w:eastAsia="宋体" w:cs="宋体"/>
          <w:color w:val="auto"/>
          <w:kern w:val="0"/>
          <w:sz w:val="24"/>
          <w:szCs w:val="24"/>
        </w:rPr>
        <w:t>。</w:t>
      </w:r>
    </w:p>
    <w:p w14:paraId="2D2F61B0">
      <w:pPr>
        <w:autoSpaceDE w:val="0"/>
        <w:autoSpaceDN w:val="0"/>
        <w:adjustRightInd w:val="0"/>
        <w:spacing w:line="360" w:lineRule="auto"/>
        <w:ind w:right="-20" w:firstLine="486" w:firstLineChars="200"/>
        <w:jc w:val="left"/>
        <w:rPr>
          <w:rFonts w:hint="eastAsia" w:ascii="宋体" w:hAnsi="宋体" w:eastAsia="宋体" w:cs="宋体"/>
          <w:b/>
          <w:color w:val="auto"/>
          <w:spacing w:val="-2"/>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spacing w:val="-1"/>
          <w:kern w:val="0"/>
          <w:sz w:val="24"/>
          <w:szCs w:val="24"/>
        </w:rPr>
        <w:t>.</w:t>
      </w:r>
      <w:r>
        <w:rPr>
          <w:rFonts w:hint="eastAsia" w:ascii="宋体" w:hAnsi="宋体" w:eastAsia="宋体" w:cs="宋体"/>
          <w:b/>
          <w:color w:val="auto"/>
          <w:kern w:val="0"/>
          <w:sz w:val="24"/>
          <w:szCs w:val="24"/>
        </w:rPr>
        <w:t>9</w:t>
      </w:r>
      <w:r>
        <w:rPr>
          <w:rFonts w:hint="eastAsia" w:ascii="宋体" w:hAnsi="宋体" w:eastAsia="宋体" w:cs="宋体"/>
          <w:b/>
          <w:color w:val="auto"/>
          <w:sz w:val="24"/>
          <w:szCs w:val="24"/>
        </w:rPr>
        <w:t>踏勘现场</w:t>
      </w:r>
    </w:p>
    <w:p w14:paraId="068241D7">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1.9.1采购人不组织现场踏勘，由投标供应商自行踏勘。</w:t>
      </w:r>
    </w:p>
    <w:p w14:paraId="46D591B4">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1.9.2投标供应商踏勘现场发生的费用自理。</w:t>
      </w:r>
    </w:p>
    <w:p w14:paraId="30F012E6">
      <w:pPr>
        <w:spacing w:line="360" w:lineRule="auto"/>
        <w:ind w:firstLine="464" w:firstLineChars="200"/>
        <w:rPr>
          <w:rFonts w:hint="eastAsia" w:ascii="宋体" w:hAnsi="宋体" w:eastAsia="宋体" w:cs="宋体"/>
          <w:color w:val="auto"/>
          <w:sz w:val="24"/>
          <w:szCs w:val="28"/>
        </w:rPr>
      </w:pPr>
      <w:r>
        <w:rPr>
          <w:rFonts w:hint="eastAsia" w:ascii="宋体" w:hAnsi="宋体" w:eastAsia="宋体" w:cs="宋体"/>
          <w:snapToGrid w:val="0"/>
          <w:color w:val="auto"/>
          <w:spacing w:val="-4"/>
          <w:kern w:val="0"/>
          <w:sz w:val="24"/>
          <w:szCs w:val="24"/>
        </w:rPr>
        <w:t>1.9.3</w:t>
      </w:r>
      <w:r>
        <w:rPr>
          <w:rFonts w:hint="eastAsia" w:ascii="宋体" w:hAnsi="宋体" w:eastAsia="宋体" w:cs="宋体"/>
          <w:snapToGrid w:val="0"/>
          <w:color w:val="auto"/>
          <w:spacing w:val="-2"/>
          <w:kern w:val="0"/>
          <w:sz w:val="24"/>
          <w:szCs w:val="24"/>
        </w:rPr>
        <w:t>除采购人的原因外，潜在投标供应商自行负责在踏勘现场中所发生的人员伤亡和财产</w:t>
      </w:r>
      <w:r>
        <w:rPr>
          <w:rFonts w:hint="eastAsia" w:ascii="宋体" w:hAnsi="宋体" w:eastAsia="宋体" w:cs="宋体"/>
          <w:snapToGrid w:val="0"/>
          <w:color w:val="auto"/>
          <w:spacing w:val="-8"/>
          <w:kern w:val="0"/>
          <w:sz w:val="24"/>
          <w:szCs w:val="24"/>
        </w:rPr>
        <w:t>损失。</w:t>
      </w:r>
    </w:p>
    <w:p w14:paraId="46246DFF">
      <w:pPr>
        <w:widowControl/>
        <w:kinsoku w:val="0"/>
        <w:autoSpaceDE w:val="0"/>
        <w:autoSpaceDN w:val="0"/>
        <w:adjustRightInd w:val="0"/>
        <w:snapToGrid w:val="0"/>
        <w:spacing w:line="360" w:lineRule="auto"/>
        <w:ind w:left="37" w:right="24" w:firstLine="464" w:firstLineChars="200"/>
        <w:jc w:val="left"/>
        <w:textAlignment w:val="baseline"/>
        <w:rPr>
          <w:rFonts w:hint="eastAsia" w:ascii="宋体" w:hAnsi="宋体" w:eastAsia="宋体" w:cs="宋体"/>
          <w:snapToGrid w:val="0"/>
          <w:color w:val="auto"/>
          <w:kern w:val="0"/>
          <w:sz w:val="24"/>
          <w:szCs w:val="24"/>
        </w:rPr>
      </w:pPr>
      <w:r>
        <w:rPr>
          <w:rFonts w:hint="eastAsia" w:ascii="宋体" w:hAnsi="宋体" w:eastAsia="宋体" w:cs="宋体"/>
          <w:snapToGrid w:val="0"/>
          <w:color w:val="auto"/>
          <w:spacing w:val="-4"/>
          <w:kern w:val="0"/>
          <w:sz w:val="24"/>
          <w:szCs w:val="24"/>
        </w:rPr>
        <w:t>1.9.4</w:t>
      </w:r>
      <w:r>
        <w:rPr>
          <w:rFonts w:hint="eastAsia" w:ascii="宋体" w:hAnsi="宋体" w:eastAsia="宋体" w:cs="宋体"/>
          <w:snapToGrid w:val="0"/>
          <w:color w:val="auto"/>
          <w:spacing w:val="-2"/>
          <w:kern w:val="0"/>
          <w:sz w:val="24"/>
          <w:szCs w:val="24"/>
        </w:rPr>
        <w:t>采购人在踏勘现场中介绍的项目现场和相关的周边环境情况，供潜在投标供应商在编</w:t>
      </w:r>
      <w:r>
        <w:rPr>
          <w:rFonts w:hint="eastAsia" w:ascii="宋体" w:hAnsi="宋体" w:eastAsia="宋体" w:cs="宋体"/>
          <w:snapToGrid w:val="0"/>
          <w:color w:val="auto"/>
          <w:spacing w:val="-6"/>
          <w:kern w:val="0"/>
          <w:sz w:val="24"/>
          <w:szCs w:val="24"/>
        </w:rPr>
        <w:t>制投标文件</w:t>
      </w:r>
      <w:r>
        <w:rPr>
          <w:rFonts w:hint="eastAsia" w:ascii="宋体" w:hAnsi="宋体" w:eastAsia="宋体" w:cs="宋体"/>
          <w:snapToGrid w:val="0"/>
          <w:color w:val="auto"/>
          <w:spacing w:val="-3"/>
          <w:kern w:val="0"/>
          <w:sz w:val="24"/>
          <w:szCs w:val="24"/>
        </w:rPr>
        <w:t>时参考，采购人不对投标供应商据此作出的判断和决策负责。</w:t>
      </w:r>
    </w:p>
    <w:p w14:paraId="76B1D714">
      <w:pPr>
        <w:autoSpaceDE w:val="0"/>
        <w:autoSpaceDN w:val="0"/>
        <w:adjustRightInd w:val="0"/>
        <w:spacing w:line="360" w:lineRule="auto"/>
        <w:ind w:right="-20" w:firstLine="482" w:firstLine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1.10投标预</w:t>
      </w:r>
      <w:r>
        <w:rPr>
          <w:rFonts w:hint="eastAsia" w:ascii="宋体" w:hAnsi="宋体" w:eastAsia="宋体" w:cs="宋体"/>
          <w:b/>
          <w:color w:val="auto"/>
          <w:spacing w:val="-3"/>
          <w:kern w:val="0"/>
          <w:sz w:val="24"/>
          <w:szCs w:val="24"/>
        </w:rPr>
        <w:t>备</w:t>
      </w:r>
      <w:r>
        <w:rPr>
          <w:rFonts w:hint="eastAsia" w:ascii="宋体" w:hAnsi="宋体" w:eastAsia="宋体" w:cs="宋体"/>
          <w:b/>
          <w:color w:val="auto"/>
          <w:kern w:val="0"/>
          <w:sz w:val="24"/>
          <w:szCs w:val="24"/>
        </w:rPr>
        <w:t>会</w:t>
      </w:r>
    </w:p>
    <w:p w14:paraId="4F39B145">
      <w:pPr>
        <w:pStyle w:val="18"/>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不召开</w:t>
      </w:r>
    </w:p>
    <w:p w14:paraId="41808522">
      <w:pPr>
        <w:spacing w:line="360" w:lineRule="auto"/>
        <w:ind w:firstLine="482" w:firstLineChars="200"/>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1.11响应和偏差</w:t>
      </w:r>
    </w:p>
    <w:p w14:paraId="325667DE">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投标文件应当对</w:t>
      </w:r>
      <w:r>
        <w:rPr>
          <w:rFonts w:hint="eastAsia" w:ascii="宋体" w:hAnsi="宋体" w:cs="宋体"/>
          <w:color w:val="auto"/>
          <w:kern w:val="0"/>
          <w:sz w:val="24"/>
          <w:szCs w:val="24"/>
          <w:lang w:eastAsia="zh-CN"/>
        </w:rPr>
        <w:t>磋商</w:t>
      </w:r>
      <w:r>
        <w:rPr>
          <w:rFonts w:hint="eastAsia" w:ascii="宋体" w:hAnsi="宋体" w:eastAsia="宋体" w:cs="宋体"/>
          <w:color w:val="auto"/>
          <w:kern w:val="0"/>
          <w:sz w:val="24"/>
          <w:szCs w:val="24"/>
        </w:rPr>
        <w:t>文件的实质性要求和条件作出满足性或更有利于采购人的响应，否则，投标供应商的投标将被否决。实质性要求和条件见投标供应商须知前附表。</w:t>
      </w:r>
    </w:p>
    <w:p w14:paraId="467F319C">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1.12投标费用</w:t>
      </w:r>
    </w:p>
    <w:p w14:paraId="2B49E1F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投标供应商承担其</w:t>
      </w:r>
      <w:r>
        <w:rPr>
          <w:rFonts w:hint="eastAsia" w:ascii="宋体" w:hAnsi="宋体" w:eastAsia="宋体" w:cs="宋体"/>
          <w:color w:val="auto"/>
          <w:kern w:val="0"/>
          <w:sz w:val="24"/>
          <w:szCs w:val="24"/>
        </w:rPr>
        <w:t>电子化</w:t>
      </w:r>
      <w:r>
        <w:rPr>
          <w:rFonts w:hint="eastAsia" w:ascii="宋体" w:hAnsi="宋体" w:eastAsia="宋体" w:cs="宋体"/>
          <w:color w:val="auto"/>
          <w:sz w:val="24"/>
          <w:szCs w:val="24"/>
        </w:rPr>
        <w:t>投标文件编制与递交所涉及的一切费用。在任何情况下采购人和采购代理机构对上述费用均不承担任何责任。</w:t>
      </w:r>
    </w:p>
    <w:p w14:paraId="77CCA3C4">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1.13保证</w:t>
      </w:r>
    </w:p>
    <w:p w14:paraId="66B5BD3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投标供应商应保证在</w:t>
      </w:r>
      <w:r>
        <w:rPr>
          <w:rFonts w:hint="eastAsia" w:ascii="宋体" w:hAnsi="宋体" w:eastAsia="宋体" w:cs="宋体"/>
          <w:color w:val="auto"/>
          <w:kern w:val="0"/>
          <w:sz w:val="24"/>
          <w:szCs w:val="24"/>
        </w:rPr>
        <w:t>电子化</w:t>
      </w:r>
      <w:r>
        <w:rPr>
          <w:rFonts w:hint="eastAsia" w:ascii="宋体" w:hAnsi="宋体" w:eastAsia="宋体" w:cs="宋体"/>
          <w:color w:val="auto"/>
          <w:sz w:val="24"/>
          <w:szCs w:val="24"/>
        </w:rPr>
        <w:t>投标文件中所提交的资料和数据是真实的。</w:t>
      </w:r>
    </w:p>
    <w:p w14:paraId="6856BE7D">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1.14定义及解释</w:t>
      </w:r>
    </w:p>
    <w:p w14:paraId="2229476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1.14.1</w:t>
      </w:r>
      <w:r>
        <w:rPr>
          <w:rFonts w:hint="eastAsia" w:ascii="宋体" w:hAnsi="宋体" w:eastAsia="宋体" w:cs="宋体"/>
          <w:color w:val="auto"/>
          <w:sz w:val="24"/>
          <w:szCs w:val="24"/>
        </w:rPr>
        <w:t>货物：系指投标供应商按</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文件规定而提供的货物及其他有关资料和材料。</w:t>
      </w:r>
    </w:p>
    <w:p w14:paraId="332E775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1.14.2</w:t>
      </w:r>
      <w:r>
        <w:rPr>
          <w:rFonts w:hint="eastAsia" w:ascii="宋体" w:hAnsi="宋体" w:eastAsia="宋体" w:cs="宋体"/>
          <w:color w:val="auto"/>
          <w:sz w:val="24"/>
          <w:szCs w:val="24"/>
        </w:rPr>
        <w:t>服务：系指投标供应商按</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文件提供的服务。</w:t>
      </w:r>
    </w:p>
    <w:p w14:paraId="63B477F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1.14.3</w:t>
      </w:r>
      <w:r>
        <w:rPr>
          <w:rFonts w:hint="eastAsia" w:ascii="宋体" w:hAnsi="宋体" w:eastAsia="宋体" w:cs="宋体"/>
          <w:color w:val="auto"/>
          <w:sz w:val="24"/>
          <w:szCs w:val="24"/>
        </w:rPr>
        <w:t>采购人：</w:t>
      </w:r>
      <w:r>
        <w:rPr>
          <w:rFonts w:hint="eastAsia" w:ascii="宋体" w:hAnsi="宋体" w:cs="宋体"/>
          <w:color w:val="auto"/>
          <w:sz w:val="24"/>
          <w:szCs w:val="24"/>
          <w:lang w:val="en-US" w:eastAsia="zh-CN"/>
        </w:rPr>
        <w:t>三门峡市公路事业发展中心</w:t>
      </w:r>
    </w:p>
    <w:p w14:paraId="51FEDAD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1.14.4</w:t>
      </w:r>
      <w:r>
        <w:rPr>
          <w:rFonts w:hint="eastAsia" w:ascii="宋体" w:hAnsi="宋体" w:eastAsia="宋体" w:cs="宋体"/>
          <w:color w:val="auto"/>
          <w:sz w:val="24"/>
          <w:szCs w:val="24"/>
        </w:rPr>
        <w:t>投标供应商：是指响应</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、参加投标竞争的法人或者其他组织。</w:t>
      </w:r>
    </w:p>
    <w:p w14:paraId="644C706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1.14.5采购代理机构：</w:t>
      </w:r>
      <w:r>
        <w:rPr>
          <w:rFonts w:hint="eastAsia" w:ascii="宋体" w:hAnsi="宋体" w:cs="宋体"/>
          <w:color w:val="auto"/>
          <w:sz w:val="24"/>
          <w:szCs w:val="24"/>
          <w:lang w:eastAsia="zh-CN"/>
        </w:rPr>
        <w:t>信宇腾远工程咨询集团有限公司</w:t>
      </w:r>
      <w:r>
        <w:rPr>
          <w:rFonts w:hint="eastAsia" w:ascii="宋体" w:hAnsi="宋体" w:eastAsia="宋体" w:cs="宋体"/>
          <w:color w:val="auto"/>
          <w:sz w:val="24"/>
          <w:szCs w:val="24"/>
        </w:rPr>
        <w:t>。</w:t>
      </w:r>
    </w:p>
    <w:p w14:paraId="5234BA7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1.14.6</w:t>
      </w:r>
      <w:r>
        <w:rPr>
          <w:rFonts w:hint="eastAsia" w:ascii="宋体" w:hAnsi="宋体" w:eastAsia="宋体" w:cs="宋体"/>
          <w:color w:val="auto"/>
          <w:sz w:val="24"/>
          <w:szCs w:val="24"/>
          <w:lang w:val="en-US" w:eastAsia="zh-CN"/>
        </w:rPr>
        <w:t>磋商小组</w:t>
      </w:r>
      <w:r>
        <w:rPr>
          <w:rFonts w:hint="eastAsia" w:ascii="宋体" w:hAnsi="宋体" w:eastAsia="宋体" w:cs="宋体"/>
          <w:color w:val="auto"/>
          <w:sz w:val="24"/>
          <w:szCs w:val="24"/>
        </w:rPr>
        <w:t>：是指按照《中华人民共和国政府采购法》和《政府采购竞争性磋商采购方式管理暂行办法》的规定组建的专门负责本次</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的评标工作的临时机构。</w:t>
      </w:r>
    </w:p>
    <w:p w14:paraId="243AEB4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1.14.7</w:t>
      </w:r>
      <w:r>
        <w:rPr>
          <w:rFonts w:hint="eastAsia" w:ascii="宋体" w:hAnsi="宋体" w:eastAsia="宋体" w:cs="宋体"/>
          <w:color w:val="auto"/>
          <w:sz w:val="24"/>
          <w:szCs w:val="24"/>
        </w:rPr>
        <w:t>日期、天数、时间：无特别说明时是指公历日及北京时间。</w:t>
      </w:r>
    </w:p>
    <w:p w14:paraId="2534BB40">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w:t>
      </w:r>
      <w:r>
        <w:rPr>
          <w:rFonts w:hint="eastAsia" w:ascii="宋体" w:hAnsi="宋体" w:cs="宋体"/>
          <w:b/>
          <w:bCs/>
          <w:color w:val="auto"/>
          <w:sz w:val="24"/>
          <w:szCs w:val="24"/>
          <w:lang w:val="en-US" w:eastAsia="zh-CN"/>
        </w:rPr>
        <w:t>竞争性磋</w:t>
      </w:r>
      <w:r>
        <w:rPr>
          <w:rFonts w:hint="eastAsia" w:ascii="宋体" w:hAnsi="宋体" w:cs="宋体"/>
          <w:b/>
          <w:bCs/>
          <w:color w:val="auto"/>
          <w:sz w:val="24"/>
          <w:szCs w:val="24"/>
          <w:highlight w:val="none"/>
          <w:lang w:val="en-US" w:eastAsia="zh-CN"/>
        </w:rPr>
        <w:t>商</w:t>
      </w:r>
      <w:r>
        <w:rPr>
          <w:rFonts w:hint="eastAsia" w:ascii="宋体" w:hAnsi="宋体" w:eastAsia="宋体" w:cs="宋体"/>
          <w:b/>
          <w:bCs/>
          <w:color w:val="auto"/>
          <w:sz w:val="24"/>
          <w:szCs w:val="24"/>
          <w:highlight w:val="none"/>
        </w:rPr>
        <w:t>文件</w:t>
      </w:r>
    </w:p>
    <w:p w14:paraId="1164C0E6">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2.1</w:t>
      </w:r>
      <w:r>
        <w:rPr>
          <w:rFonts w:hint="eastAsia" w:ascii="宋体" w:hAnsi="宋体" w:cs="宋体"/>
          <w:b/>
          <w:bCs/>
          <w:color w:val="auto"/>
          <w:sz w:val="24"/>
          <w:szCs w:val="24"/>
          <w:lang w:eastAsia="zh-CN"/>
        </w:rPr>
        <w:t>磋商</w:t>
      </w:r>
      <w:r>
        <w:rPr>
          <w:rFonts w:hint="eastAsia" w:ascii="宋体" w:hAnsi="宋体" w:eastAsia="宋体" w:cs="宋体"/>
          <w:b/>
          <w:bCs/>
          <w:color w:val="auto"/>
          <w:sz w:val="24"/>
          <w:szCs w:val="24"/>
        </w:rPr>
        <w:t>文件的组成</w:t>
      </w:r>
    </w:p>
    <w:p w14:paraId="5F66810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2.1.1本</w:t>
      </w:r>
      <w:r>
        <w:rPr>
          <w:rFonts w:hint="eastAsia" w:ascii="宋体" w:hAnsi="宋体" w:cs="宋体"/>
          <w:b w:val="0"/>
          <w:bCs w:val="0"/>
          <w:color w:val="auto"/>
          <w:sz w:val="24"/>
          <w:szCs w:val="24"/>
          <w:highlight w:val="none"/>
          <w:lang w:val="en-US" w:eastAsia="zh-CN"/>
        </w:rPr>
        <w:t>竞争性磋商</w:t>
      </w:r>
      <w:r>
        <w:rPr>
          <w:rFonts w:hint="eastAsia" w:ascii="宋体" w:hAnsi="宋体" w:eastAsia="宋体" w:cs="宋体"/>
          <w:b w:val="0"/>
          <w:bCs w:val="0"/>
          <w:color w:val="auto"/>
          <w:sz w:val="24"/>
          <w:szCs w:val="24"/>
          <w:highlight w:val="none"/>
        </w:rPr>
        <w:t>文件</w:t>
      </w:r>
      <w:r>
        <w:rPr>
          <w:rFonts w:hint="eastAsia" w:ascii="宋体" w:hAnsi="宋体" w:eastAsia="宋体" w:cs="宋体"/>
          <w:bCs/>
          <w:color w:val="auto"/>
          <w:sz w:val="24"/>
          <w:szCs w:val="24"/>
        </w:rPr>
        <w:t>包括：</w:t>
      </w:r>
    </w:p>
    <w:p w14:paraId="02A1384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2.1.1.1</w:t>
      </w:r>
      <w:r>
        <w:rPr>
          <w:rFonts w:hint="eastAsia" w:ascii="宋体" w:hAnsi="宋体" w:eastAsia="宋体" w:cs="宋体"/>
          <w:color w:val="auto"/>
          <w:sz w:val="24"/>
          <w:szCs w:val="24"/>
          <w:lang w:val="en-US" w:eastAsia="zh-CN"/>
        </w:rPr>
        <w:t>竞争性磋商</w:t>
      </w:r>
      <w:r>
        <w:rPr>
          <w:rFonts w:hint="eastAsia" w:ascii="宋体" w:hAnsi="宋体" w:eastAsia="宋体" w:cs="宋体"/>
          <w:color w:val="auto"/>
          <w:sz w:val="24"/>
          <w:szCs w:val="24"/>
        </w:rPr>
        <w:t>公告</w:t>
      </w:r>
    </w:p>
    <w:p w14:paraId="250FB25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2.1.1.2投标供应商须知</w:t>
      </w:r>
    </w:p>
    <w:p w14:paraId="4BC1B0F7">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bCs/>
          <w:color w:val="auto"/>
          <w:sz w:val="24"/>
          <w:szCs w:val="24"/>
        </w:rPr>
        <w:t>2.1.1.3</w:t>
      </w:r>
      <w:r>
        <w:rPr>
          <w:rFonts w:hint="eastAsia" w:ascii="宋体" w:hAnsi="宋体" w:eastAsia="宋体" w:cs="宋体"/>
          <w:color w:val="auto"/>
          <w:sz w:val="24"/>
          <w:szCs w:val="24"/>
          <w:lang w:eastAsia="zh-CN"/>
        </w:rPr>
        <w:t>服务内容及要求</w:t>
      </w:r>
    </w:p>
    <w:p w14:paraId="6FC5A4E7">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bCs/>
          <w:color w:val="auto"/>
          <w:sz w:val="24"/>
          <w:szCs w:val="24"/>
        </w:rPr>
        <w:t>2.1.1.4</w:t>
      </w:r>
      <w:r>
        <w:rPr>
          <w:rFonts w:hint="eastAsia" w:ascii="宋体" w:hAnsi="宋体" w:cs="宋体"/>
          <w:color w:val="auto"/>
          <w:sz w:val="24"/>
          <w:szCs w:val="24"/>
          <w:lang w:eastAsia="zh-CN"/>
        </w:rPr>
        <w:t>评审办法</w:t>
      </w:r>
    </w:p>
    <w:p w14:paraId="3218FBB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2.1.1.5</w:t>
      </w:r>
      <w:r>
        <w:rPr>
          <w:rFonts w:hint="eastAsia" w:ascii="宋体" w:hAnsi="宋体" w:eastAsia="宋体" w:cs="宋体"/>
          <w:color w:val="auto"/>
          <w:sz w:val="24"/>
          <w:szCs w:val="24"/>
        </w:rPr>
        <w:t>合同条款及格式</w:t>
      </w:r>
    </w:p>
    <w:p w14:paraId="1CC412B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2.1.1.6</w:t>
      </w:r>
      <w:r>
        <w:rPr>
          <w:rFonts w:hint="eastAsia" w:ascii="宋体" w:hAnsi="宋体" w:cs="宋体"/>
          <w:bCs/>
          <w:color w:val="auto"/>
          <w:sz w:val="24"/>
          <w:szCs w:val="24"/>
          <w:lang w:val="en-US" w:eastAsia="zh-CN"/>
        </w:rPr>
        <w:t>响</w:t>
      </w:r>
      <w:r>
        <w:rPr>
          <w:rFonts w:hint="eastAsia" w:ascii="宋体" w:hAnsi="宋体" w:cs="宋体"/>
          <w:bCs/>
          <w:color w:val="auto"/>
          <w:sz w:val="24"/>
          <w:szCs w:val="24"/>
          <w:highlight w:val="none"/>
          <w:lang w:val="en-US" w:eastAsia="zh-CN"/>
        </w:rPr>
        <w:t>应</w:t>
      </w:r>
      <w:r>
        <w:rPr>
          <w:rFonts w:hint="eastAsia" w:ascii="宋体" w:hAnsi="宋体" w:eastAsia="宋体" w:cs="宋体"/>
          <w:color w:val="auto"/>
          <w:sz w:val="24"/>
          <w:szCs w:val="24"/>
          <w:highlight w:val="none"/>
        </w:rPr>
        <w:t>文件格式</w:t>
      </w:r>
    </w:p>
    <w:p w14:paraId="68FF6AE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2.1.2根据本章第2.2款对</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文件所做的澄清、修改，构成</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文件的组成部分。</w:t>
      </w:r>
    </w:p>
    <w:p w14:paraId="5A4EE6D8">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2.2</w:t>
      </w:r>
      <w:r>
        <w:rPr>
          <w:rFonts w:hint="eastAsia" w:ascii="宋体" w:hAnsi="宋体" w:cs="宋体"/>
          <w:b/>
          <w:bCs/>
          <w:color w:val="auto"/>
          <w:sz w:val="24"/>
          <w:szCs w:val="24"/>
          <w:lang w:eastAsia="zh-CN"/>
        </w:rPr>
        <w:t>磋商</w:t>
      </w:r>
      <w:r>
        <w:rPr>
          <w:rFonts w:hint="eastAsia" w:ascii="宋体" w:hAnsi="宋体" w:eastAsia="宋体" w:cs="宋体"/>
          <w:b/>
          <w:bCs/>
          <w:color w:val="auto"/>
          <w:sz w:val="24"/>
          <w:szCs w:val="24"/>
        </w:rPr>
        <w:t>文件的澄清或者修改</w:t>
      </w:r>
    </w:p>
    <w:p w14:paraId="58B1AE8E">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2.2.1投标供应商应详细阅读</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rPr>
        <w:t>文件中的全部内容。如对</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rPr>
        <w:t>文件有异议的，应在</w:t>
      </w:r>
      <w:r>
        <w:rPr>
          <w:rFonts w:hint="eastAsia" w:ascii="宋体" w:hAnsi="宋体" w:eastAsia="宋体" w:cs="宋体"/>
          <w:bCs/>
          <w:color w:val="auto"/>
          <w:sz w:val="24"/>
          <w:szCs w:val="24"/>
          <w:lang w:eastAsia="zh-CN"/>
        </w:rPr>
        <w:t>提交首次响应文件截止时间前</w:t>
      </w:r>
      <w:r>
        <w:rPr>
          <w:rFonts w:hint="eastAsia" w:ascii="宋体" w:hAnsi="宋体" w:eastAsia="宋体" w:cs="宋体"/>
          <w:bCs/>
          <w:color w:val="auto"/>
          <w:sz w:val="24"/>
          <w:szCs w:val="24"/>
          <w:lang w:val="en-US" w:eastAsia="zh-CN"/>
        </w:rPr>
        <w:t>5日</w:t>
      </w:r>
      <w:r>
        <w:rPr>
          <w:rFonts w:hint="eastAsia" w:ascii="宋体" w:hAnsi="宋体" w:eastAsia="宋体" w:cs="宋体"/>
          <w:bCs/>
          <w:color w:val="auto"/>
          <w:sz w:val="24"/>
          <w:szCs w:val="24"/>
        </w:rPr>
        <w:t>在三门峡市公共资源交易平台上一次性提出，否则，将被视为完全理解并接受</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rPr>
        <w:t>文件的全部内容。</w:t>
      </w:r>
    </w:p>
    <w:p w14:paraId="70A5E97D">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2.2.2采购人或者采购代理机构可以对已发出的</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rPr>
        <w:t>文件进行必要的澄清或者修改，但不得改变采购标的和资格条件。澄清或者修改的内容为</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rPr>
        <w:t>文件的组成部分。澄清或者修改的内容可能影响投标文件编制的，采购人或者采购代理机构在投标截止时间至少5日前，通知所有获取</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rPr>
        <w:t>文件的潜在投标供应商；不足5日的，顺延提交投标文件的截止时间。</w:t>
      </w:r>
    </w:p>
    <w:p w14:paraId="4DAB2F0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2.2.3</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文件的澄清或者修改将通过交易平台系统内部“答疑文件”告知投标供应商，发布给所有下载</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文件的投标供应商，并在原公告发布媒体上发布澄清公告，但不指明澄清问题的来源。对于项目中已经下载</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文件的投标供应商，系统将通过第三方短信群发方式提醒投标供应商进行查询。各投标供应商须重新下载最新的答疑文件，以此编制投标文件。</w:t>
      </w:r>
    </w:p>
    <w:p w14:paraId="5ECBFF6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2.2.4投标供应商市场主体信息登记时所留手机联系方式要保持畅通，因联系方式变更而未及时更新系统内联系方式的，将会造成收不到短信。此短信仅系友情提示，并不具有任何约束性和必要性，采购人和采购代理机构不承担投标供应商未收到短信而引起的一切后果和法律责任。</w:t>
      </w:r>
    </w:p>
    <w:p w14:paraId="6F69944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2.2.5因交易中心平台在开标前具有保密性，投标供应商在投标截止时间前须自行查看项目进展、变更通知、澄清及回复，因投标供应商未及时查看而造成的后果自行承担。</w:t>
      </w:r>
    </w:p>
    <w:p w14:paraId="7AF1E4A6">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cs="宋体"/>
          <w:b/>
          <w:bCs/>
          <w:color w:val="auto"/>
          <w:sz w:val="24"/>
          <w:szCs w:val="24"/>
          <w:lang w:val="en-US" w:eastAsia="zh-CN"/>
        </w:rPr>
        <w:t>响应</w:t>
      </w:r>
      <w:r>
        <w:rPr>
          <w:rFonts w:hint="eastAsia" w:ascii="宋体" w:hAnsi="宋体" w:eastAsia="宋体" w:cs="宋体"/>
          <w:b/>
          <w:bCs/>
          <w:color w:val="auto"/>
          <w:sz w:val="24"/>
          <w:szCs w:val="24"/>
        </w:rPr>
        <w:t>文件</w:t>
      </w:r>
    </w:p>
    <w:p w14:paraId="46C37CB3">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3.1电子化</w:t>
      </w:r>
      <w:r>
        <w:rPr>
          <w:rFonts w:hint="eastAsia" w:ascii="宋体" w:hAnsi="宋体" w:cs="宋体"/>
          <w:b/>
          <w:bCs/>
          <w:color w:val="auto"/>
          <w:sz w:val="24"/>
          <w:szCs w:val="24"/>
          <w:lang w:val="en-US" w:eastAsia="zh-CN"/>
        </w:rPr>
        <w:t>响应</w:t>
      </w:r>
      <w:r>
        <w:rPr>
          <w:rFonts w:hint="eastAsia" w:ascii="宋体" w:hAnsi="宋体" w:eastAsia="宋体" w:cs="宋体"/>
          <w:b/>
          <w:bCs/>
          <w:color w:val="auto"/>
          <w:sz w:val="24"/>
          <w:szCs w:val="24"/>
        </w:rPr>
        <w:t>文件的组成</w:t>
      </w:r>
    </w:p>
    <w:p w14:paraId="5B5003EF">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1</w:t>
      </w:r>
      <w:r>
        <w:rPr>
          <w:rFonts w:hint="eastAsia" w:ascii="宋体" w:hAnsi="宋体" w:eastAsia="宋体" w:cs="宋体"/>
          <w:bCs/>
          <w:color w:val="auto"/>
          <w:sz w:val="24"/>
          <w:szCs w:val="24"/>
          <w:lang w:val="en-US" w:eastAsia="zh-CN"/>
        </w:rPr>
        <w:t>、响应函及响应函附录</w:t>
      </w:r>
    </w:p>
    <w:p w14:paraId="1F4A3E54">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2</w:t>
      </w:r>
      <w:r>
        <w:rPr>
          <w:rFonts w:hint="eastAsia" w:ascii="宋体" w:hAnsi="宋体" w:eastAsia="宋体" w:cs="宋体"/>
          <w:bCs/>
          <w:color w:val="auto"/>
          <w:sz w:val="24"/>
          <w:szCs w:val="24"/>
          <w:lang w:val="en-US" w:eastAsia="zh-CN"/>
        </w:rPr>
        <w:t>、法定代表人身份证明</w:t>
      </w:r>
    </w:p>
    <w:p w14:paraId="6B8AB399">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3</w:t>
      </w:r>
      <w:r>
        <w:rPr>
          <w:rFonts w:hint="eastAsia" w:ascii="宋体" w:hAnsi="宋体" w:eastAsia="宋体" w:cs="宋体"/>
          <w:bCs/>
          <w:color w:val="auto"/>
          <w:sz w:val="24"/>
          <w:szCs w:val="24"/>
          <w:lang w:val="en-US" w:eastAsia="zh-CN"/>
        </w:rPr>
        <w:t>、授权委托书</w:t>
      </w:r>
    </w:p>
    <w:p w14:paraId="535F0903">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4</w:t>
      </w:r>
      <w:r>
        <w:rPr>
          <w:rFonts w:hint="eastAsia" w:ascii="宋体" w:hAnsi="宋体" w:eastAsia="宋体" w:cs="宋体"/>
          <w:bCs/>
          <w:color w:val="auto"/>
          <w:sz w:val="24"/>
          <w:szCs w:val="24"/>
          <w:lang w:val="en-US" w:eastAsia="zh-CN"/>
        </w:rPr>
        <w:t>、资格审查</w:t>
      </w:r>
    </w:p>
    <w:p w14:paraId="34ABD581">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5</w:t>
      </w:r>
      <w:r>
        <w:rPr>
          <w:rFonts w:hint="eastAsia" w:ascii="宋体" w:hAnsi="宋体" w:eastAsia="宋体" w:cs="宋体"/>
          <w:bCs/>
          <w:color w:val="auto"/>
          <w:sz w:val="24"/>
          <w:szCs w:val="24"/>
          <w:lang w:val="en-US" w:eastAsia="zh-CN"/>
        </w:rPr>
        <w:t>、供应商基本情况表</w:t>
      </w:r>
    </w:p>
    <w:p w14:paraId="3B13BE86">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6</w:t>
      </w:r>
      <w:r>
        <w:rPr>
          <w:rFonts w:hint="eastAsia" w:ascii="宋体" w:hAnsi="宋体" w:eastAsia="宋体" w:cs="宋体"/>
          <w:bCs/>
          <w:color w:val="auto"/>
          <w:sz w:val="24"/>
          <w:szCs w:val="24"/>
          <w:lang w:val="en-US" w:eastAsia="zh-CN"/>
        </w:rPr>
        <w:t>、技术部分</w:t>
      </w:r>
    </w:p>
    <w:p w14:paraId="2378C777">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7</w:t>
      </w:r>
      <w:r>
        <w:rPr>
          <w:rFonts w:hint="eastAsia" w:ascii="宋体" w:hAnsi="宋体" w:eastAsia="宋体" w:cs="宋体"/>
          <w:bCs/>
          <w:color w:val="auto"/>
          <w:sz w:val="24"/>
          <w:szCs w:val="24"/>
          <w:lang w:val="en-US" w:eastAsia="zh-CN"/>
        </w:rPr>
        <w:t>、商务部分</w:t>
      </w:r>
    </w:p>
    <w:p w14:paraId="1199595D">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8</w:t>
      </w:r>
      <w:r>
        <w:rPr>
          <w:rFonts w:hint="eastAsia" w:ascii="宋体" w:hAnsi="宋体" w:eastAsia="宋体" w:cs="宋体"/>
          <w:bCs/>
          <w:color w:val="auto"/>
          <w:sz w:val="24"/>
          <w:szCs w:val="24"/>
          <w:lang w:val="en-US" w:eastAsia="zh-CN"/>
        </w:rPr>
        <w:t>、其他内容</w:t>
      </w:r>
    </w:p>
    <w:p w14:paraId="6EEA89DC">
      <w:pPr>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3.2磋商报价</w:t>
      </w:r>
    </w:p>
    <w:p w14:paraId="2D8A79AD">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3.2.1请投标供应商认真测算所投全部服务内容，</w:t>
      </w:r>
      <w:r>
        <w:rPr>
          <w:rFonts w:hint="eastAsia" w:ascii="宋体" w:hAnsi="宋体" w:cs="宋体"/>
          <w:bCs/>
          <w:color w:val="auto"/>
          <w:sz w:val="24"/>
          <w:szCs w:val="24"/>
          <w:lang w:val="en-US" w:eastAsia="zh-CN"/>
        </w:rPr>
        <w:t>磋商报价</w:t>
      </w:r>
      <w:r>
        <w:rPr>
          <w:rFonts w:hint="eastAsia" w:ascii="宋体" w:hAnsi="宋体" w:eastAsia="宋体" w:cs="宋体"/>
          <w:bCs/>
          <w:color w:val="auto"/>
          <w:sz w:val="24"/>
          <w:szCs w:val="24"/>
          <w:lang w:val="en-US" w:eastAsia="zh-CN"/>
        </w:rPr>
        <w:t>应是投标文件所确定的服务范围内的全部工作内容的价格体现。</w:t>
      </w:r>
    </w:p>
    <w:p w14:paraId="1F488DFE">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3.2.2投标供应商只能提出一个报价，采购人不接受任何有选择的报价，报价不得超过最高投标限价。</w:t>
      </w:r>
    </w:p>
    <w:p w14:paraId="79E8F61F">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3.2.3投标供应商的报价明显低于其他报价，使得其报价可能低于其个别成本的，有可能影响商品质量和不能诚信履约的，应当要求该报价人作出书面说明并提供相关证明材料。报价人不能合理说明或者不能提供相关证明材料的，由</w:t>
      </w:r>
      <w:r>
        <w:rPr>
          <w:rFonts w:hint="eastAsia" w:ascii="宋体" w:hAnsi="宋体" w:cs="宋体"/>
          <w:color w:val="auto"/>
          <w:spacing w:val="6"/>
          <w:sz w:val="24"/>
          <w:szCs w:val="24"/>
          <w:lang w:val="en-US" w:eastAsia="zh-CN"/>
        </w:rPr>
        <w:t>磋商小组</w:t>
      </w:r>
      <w:r>
        <w:rPr>
          <w:rFonts w:hint="eastAsia" w:ascii="宋体" w:hAnsi="宋体" w:eastAsia="宋体" w:cs="宋体"/>
          <w:bCs/>
          <w:color w:val="auto"/>
          <w:sz w:val="24"/>
          <w:szCs w:val="24"/>
          <w:lang w:val="en-US" w:eastAsia="zh-CN"/>
        </w:rPr>
        <w:t>认定该报价人以低于成本报价，其报价应作无效报价处理。</w:t>
      </w:r>
    </w:p>
    <w:p w14:paraId="2ACE2353">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3.2.4如报价表中的大写金额和小写金额不一致的，以大写金额为准；对不同文字文本响应文件的解释发生异议的，以中文文本为准。</w:t>
      </w:r>
    </w:p>
    <w:p w14:paraId="511B1681">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3.3投标有效期</w:t>
      </w:r>
    </w:p>
    <w:p w14:paraId="0540EACC">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3.3.1</w:t>
      </w:r>
      <w:r>
        <w:rPr>
          <w:rFonts w:hint="eastAsia" w:ascii="宋体" w:hAnsi="宋体" w:eastAsia="宋体" w:cs="宋体"/>
          <w:b w:val="0"/>
          <w:bCs w:val="0"/>
          <w:color w:val="auto"/>
          <w:sz w:val="24"/>
          <w:szCs w:val="24"/>
          <w:lang w:val="en-US" w:eastAsia="zh-CN"/>
        </w:rPr>
        <w:t>磋商有效期为</w:t>
      </w:r>
      <w:r>
        <w:rPr>
          <w:rFonts w:hint="eastAsia" w:ascii="宋体" w:hAnsi="宋体" w:eastAsia="宋体" w:cs="宋体"/>
          <w:b w:val="0"/>
          <w:bCs w:val="0"/>
          <w:color w:val="auto"/>
          <w:sz w:val="24"/>
          <w:szCs w:val="24"/>
        </w:rPr>
        <w:t>60日历天(从磋商截止之日算起)。</w:t>
      </w:r>
    </w:p>
    <w:p w14:paraId="2498E9A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3.3.2</w:t>
      </w:r>
      <w:r>
        <w:rPr>
          <w:rFonts w:hint="eastAsia" w:ascii="宋体" w:hAnsi="宋体" w:eastAsia="宋体" w:cs="宋体"/>
          <w:color w:val="auto"/>
          <w:sz w:val="24"/>
          <w:szCs w:val="24"/>
        </w:rPr>
        <w:t>在特殊情况下，采购人可征求投标供应商同意延长投标有效期。投标供应商可以拒绝采购人的这种要求。同意延长投标有效期的投标供应商不需要也不允许修改其电子化投标文件。</w:t>
      </w:r>
    </w:p>
    <w:p w14:paraId="14C18668">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3.4投标保证金</w:t>
      </w:r>
    </w:p>
    <w:p w14:paraId="288F69A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根据《河南省财政厅关于优化政府采购营商环境有关问题的通知》（豫财购【2019】4号）第6条的规定，投标保证金不再收取，需提供</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rPr>
        <w:t>承诺函（详见</w:t>
      </w:r>
      <w:r>
        <w:rPr>
          <w:rFonts w:hint="eastAsia" w:ascii="宋体" w:hAnsi="宋体" w:eastAsia="宋体" w:cs="宋体"/>
          <w:bCs/>
          <w:color w:val="auto"/>
          <w:sz w:val="24"/>
          <w:szCs w:val="24"/>
        </w:rPr>
        <w:t>电子化投标文件格式</w:t>
      </w:r>
      <w:r>
        <w:rPr>
          <w:rFonts w:hint="eastAsia" w:ascii="宋体" w:hAnsi="宋体" w:eastAsia="宋体" w:cs="宋体"/>
          <w:color w:val="auto"/>
          <w:sz w:val="24"/>
          <w:szCs w:val="24"/>
        </w:rPr>
        <w:t>）。</w:t>
      </w:r>
    </w:p>
    <w:p w14:paraId="1C9E1787">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电子化投标文件的编制</w:t>
      </w:r>
    </w:p>
    <w:p w14:paraId="1C15433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3.</w:t>
      </w: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.1</w:t>
      </w:r>
      <w:r>
        <w:rPr>
          <w:rFonts w:hint="eastAsia" w:ascii="宋体" w:hAnsi="宋体" w:eastAsia="宋体" w:cs="宋体"/>
          <w:color w:val="auto"/>
          <w:sz w:val="24"/>
          <w:szCs w:val="24"/>
        </w:rPr>
        <w:t>投标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14:paraId="10B0AF0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.2在</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文件中要求供应商按照投标文件格式进行投标文件编制，在投标文件编制时，应明确将投标单位企业基本情况、业绩情况编入投标文件，便于进行资格审查及评标打分。</w:t>
      </w:r>
    </w:p>
    <w:p w14:paraId="1A78AB8E">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.3电子化投标文件的签署</w:t>
      </w:r>
    </w:p>
    <w:p w14:paraId="4E75B338">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中要求投标供应商盖章的，以签盖单位章为准；要求法定代表人签章的，以签盖法定代表人签章为准。电子化投标文件具体制作教材请投标供应商通过CA证书登录三门峡市公共资源电子化交易系统在右上角“组件下载”中查看。</w:t>
      </w:r>
    </w:p>
    <w:p w14:paraId="1533243A">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4.投标</w:t>
      </w:r>
    </w:p>
    <w:p w14:paraId="7E16C79C">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4.1投标文件的加密</w:t>
      </w:r>
    </w:p>
    <w:p w14:paraId="60E3336E">
      <w:pPr>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rPr>
        <w:t>网上上传的电子投标文件应使用数字证书认证并加密。</w:t>
      </w:r>
    </w:p>
    <w:p w14:paraId="7AD226D4">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4.2投标文件的上传</w:t>
      </w:r>
    </w:p>
    <w:p w14:paraId="11ADC274">
      <w:pPr>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电子化投标文件应在投标截止时间前成功上传至三门峡市公共资源电子化交易系统。至投标截止时间止，仍未上传成功的电子化投标文件将不予接收。</w:t>
      </w:r>
    </w:p>
    <w:p w14:paraId="2399C63D">
      <w:pPr>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61E7770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新点客服电话:4009980000</w:t>
      </w:r>
    </w:p>
    <w:p w14:paraId="2431728D">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4.3投标截止时间</w:t>
      </w:r>
    </w:p>
    <w:p w14:paraId="737A718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4.3.1</w:t>
      </w:r>
      <w:r>
        <w:rPr>
          <w:rFonts w:hint="eastAsia" w:ascii="宋体" w:hAnsi="宋体" w:eastAsia="宋体" w:cs="宋体"/>
          <w:color w:val="auto"/>
          <w:sz w:val="24"/>
          <w:szCs w:val="24"/>
        </w:rPr>
        <w:t>电子化投标文件的截止时间见本须知前附表规定。</w:t>
      </w:r>
    </w:p>
    <w:p w14:paraId="25FC786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4.3.2</w:t>
      </w:r>
      <w:r>
        <w:rPr>
          <w:rFonts w:hint="eastAsia" w:ascii="宋体" w:hAnsi="宋体" w:eastAsia="宋体" w:cs="宋体"/>
          <w:color w:val="auto"/>
          <w:sz w:val="24"/>
          <w:szCs w:val="24"/>
        </w:rPr>
        <w:t>采购人可按本须知第8条规定以修改补充通知的方式，酌情延长提交电子化投标文件的截止时间。在此情况下，投标供应商的所有权利和义务以及投标供应商受制约的截止时间，均以延长后新的投标截止时间为准。</w:t>
      </w:r>
    </w:p>
    <w:p w14:paraId="3A10356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4.3.3</w:t>
      </w:r>
      <w:r>
        <w:rPr>
          <w:rFonts w:hint="eastAsia" w:ascii="宋体" w:hAnsi="宋体" w:eastAsia="宋体" w:cs="宋体"/>
          <w:color w:val="auto"/>
          <w:sz w:val="24"/>
          <w:szCs w:val="24"/>
        </w:rPr>
        <w:t>到投标截止时间止，上传成功的电子化投标文件少于3个的，采购人将依法重新组织</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w:t>
      </w:r>
    </w:p>
    <w:p w14:paraId="0E71D74F">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4.4电子化投标文件的补充、修改与撤回</w:t>
      </w:r>
    </w:p>
    <w:p w14:paraId="377729F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在投标截止时间之后，投标供应商不得补充、修改电子化投标文件。</w:t>
      </w:r>
    </w:p>
    <w:p w14:paraId="2B81577A">
      <w:pPr>
        <w:autoSpaceDE w:val="0"/>
        <w:autoSpaceDN w:val="0"/>
        <w:adjustRightInd w:val="0"/>
        <w:spacing w:line="360" w:lineRule="auto"/>
        <w:ind w:firstLine="482"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5.开标</w:t>
      </w:r>
    </w:p>
    <w:p w14:paraId="3B39AA18">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5.1开标时间和地点</w:t>
      </w:r>
    </w:p>
    <w:p w14:paraId="0B2B933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5.1.1采购人在</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规定的开标时间和地点通过远程开标大厅进行公开开标。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30C54E34">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5.1.2电子化投标文件采用一次加密方式。开标时，由投标供应商使用CA证书，在规定时间内对其电子化投标文件进行解密。每位投标供应商的解密时间为开标时间起30分钟内，如在规定时间内未完成解密的，其投标文件不予开标、唱标。每位投标供应商的解密时间为开标时间起30分钟内完成。</w:t>
      </w:r>
    </w:p>
    <w:p w14:paraId="31543F00">
      <w:pPr>
        <w:autoSpaceDE w:val="0"/>
        <w:autoSpaceDN w:val="0"/>
        <w:adjustRightInd w:val="0"/>
        <w:spacing w:line="360" w:lineRule="auto"/>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5.2开标程序</w:t>
      </w:r>
    </w:p>
    <w:p w14:paraId="03FC0CDC">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（1）公布投标单位名单；</w:t>
      </w:r>
    </w:p>
    <w:p w14:paraId="6AA55B2D">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（2）投标供应商远程解密投标文件；</w:t>
      </w:r>
    </w:p>
    <w:p w14:paraId="7ABDFD9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（3）投标文件导入；</w:t>
      </w:r>
    </w:p>
    <w:p w14:paraId="27610839">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（4）唱标；</w:t>
      </w:r>
    </w:p>
    <w:p w14:paraId="070E80EC">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（5）异议与回复(如有)；</w:t>
      </w:r>
    </w:p>
    <w:p w14:paraId="4356CDDC">
      <w:pPr>
        <w:autoSpaceDE w:val="0"/>
        <w:autoSpaceDN w:val="0"/>
        <w:adjustRightInd w:val="0"/>
        <w:spacing w:line="360" w:lineRule="auto"/>
        <w:ind w:firstLine="480" w:firstLineChars="200"/>
        <w:jc w:val="left"/>
        <w:rPr>
          <w:rFonts w:hint="eastAsia" w:ascii="宋体" w:hAnsi="宋体" w:eastAsia="宋体" w:cs="宋体"/>
          <w:b/>
          <w:bCs/>
          <w:color w:val="auto"/>
          <w:kern w:val="0"/>
          <w:sz w:val="24"/>
          <w:szCs w:val="24"/>
        </w:rPr>
      </w:pPr>
      <w:r>
        <w:rPr>
          <w:rFonts w:hint="eastAsia" w:ascii="宋体" w:hAnsi="宋体" w:eastAsia="宋体" w:cs="宋体"/>
          <w:color w:val="auto"/>
          <w:sz w:val="24"/>
          <w:szCs w:val="24"/>
        </w:rPr>
        <w:t>（6）开标结束。</w:t>
      </w:r>
    </w:p>
    <w:p w14:paraId="28D92EB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供应商不足3家的，不得开标。供应商未参加开标的，视同认可开标结果。</w:t>
      </w:r>
    </w:p>
    <w:p w14:paraId="33E92390">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5.3电子化投标文件解密异常的处理</w:t>
      </w:r>
    </w:p>
    <w:p w14:paraId="35D7B3E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如出现投标供应商的电子投标文件无法解密等异常情况，投标供应商应及时致电中介服务机构说明。投标文件异常，按以下步骤进行处理：</w:t>
      </w:r>
    </w:p>
    <w:p w14:paraId="1266603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（1）首先由技术人员进行问题排查。</w:t>
      </w:r>
    </w:p>
    <w:p w14:paraId="200EF6F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（2）经技术人员排查后，是投标供应商文件自身问题导致投标文件无法解密的，该投标文件将不予接收、解密和唱标。开标会议继续进行。</w:t>
      </w:r>
    </w:p>
    <w:p w14:paraId="44BF8FB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2E8DF14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（4）待所有供应商投标文件解密完成后，由</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方操作，对所有已解密文件进行唱标。</w:t>
      </w:r>
    </w:p>
    <w:p w14:paraId="4728C42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供应商应保证在开标期间电话、电脑、网络能够正常工作，供应商因停电、电脑病毒、网络堵塞等原因，未在规定的解密时间内对投标文件进行解密的，其投标文件不予接收、唱标。</w:t>
      </w:r>
    </w:p>
    <w:p w14:paraId="0E802CC6">
      <w:pPr>
        <w:autoSpaceDE w:val="0"/>
        <w:autoSpaceDN w:val="0"/>
        <w:adjustRightInd w:val="0"/>
        <w:spacing w:line="360" w:lineRule="auto"/>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5.4开标异议</w:t>
      </w:r>
    </w:p>
    <w:p w14:paraId="024E0257">
      <w:pPr>
        <w:spacing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开标时投标供应商可登录到交易系统中在开标大厅中点击开标一览表查看自己的</w:t>
      </w:r>
      <w:r>
        <w:rPr>
          <w:rFonts w:hint="eastAsia" w:ascii="宋体" w:hAnsi="宋体" w:cs="宋体"/>
          <w:color w:val="auto"/>
          <w:sz w:val="24"/>
          <w:szCs w:val="24"/>
          <w:lang w:eastAsia="zh-CN"/>
        </w:rPr>
        <w:t>磋商报价</w:t>
      </w:r>
      <w:r>
        <w:rPr>
          <w:rFonts w:hint="eastAsia" w:ascii="宋体" w:hAnsi="宋体" w:eastAsia="宋体" w:cs="宋体"/>
          <w:color w:val="auto"/>
          <w:sz w:val="24"/>
          <w:szCs w:val="24"/>
        </w:rPr>
        <w:t>。如对自己的唱标内容有异议的，应在唱标内容显示后10分钟内向中介服务机构电话质疑。中介服务机构应在监督人员的监督下进行免提通话接受投标供应商的质疑并做好书面记录。投标供应商未在规定时间内提出质疑的，视为认可唱标内容。</w:t>
      </w:r>
    </w:p>
    <w:p w14:paraId="152DB2F0">
      <w:pPr>
        <w:autoSpaceDE w:val="0"/>
        <w:autoSpaceDN w:val="0"/>
        <w:adjustRightInd w:val="0"/>
        <w:spacing w:line="360" w:lineRule="auto"/>
        <w:ind w:firstLine="482"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6.评标</w:t>
      </w:r>
    </w:p>
    <w:p w14:paraId="2FD54EDC">
      <w:pPr>
        <w:spacing w:line="360" w:lineRule="auto"/>
        <w:ind w:firstLine="482"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6.1磋商小组</w:t>
      </w:r>
    </w:p>
    <w:p w14:paraId="6886E6C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kern w:val="0"/>
          <w:sz w:val="24"/>
          <w:szCs w:val="24"/>
        </w:rPr>
        <w:t>6.1.1</w:t>
      </w:r>
      <w:r>
        <w:rPr>
          <w:rFonts w:hint="eastAsia" w:ascii="宋体" w:hAnsi="宋体" w:eastAsia="宋体" w:cs="宋体"/>
          <w:color w:val="auto"/>
          <w:sz w:val="24"/>
          <w:szCs w:val="24"/>
        </w:rPr>
        <w:t>评标由采购人依法组建的</w:t>
      </w:r>
      <w:r>
        <w:rPr>
          <w:rFonts w:hint="eastAsia" w:ascii="宋体" w:hAnsi="宋体" w:cs="宋体"/>
          <w:color w:val="auto"/>
          <w:spacing w:val="6"/>
          <w:sz w:val="24"/>
          <w:szCs w:val="24"/>
          <w:lang w:val="en-US" w:eastAsia="zh-CN"/>
        </w:rPr>
        <w:t>磋商小组</w:t>
      </w:r>
      <w:r>
        <w:rPr>
          <w:rFonts w:hint="eastAsia" w:ascii="宋体" w:hAnsi="宋体" w:eastAsia="宋体" w:cs="宋体"/>
          <w:color w:val="auto"/>
          <w:sz w:val="24"/>
          <w:szCs w:val="24"/>
        </w:rPr>
        <w:t>负责。</w:t>
      </w:r>
      <w:r>
        <w:rPr>
          <w:rFonts w:hint="eastAsia" w:ascii="宋体" w:hAnsi="宋体" w:cs="宋体"/>
          <w:color w:val="auto"/>
          <w:spacing w:val="6"/>
          <w:sz w:val="24"/>
          <w:szCs w:val="24"/>
          <w:lang w:val="en-US" w:eastAsia="zh-CN"/>
        </w:rPr>
        <w:t>磋商小组</w:t>
      </w:r>
      <w:r>
        <w:rPr>
          <w:rFonts w:hint="eastAsia" w:ascii="宋体" w:hAnsi="宋体" w:eastAsia="宋体" w:cs="宋体"/>
          <w:color w:val="auto"/>
          <w:sz w:val="24"/>
          <w:szCs w:val="24"/>
        </w:rPr>
        <w:t>由采购人，以及有关技术、经济等方面的专家组成。</w:t>
      </w:r>
      <w:r>
        <w:rPr>
          <w:rFonts w:hint="eastAsia" w:ascii="宋体" w:hAnsi="宋体" w:cs="宋体"/>
          <w:color w:val="auto"/>
          <w:spacing w:val="6"/>
          <w:sz w:val="24"/>
          <w:szCs w:val="24"/>
          <w:lang w:val="en-US" w:eastAsia="zh-CN"/>
        </w:rPr>
        <w:t>磋商小组</w:t>
      </w:r>
      <w:r>
        <w:rPr>
          <w:rFonts w:hint="eastAsia" w:ascii="宋体" w:hAnsi="宋体" w:eastAsia="宋体" w:cs="宋体"/>
          <w:color w:val="auto"/>
          <w:sz w:val="24"/>
          <w:szCs w:val="24"/>
        </w:rPr>
        <w:t>成员人数以及技术、经济等方面专家的确定方式见投标供应商须知前附表。</w:t>
      </w:r>
    </w:p>
    <w:p w14:paraId="745C170C">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6.1.2</w:t>
      </w:r>
      <w:r>
        <w:rPr>
          <w:rFonts w:hint="eastAsia" w:ascii="宋体" w:hAnsi="宋体" w:cs="宋体"/>
          <w:color w:val="auto"/>
          <w:spacing w:val="6"/>
          <w:sz w:val="24"/>
          <w:szCs w:val="24"/>
          <w:lang w:val="en-US" w:eastAsia="zh-CN"/>
        </w:rPr>
        <w:t>磋商小组</w:t>
      </w:r>
      <w:r>
        <w:rPr>
          <w:rFonts w:hint="eastAsia" w:ascii="宋体" w:hAnsi="宋体" w:eastAsia="宋体" w:cs="宋体"/>
          <w:color w:val="auto"/>
          <w:sz w:val="24"/>
          <w:szCs w:val="24"/>
        </w:rPr>
        <w:t>成员有下列情形之一的，应当回避：</w:t>
      </w:r>
    </w:p>
    <w:p w14:paraId="3601180F">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（1）参加采购活动前三年内，与供应商存在劳动关系，或者担任过供应商的董事、监事，或者是供应商的控股股东或实际控制人；</w:t>
      </w:r>
    </w:p>
    <w:p w14:paraId="1C37B505">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（2）与供应商的法定代表人或者负责人有夫妻、直系血亲、三代以内旁系血亲或者近姻亲关系；</w:t>
      </w:r>
    </w:p>
    <w:p w14:paraId="713FF16B">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（3）项目主管部门或者行政监督部门的人员；</w:t>
      </w:r>
    </w:p>
    <w:p w14:paraId="1069BCCA">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（4）曾因在</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、评标以及其他与</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投标有关活动中从事违法行为而受过行政处罚或刑事处罚的。</w:t>
      </w:r>
      <w:r>
        <w:rPr>
          <w:rFonts w:hint="eastAsia" w:ascii="宋体" w:hAnsi="宋体" w:cs="宋体"/>
          <w:color w:val="auto"/>
          <w:sz w:val="24"/>
          <w:szCs w:val="24"/>
          <w:lang w:eastAsia="zh-CN"/>
        </w:rPr>
        <w:t>磋商小组</w:t>
      </w:r>
      <w:r>
        <w:rPr>
          <w:rFonts w:hint="eastAsia" w:ascii="宋体" w:hAnsi="宋体" w:eastAsia="宋体" w:cs="宋体"/>
          <w:color w:val="auto"/>
          <w:sz w:val="24"/>
          <w:szCs w:val="24"/>
        </w:rPr>
        <w:t>成员有前款规定情形之一的，应当主动提出回避；</w:t>
      </w:r>
    </w:p>
    <w:p w14:paraId="14507B44">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（5）与供应商有其他可能影响政府采购活动公平、公正进行的关系。</w:t>
      </w:r>
    </w:p>
    <w:p w14:paraId="6072C1E5">
      <w:pPr>
        <w:autoSpaceDE w:val="0"/>
        <w:autoSpaceDN w:val="0"/>
        <w:adjustRightInd w:val="0"/>
        <w:spacing w:line="360" w:lineRule="auto"/>
        <w:ind w:firstLine="480" w:firstLineChars="200"/>
        <w:jc w:val="left"/>
        <w:rPr>
          <w:rFonts w:hint="eastAsia" w:ascii="宋体" w:hAnsi="宋体" w:eastAsia="宋体" w:cs="宋体"/>
          <w:b/>
          <w:bCs/>
          <w:color w:val="auto"/>
          <w:kern w:val="0"/>
          <w:sz w:val="24"/>
          <w:szCs w:val="24"/>
        </w:rPr>
      </w:pPr>
      <w:r>
        <w:rPr>
          <w:rFonts w:hint="eastAsia" w:ascii="宋体" w:hAnsi="宋体" w:eastAsia="宋体" w:cs="宋体"/>
          <w:color w:val="auto"/>
          <w:sz w:val="24"/>
          <w:szCs w:val="24"/>
        </w:rPr>
        <w:t>6.1.3评标过程中，</w:t>
      </w:r>
      <w:r>
        <w:rPr>
          <w:rFonts w:hint="eastAsia" w:ascii="宋体" w:hAnsi="宋体" w:cs="宋体"/>
          <w:color w:val="auto"/>
          <w:spacing w:val="6"/>
          <w:sz w:val="24"/>
          <w:szCs w:val="24"/>
          <w:lang w:val="en-US" w:eastAsia="zh-CN"/>
        </w:rPr>
        <w:t>磋商小组</w:t>
      </w:r>
      <w:r>
        <w:rPr>
          <w:rFonts w:hint="eastAsia" w:ascii="宋体" w:hAnsi="宋体" w:eastAsia="宋体" w:cs="宋体"/>
          <w:color w:val="auto"/>
          <w:sz w:val="24"/>
          <w:szCs w:val="24"/>
        </w:rPr>
        <w:t>成员有回避事由、擅离职守或者因健康等原因不能继续评标的，采购人有权更换。被更换的</w:t>
      </w:r>
      <w:r>
        <w:rPr>
          <w:rFonts w:hint="eastAsia" w:ascii="宋体" w:hAnsi="宋体" w:cs="宋体"/>
          <w:color w:val="auto"/>
          <w:spacing w:val="6"/>
          <w:sz w:val="24"/>
          <w:szCs w:val="24"/>
          <w:lang w:val="en-US" w:eastAsia="zh-CN"/>
        </w:rPr>
        <w:t>磋商小组</w:t>
      </w:r>
      <w:r>
        <w:rPr>
          <w:rFonts w:hint="eastAsia" w:ascii="宋体" w:hAnsi="宋体" w:eastAsia="宋体" w:cs="宋体"/>
          <w:color w:val="auto"/>
          <w:sz w:val="24"/>
          <w:szCs w:val="24"/>
        </w:rPr>
        <w:t>成员作出的评审结论无效，由更换后的</w:t>
      </w:r>
      <w:r>
        <w:rPr>
          <w:rFonts w:hint="eastAsia" w:ascii="宋体" w:hAnsi="宋体" w:cs="宋体"/>
          <w:color w:val="auto"/>
          <w:sz w:val="24"/>
          <w:szCs w:val="24"/>
          <w:lang w:eastAsia="zh-CN"/>
        </w:rPr>
        <w:t>磋商小组</w:t>
      </w:r>
      <w:r>
        <w:rPr>
          <w:rFonts w:hint="eastAsia" w:ascii="宋体" w:hAnsi="宋体" w:eastAsia="宋体" w:cs="宋体"/>
          <w:color w:val="auto"/>
          <w:sz w:val="24"/>
          <w:szCs w:val="24"/>
        </w:rPr>
        <w:t>成员重新进行评审。</w:t>
      </w:r>
    </w:p>
    <w:p w14:paraId="60411B25">
      <w:pPr>
        <w:autoSpaceDE w:val="0"/>
        <w:autoSpaceDN w:val="0"/>
        <w:adjustRightInd w:val="0"/>
        <w:spacing w:line="360" w:lineRule="auto"/>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6.2评标原则</w:t>
      </w:r>
    </w:p>
    <w:p w14:paraId="6F6C2C06">
      <w:pPr>
        <w:autoSpaceDE w:val="0"/>
        <w:autoSpaceDN w:val="0"/>
        <w:adjustRightInd w:val="0"/>
        <w:spacing w:line="360" w:lineRule="auto"/>
        <w:ind w:firstLine="480" w:firstLineChars="200"/>
        <w:jc w:val="left"/>
        <w:rPr>
          <w:rFonts w:hint="eastAsia" w:ascii="宋体" w:hAnsi="宋体" w:eastAsia="宋体" w:cs="宋体"/>
          <w:b/>
          <w:bCs/>
          <w:color w:val="auto"/>
          <w:kern w:val="0"/>
          <w:sz w:val="24"/>
          <w:szCs w:val="24"/>
        </w:rPr>
      </w:pPr>
      <w:r>
        <w:rPr>
          <w:rFonts w:hint="eastAsia" w:ascii="宋体" w:hAnsi="宋体" w:eastAsia="宋体" w:cs="宋体"/>
          <w:color w:val="auto"/>
          <w:sz w:val="24"/>
          <w:szCs w:val="24"/>
        </w:rPr>
        <w:t>评标活动遵循公平、公正、科学和择优的原则。</w:t>
      </w:r>
    </w:p>
    <w:p w14:paraId="05A6B272">
      <w:pPr>
        <w:autoSpaceDE w:val="0"/>
        <w:autoSpaceDN w:val="0"/>
        <w:adjustRightInd w:val="0"/>
        <w:spacing w:line="360" w:lineRule="auto"/>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6.3评标</w:t>
      </w:r>
    </w:p>
    <w:p w14:paraId="3E58CB13">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6.3.1评标方法综合评分法，详见</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文件第四章。</w:t>
      </w:r>
    </w:p>
    <w:p w14:paraId="7FC3F332">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6.3.2</w:t>
      </w:r>
      <w:r>
        <w:rPr>
          <w:rFonts w:hint="eastAsia" w:ascii="宋体" w:hAnsi="宋体" w:eastAsia="宋体" w:cs="宋体"/>
          <w:color w:val="auto"/>
          <w:sz w:val="24"/>
          <w:szCs w:val="24"/>
          <w:lang w:val="en-US" w:eastAsia="zh-CN"/>
        </w:rPr>
        <w:t xml:space="preserve"> 资格性评审、</w:t>
      </w:r>
      <w:r>
        <w:rPr>
          <w:rFonts w:hint="eastAsia" w:ascii="宋体" w:hAnsi="宋体" w:eastAsia="宋体" w:cs="宋体"/>
          <w:color w:val="auto"/>
          <w:sz w:val="24"/>
          <w:szCs w:val="24"/>
        </w:rPr>
        <w:t>形式评审和符合性评审</w:t>
      </w:r>
    </w:p>
    <w:p w14:paraId="05BB2F98">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磋商小组</w:t>
      </w:r>
      <w:r>
        <w:rPr>
          <w:rFonts w:hint="eastAsia" w:ascii="宋体" w:hAnsi="宋体" w:eastAsia="宋体" w:cs="宋体"/>
          <w:color w:val="auto"/>
          <w:sz w:val="24"/>
          <w:szCs w:val="24"/>
        </w:rPr>
        <w:t>应当对投标供应商的投标文件进行</w:t>
      </w:r>
      <w:r>
        <w:rPr>
          <w:rFonts w:hint="eastAsia" w:ascii="宋体" w:hAnsi="宋体" w:eastAsia="宋体" w:cs="宋体"/>
          <w:color w:val="auto"/>
          <w:sz w:val="24"/>
          <w:szCs w:val="24"/>
          <w:lang w:val="en-US" w:eastAsia="zh-CN"/>
        </w:rPr>
        <w:t xml:space="preserve"> 资格性评审、</w:t>
      </w:r>
      <w:r>
        <w:rPr>
          <w:rFonts w:hint="eastAsia" w:ascii="宋体" w:hAnsi="宋体" w:eastAsia="宋体" w:cs="宋体"/>
          <w:color w:val="auto"/>
          <w:sz w:val="24"/>
          <w:szCs w:val="24"/>
        </w:rPr>
        <w:t>形式评审和符合性评审，以确定其是否满足</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文件的实质性要求。</w:t>
      </w:r>
    </w:p>
    <w:p w14:paraId="2E917E0E">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6.3.3投标文件的澄清</w:t>
      </w:r>
    </w:p>
    <w:p w14:paraId="4794AABD">
      <w:pPr>
        <w:autoSpaceDE w:val="0"/>
        <w:autoSpaceDN w:val="0"/>
        <w:adjustRightInd w:val="0"/>
        <w:spacing w:line="360" w:lineRule="auto"/>
        <w:ind w:firstLine="480" w:firstLineChars="200"/>
        <w:jc w:val="left"/>
        <w:rPr>
          <w:rFonts w:hint="eastAsia" w:ascii="宋体" w:hAnsi="宋体" w:eastAsia="宋体" w:cs="宋体"/>
          <w:b/>
          <w:bCs/>
          <w:color w:val="auto"/>
          <w:kern w:val="0"/>
          <w:sz w:val="24"/>
          <w:szCs w:val="24"/>
        </w:rPr>
      </w:pPr>
      <w:r>
        <w:rPr>
          <w:rFonts w:hint="eastAsia" w:ascii="宋体" w:hAnsi="宋体" w:eastAsia="宋体" w:cs="宋体"/>
          <w:color w:val="auto"/>
          <w:sz w:val="24"/>
          <w:szCs w:val="24"/>
        </w:rPr>
        <w:t>在评标期间，为有助于电子化投标文件的审查、评价和比较，</w:t>
      </w:r>
      <w:r>
        <w:rPr>
          <w:rFonts w:hint="eastAsia" w:ascii="宋体" w:hAnsi="宋体" w:cs="宋体"/>
          <w:color w:val="auto"/>
          <w:spacing w:val="6"/>
          <w:sz w:val="24"/>
          <w:szCs w:val="24"/>
          <w:lang w:val="en-US" w:eastAsia="zh-CN"/>
        </w:rPr>
        <w:t>磋商小组</w:t>
      </w:r>
      <w:r>
        <w:rPr>
          <w:rFonts w:hint="eastAsia" w:ascii="宋体" w:hAnsi="宋体" w:eastAsia="宋体" w:cs="宋体"/>
          <w:color w:val="auto"/>
          <w:sz w:val="24"/>
          <w:szCs w:val="24"/>
        </w:rPr>
        <w:t>可以以书面形式要求投标供应商对电子化投标文件含义不明确的内容作必要的澄清或说明，投标供应商应采用书面形式进行澄清或说明，但不得超出电子化投标文件的范围或改变电子化投标文件的实质性内容。根据本须知规定，凡属于</w:t>
      </w:r>
      <w:r>
        <w:rPr>
          <w:rFonts w:hint="eastAsia" w:ascii="宋体" w:hAnsi="宋体" w:cs="宋体"/>
          <w:color w:val="auto"/>
          <w:spacing w:val="6"/>
          <w:sz w:val="24"/>
          <w:szCs w:val="24"/>
          <w:lang w:val="en-US" w:eastAsia="zh-CN"/>
        </w:rPr>
        <w:t>磋商小组</w:t>
      </w:r>
      <w:r>
        <w:rPr>
          <w:rFonts w:hint="eastAsia" w:ascii="宋体" w:hAnsi="宋体" w:eastAsia="宋体" w:cs="宋体"/>
          <w:color w:val="auto"/>
          <w:sz w:val="24"/>
          <w:szCs w:val="24"/>
        </w:rPr>
        <w:t>在评标中发现的计算错误并进行核实的修改不在此列。</w:t>
      </w:r>
    </w:p>
    <w:p w14:paraId="56858C93">
      <w:pPr>
        <w:spacing w:line="360" w:lineRule="auto"/>
        <w:ind w:firstLine="480" w:firstLineChars="200"/>
        <w:rPr>
          <w:rFonts w:hint="eastAsia" w:ascii="宋体" w:hAnsi="宋体" w:eastAsia="宋体" w:cs="宋体"/>
          <w:bCs/>
          <w:color w:val="auto"/>
          <w:kern w:val="0"/>
          <w:sz w:val="24"/>
          <w:szCs w:val="24"/>
        </w:rPr>
      </w:pPr>
      <w:r>
        <w:rPr>
          <w:rFonts w:hint="eastAsia" w:ascii="宋体" w:hAnsi="宋体" w:eastAsia="宋体" w:cs="宋体"/>
          <w:bCs/>
          <w:color w:val="auto"/>
          <w:sz w:val="24"/>
          <w:szCs w:val="24"/>
        </w:rPr>
        <w:t>6.3.4电子化投标文件计算错误的修正</w:t>
      </w:r>
    </w:p>
    <w:p w14:paraId="2DB62F9A">
      <w:pPr>
        <w:spacing w:line="360" w:lineRule="auto"/>
        <w:ind w:firstLine="504" w:firstLineChars="200"/>
        <w:rPr>
          <w:rFonts w:hint="eastAsia" w:ascii="宋体" w:hAnsi="宋体" w:eastAsia="宋体" w:cs="宋体"/>
          <w:color w:val="auto"/>
          <w:sz w:val="24"/>
          <w:szCs w:val="24"/>
        </w:rPr>
      </w:pPr>
      <w:r>
        <w:rPr>
          <w:rFonts w:hint="eastAsia" w:ascii="宋体" w:hAnsi="宋体" w:cs="宋体"/>
          <w:color w:val="auto"/>
          <w:spacing w:val="6"/>
          <w:sz w:val="24"/>
          <w:szCs w:val="24"/>
          <w:lang w:val="en-US" w:eastAsia="zh-CN"/>
        </w:rPr>
        <w:t>磋商小组</w:t>
      </w:r>
      <w:r>
        <w:rPr>
          <w:rFonts w:hint="eastAsia" w:ascii="宋体" w:hAnsi="宋体" w:eastAsia="宋体" w:cs="宋体"/>
          <w:color w:val="auto"/>
          <w:sz w:val="24"/>
          <w:szCs w:val="24"/>
        </w:rPr>
        <w:t>将对确定为实质上响应</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文件要求的电子化投标文件进行校核，看其是否有计算或表达上的错误，修正错误的原则如下：</w:t>
      </w:r>
    </w:p>
    <w:p w14:paraId="27227DF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kern w:val="0"/>
          <w:sz w:val="24"/>
          <w:szCs w:val="24"/>
        </w:rPr>
        <w:t>（1）</w:t>
      </w:r>
      <w:r>
        <w:rPr>
          <w:rFonts w:hint="eastAsia" w:ascii="宋体" w:hAnsi="宋体" w:eastAsia="宋体" w:cs="宋体"/>
          <w:color w:val="auto"/>
          <w:sz w:val="24"/>
          <w:szCs w:val="24"/>
        </w:rPr>
        <w:t>电子化投标文件中的大写金额和小写金额不一致的，以大写金额为准；</w:t>
      </w:r>
    </w:p>
    <w:p w14:paraId="69B8281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kern w:val="0"/>
          <w:sz w:val="24"/>
          <w:szCs w:val="24"/>
        </w:rPr>
        <w:t>（2）</w:t>
      </w:r>
      <w:r>
        <w:rPr>
          <w:rFonts w:hint="eastAsia" w:ascii="宋体" w:hAnsi="宋体" w:eastAsia="宋体" w:cs="宋体"/>
          <w:color w:val="auto"/>
          <w:sz w:val="24"/>
          <w:szCs w:val="24"/>
        </w:rPr>
        <w:t>对不同文字文本电子化投标文件的解释发生异议的，以中文文本为准。</w:t>
      </w:r>
    </w:p>
    <w:p w14:paraId="4E3FB849">
      <w:pPr>
        <w:autoSpaceDE w:val="0"/>
        <w:autoSpaceDN w:val="0"/>
        <w:adjustRightInd w:val="0"/>
        <w:spacing w:line="360" w:lineRule="auto"/>
        <w:ind w:firstLine="480" w:firstLineChars="200"/>
        <w:jc w:val="left"/>
        <w:rPr>
          <w:rFonts w:hint="eastAsia" w:ascii="宋体" w:hAnsi="宋体" w:eastAsia="宋体" w:cs="宋体"/>
          <w:b/>
          <w:bCs/>
          <w:color w:val="auto"/>
          <w:kern w:val="0"/>
          <w:sz w:val="24"/>
          <w:szCs w:val="24"/>
        </w:rPr>
      </w:pPr>
      <w:r>
        <w:rPr>
          <w:rFonts w:hint="eastAsia" w:ascii="宋体" w:hAnsi="宋体" w:eastAsia="宋体" w:cs="宋体"/>
          <w:color w:val="auto"/>
          <w:sz w:val="24"/>
          <w:szCs w:val="24"/>
        </w:rPr>
        <w:t>按上述修正错误的原则及方法调整或修正电子化投标文件的</w:t>
      </w:r>
      <w:r>
        <w:rPr>
          <w:rFonts w:hint="eastAsia" w:ascii="宋体" w:hAnsi="宋体" w:cs="宋体"/>
          <w:color w:val="auto"/>
          <w:sz w:val="24"/>
          <w:szCs w:val="24"/>
          <w:lang w:eastAsia="zh-CN"/>
        </w:rPr>
        <w:t>磋商报价</w:t>
      </w:r>
      <w:r>
        <w:rPr>
          <w:rFonts w:hint="eastAsia" w:ascii="宋体" w:hAnsi="宋体" w:eastAsia="宋体" w:cs="宋体"/>
          <w:color w:val="auto"/>
          <w:sz w:val="24"/>
          <w:szCs w:val="24"/>
        </w:rPr>
        <w:t>，投标供应商同意后，调整后的</w:t>
      </w:r>
      <w:r>
        <w:rPr>
          <w:rFonts w:hint="eastAsia" w:ascii="宋体" w:hAnsi="宋体" w:cs="宋体"/>
          <w:color w:val="auto"/>
          <w:sz w:val="24"/>
          <w:szCs w:val="24"/>
          <w:lang w:eastAsia="zh-CN"/>
        </w:rPr>
        <w:t>磋商报价</w:t>
      </w:r>
      <w:r>
        <w:rPr>
          <w:rFonts w:hint="eastAsia" w:ascii="宋体" w:hAnsi="宋体" w:eastAsia="宋体" w:cs="宋体"/>
          <w:color w:val="auto"/>
          <w:sz w:val="24"/>
          <w:szCs w:val="24"/>
        </w:rPr>
        <w:t>对投标供应商起约束作用。</w:t>
      </w:r>
    </w:p>
    <w:p w14:paraId="2A9A5BC1">
      <w:pPr>
        <w:autoSpaceDE w:val="0"/>
        <w:autoSpaceDN w:val="0"/>
        <w:adjustRightIn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6.3.</w:t>
      </w: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投标无效</w:t>
      </w:r>
    </w:p>
    <w:p w14:paraId="202F3EEE">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电子化投标文件有下列情形之一的，由</w:t>
      </w:r>
      <w:r>
        <w:rPr>
          <w:rFonts w:hint="eastAsia" w:ascii="宋体" w:hAnsi="宋体" w:cs="宋体"/>
          <w:color w:val="auto"/>
          <w:spacing w:val="6"/>
          <w:sz w:val="24"/>
          <w:szCs w:val="24"/>
          <w:lang w:val="en-US" w:eastAsia="zh-CN"/>
        </w:rPr>
        <w:t>磋商小组</w:t>
      </w:r>
      <w:r>
        <w:rPr>
          <w:rFonts w:hint="eastAsia" w:ascii="宋体" w:hAnsi="宋体" w:eastAsia="宋体" w:cs="宋体"/>
          <w:color w:val="auto"/>
          <w:sz w:val="24"/>
          <w:szCs w:val="24"/>
        </w:rPr>
        <w:t>初审后按无效标处理：</w:t>
      </w:r>
    </w:p>
    <w:p w14:paraId="0366BF6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（1）投标文件未按照</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文件规定要求签署、盖章的；</w:t>
      </w:r>
    </w:p>
    <w:p w14:paraId="03264D8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eastAsia="zh-CN"/>
        </w:rPr>
        <w:t>磋商报价</w:t>
      </w:r>
      <w:r>
        <w:rPr>
          <w:rFonts w:hint="eastAsia" w:ascii="宋体" w:hAnsi="宋体" w:eastAsia="宋体" w:cs="宋体"/>
          <w:color w:val="auto"/>
          <w:sz w:val="24"/>
          <w:szCs w:val="24"/>
        </w:rPr>
        <w:t>高于</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文件中投标最高限价的；</w:t>
      </w:r>
    </w:p>
    <w:p w14:paraId="5071310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（3）电子化投标文件附有采购人不能接受的条件的；</w:t>
      </w:r>
    </w:p>
    <w:p w14:paraId="6FC7447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（4）以他人的名义投标、串通投标、以行贿手段谋取</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或者以其他弄虚作假方式投标的；</w:t>
      </w:r>
    </w:p>
    <w:p w14:paraId="682031C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（5）采取不正当手段谋取</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的。</w:t>
      </w:r>
    </w:p>
    <w:p w14:paraId="665FB61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kern w:val="0"/>
          <w:sz w:val="24"/>
          <w:szCs w:val="24"/>
        </w:rPr>
        <w:t>6.3.</w:t>
      </w:r>
      <w:r>
        <w:rPr>
          <w:rFonts w:hint="eastAsia" w:ascii="宋体" w:hAnsi="宋体" w:eastAsia="宋体" w:cs="宋体"/>
          <w:bCs/>
          <w:color w:val="auto"/>
          <w:kern w:val="0"/>
          <w:sz w:val="24"/>
          <w:szCs w:val="24"/>
          <w:lang w:val="en-US" w:eastAsia="zh-CN"/>
        </w:rPr>
        <w:t>6</w:t>
      </w:r>
      <w:r>
        <w:rPr>
          <w:rFonts w:hint="eastAsia" w:ascii="宋体" w:hAnsi="宋体" w:eastAsia="宋体" w:cs="宋体"/>
          <w:color w:val="auto"/>
          <w:kern w:val="0"/>
          <w:sz w:val="24"/>
          <w:szCs w:val="24"/>
        </w:rPr>
        <w:t>评标时，</w:t>
      </w:r>
      <w:r>
        <w:rPr>
          <w:rFonts w:hint="eastAsia" w:ascii="宋体" w:hAnsi="宋体" w:cs="宋体"/>
          <w:color w:val="auto"/>
          <w:kern w:val="0"/>
          <w:sz w:val="24"/>
          <w:szCs w:val="24"/>
          <w:lang w:eastAsia="zh-CN"/>
        </w:rPr>
        <w:t>磋商报价</w:t>
      </w:r>
      <w:r>
        <w:rPr>
          <w:rFonts w:hint="eastAsia" w:ascii="宋体" w:hAnsi="宋体" w:eastAsia="宋体" w:cs="宋体"/>
          <w:color w:val="auto"/>
          <w:kern w:val="0"/>
          <w:sz w:val="24"/>
          <w:szCs w:val="24"/>
        </w:rPr>
        <w:t>是评标的重要依据，但不是唯一依据，</w:t>
      </w:r>
      <w:r>
        <w:rPr>
          <w:rFonts w:hint="eastAsia" w:ascii="宋体" w:hAnsi="宋体" w:eastAsia="宋体" w:cs="宋体"/>
          <w:color w:val="auto"/>
          <w:sz w:val="24"/>
          <w:szCs w:val="24"/>
        </w:rPr>
        <w:t>采购人不承诺将合同授予报价最低或最高的投标供应商。</w:t>
      </w:r>
    </w:p>
    <w:p w14:paraId="29C8476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6.3.</w:t>
      </w:r>
      <w:r>
        <w:rPr>
          <w:rFonts w:hint="eastAsia" w:ascii="宋体" w:hAnsi="宋体" w:eastAsia="宋体" w:cs="宋体"/>
          <w:bCs/>
          <w:color w:val="auto"/>
          <w:sz w:val="24"/>
          <w:szCs w:val="24"/>
          <w:lang w:val="en-US" w:eastAsia="zh-CN"/>
        </w:rPr>
        <w:t>7</w:t>
      </w:r>
      <w:r>
        <w:rPr>
          <w:rFonts w:hint="eastAsia" w:ascii="宋体" w:hAnsi="宋体" w:cs="宋体"/>
          <w:color w:val="auto"/>
          <w:spacing w:val="6"/>
          <w:sz w:val="24"/>
          <w:szCs w:val="24"/>
          <w:lang w:val="en-US" w:eastAsia="zh-CN"/>
        </w:rPr>
        <w:t>磋商小组</w:t>
      </w:r>
      <w:r>
        <w:rPr>
          <w:rFonts w:hint="eastAsia" w:ascii="宋体" w:hAnsi="宋体" w:eastAsia="宋体" w:cs="宋体"/>
          <w:color w:val="auto"/>
          <w:sz w:val="24"/>
          <w:szCs w:val="24"/>
        </w:rPr>
        <w:t>认为投标供应商的报价明显低于其他通过符合性审查投标供应商的报价，有可能影响</w:t>
      </w:r>
      <w:r>
        <w:rPr>
          <w:rFonts w:hint="eastAsia" w:ascii="宋体" w:hAnsi="宋体" w:eastAsia="宋体" w:cs="宋体"/>
          <w:color w:val="auto"/>
          <w:sz w:val="24"/>
          <w:szCs w:val="24"/>
          <w:lang w:eastAsia="zh-CN"/>
        </w:rPr>
        <w:t>服务</w:t>
      </w:r>
      <w:r>
        <w:rPr>
          <w:rFonts w:hint="eastAsia" w:ascii="宋体" w:hAnsi="宋体" w:eastAsia="宋体" w:cs="宋体"/>
          <w:color w:val="auto"/>
          <w:sz w:val="24"/>
          <w:szCs w:val="24"/>
        </w:rPr>
        <w:t>质量或者不能诚信履约的，应当要求其在评标现场合理的时间内提供书面说明，必要时提交相关证明材料；投标供应商不能证明其报价合理性的，</w:t>
      </w:r>
      <w:r>
        <w:rPr>
          <w:rFonts w:hint="eastAsia" w:ascii="宋体" w:hAnsi="宋体" w:cs="宋体"/>
          <w:color w:val="auto"/>
          <w:spacing w:val="6"/>
          <w:sz w:val="24"/>
          <w:szCs w:val="24"/>
          <w:lang w:val="en-US" w:eastAsia="zh-CN"/>
        </w:rPr>
        <w:t>磋商小组</w:t>
      </w:r>
      <w:r>
        <w:rPr>
          <w:rFonts w:hint="eastAsia" w:ascii="宋体" w:hAnsi="宋体" w:eastAsia="宋体" w:cs="宋体"/>
          <w:color w:val="auto"/>
          <w:sz w:val="24"/>
          <w:szCs w:val="24"/>
        </w:rPr>
        <w:t>应当将其作为无效投标处理。</w:t>
      </w:r>
    </w:p>
    <w:p w14:paraId="6FBC080E">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bCs/>
          <w:color w:val="auto"/>
          <w:sz w:val="24"/>
          <w:szCs w:val="24"/>
        </w:rPr>
        <w:t>6.3.</w:t>
      </w:r>
      <w:r>
        <w:rPr>
          <w:rFonts w:hint="eastAsia" w:ascii="宋体" w:hAnsi="宋体" w:eastAsia="宋体" w:cs="宋体"/>
          <w:bCs/>
          <w:color w:val="auto"/>
          <w:sz w:val="24"/>
          <w:szCs w:val="24"/>
          <w:lang w:val="en-US" w:eastAsia="zh-CN"/>
        </w:rPr>
        <w:t>8</w:t>
      </w:r>
      <w:r>
        <w:rPr>
          <w:rFonts w:hint="eastAsia" w:ascii="宋体" w:hAnsi="宋体" w:cs="宋体"/>
          <w:color w:val="auto"/>
          <w:spacing w:val="6"/>
          <w:sz w:val="24"/>
          <w:szCs w:val="24"/>
          <w:lang w:val="en-US" w:eastAsia="zh-CN"/>
        </w:rPr>
        <w:t>磋商小组</w:t>
      </w:r>
      <w:r>
        <w:rPr>
          <w:rFonts w:hint="eastAsia" w:ascii="宋体" w:hAnsi="宋体" w:eastAsia="宋体" w:cs="宋体"/>
          <w:color w:val="auto"/>
          <w:sz w:val="24"/>
          <w:szCs w:val="24"/>
        </w:rPr>
        <w:t>依据本须知规定的评标标准和方法，对电子化投标文件进行评审和比较，按评委计分结果,</w:t>
      </w:r>
      <w:r>
        <w:rPr>
          <w:rFonts w:hint="eastAsia" w:ascii="宋体" w:hAnsi="宋体" w:cs="宋体"/>
          <w:color w:val="auto"/>
          <w:spacing w:val="6"/>
          <w:sz w:val="24"/>
          <w:szCs w:val="24"/>
          <w:lang w:val="en-US" w:eastAsia="zh-CN"/>
        </w:rPr>
        <w:t>磋商小组</w:t>
      </w:r>
      <w:r>
        <w:rPr>
          <w:rFonts w:hint="eastAsia" w:ascii="宋体" w:hAnsi="宋体" w:eastAsia="宋体" w:cs="宋体"/>
          <w:color w:val="auto"/>
          <w:sz w:val="24"/>
          <w:szCs w:val="24"/>
        </w:rPr>
        <w:t>按照得分由高到低的顺序推荐3名</w:t>
      </w:r>
      <w:r>
        <w:rPr>
          <w:rFonts w:hint="eastAsia" w:ascii="宋体" w:hAnsi="宋体" w:cs="宋体"/>
          <w:color w:val="auto"/>
          <w:sz w:val="24"/>
          <w:szCs w:val="24"/>
          <w:lang w:val="en-US" w:eastAsia="zh-CN"/>
        </w:rPr>
        <w:t>成交</w:t>
      </w:r>
      <w:r>
        <w:rPr>
          <w:rFonts w:hint="eastAsia" w:ascii="宋体" w:hAnsi="宋体" w:eastAsia="宋体" w:cs="宋体"/>
          <w:color w:val="auto"/>
          <w:sz w:val="24"/>
          <w:szCs w:val="24"/>
        </w:rPr>
        <w:t>供应商，并向采购人提供书面评标报告。</w:t>
      </w:r>
    </w:p>
    <w:p w14:paraId="748B9829">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bCs/>
          <w:color w:val="auto"/>
          <w:kern w:val="0"/>
          <w:sz w:val="24"/>
          <w:szCs w:val="24"/>
        </w:rPr>
        <w:t>6.3.</w:t>
      </w:r>
      <w:r>
        <w:rPr>
          <w:rFonts w:hint="eastAsia" w:ascii="宋体" w:hAnsi="宋体" w:eastAsia="宋体" w:cs="宋体"/>
          <w:bCs/>
          <w:color w:val="auto"/>
          <w:kern w:val="0"/>
          <w:sz w:val="24"/>
          <w:szCs w:val="24"/>
          <w:lang w:val="en-US" w:eastAsia="zh-CN"/>
        </w:rPr>
        <w:t>9</w:t>
      </w:r>
      <w:r>
        <w:rPr>
          <w:rFonts w:hint="eastAsia" w:ascii="宋体" w:hAnsi="宋体" w:eastAsia="宋体" w:cs="宋体"/>
          <w:color w:val="auto"/>
          <w:kern w:val="0"/>
          <w:sz w:val="24"/>
          <w:szCs w:val="24"/>
        </w:rPr>
        <w:t>本项目采用综合评分法，按评审后得分由高到低顺序排列。得分相同的，按</w:t>
      </w:r>
      <w:r>
        <w:rPr>
          <w:rFonts w:hint="eastAsia" w:ascii="宋体" w:hAnsi="宋体" w:cs="宋体"/>
          <w:color w:val="auto"/>
          <w:kern w:val="0"/>
          <w:sz w:val="24"/>
          <w:szCs w:val="24"/>
          <w:lang w:eastAsia="zh-CN"/>
        </w:rPr>
        <w:t>磋商报价</w:t>
      </w:r>
      <w:r>
        <w:rPr>
          <w:rFonts w:hint="eastAsia" w:ascii="宋体" w:hAnsi="宋体" w:eastAsia="宋体" w:cs="宋体"/>
          <w:color w:val="auto"/>
          <w:kern w:val="0"/>
          <w:sz w:val="24"/>
          <w:szCs w:val="24"/>
        </w:rPr>
        <w:t>由低到高的顺序排列。得分且</w:t>
      </w:r>
      <w:r>
        <w:rPr>
          <w:rFonts w:hint="eastAsia" w:ascii="宋体" w:hAnsi="宋体" w:cs="宋体"/>
          <w:color w:val="auto"/>
          <w:kern w:val="0"/>
          <w:sz w:val="24"/>
          <w:szCs w:val="24"/>
          <w:lang w:eastAsia="zh-CN"/>
        </w:rPr>
        <w:t>磋商报价</w:t>
      </w:r>
      <w:r>
        <w:rPr>
          <w:rFonts w:hint="eastAsia" w:ascii="宋体" w:hAnsi="宋体" w:eastAsia="宋体" w:cs="宋体"/>
          <w:color w:val="auto"/>
          <w:kern w:val="0"/>
          <w:sz w:val="24"/>
          <w:szCs w:val="24"/>
        </w:rPr>
        <w:t>相同的，按技术标得分由高到低的顺序排列。技术指标仍相同的，按商务标由高到低的顺序排列，以上各项都相同的，由</w:t>
      </w:r>
      <w:r>
        <w:rPr>
          <w:rFonts w:hint="eastAsia" w:ascii="宋体" w:hAnsi="宋体" w:cs="宋体"/>
          <w:color w:val="auto"/>
          <w:spacing w:val="6"/>
          <w:sz w:val="24"/>
          <w:szCs w:val="24"/>
          <w:lang w:val="en-US" w:eastAsia="zh-CN"/>
        </w:rPr>
        <w:t>磋商小组</w:t>
      </w:r>
      <w:r>
        <w:rPr>
          <w:rFonts w:hint="eastAsia" w:ascii="宋体" w:hAnsi="宋体" w:eastAsia="宋体" w:cs="宋体"/>
          <w:color w:val="auto"/>
          <w:sz w:val="24"/>
          <w:szCs w:val="24"/>
        </w:rPr>
        <w:t>确定排名第一的为</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w:t>
      </w:r>
    </w:p>
    <w:p w14:paraId="78DA8DA4">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6.3.1</w:t>
      </w:r>
      <w:r>
        <w:rPr>
          <w:rFonts w:hint="eastAsia" w:ascii="宋体" w:hAnsi="宋体" w:eastAsia="宋体" w:cs="宋体"/>
          <w:bCs/>
          <w:color w:val="auto"/>
          <w:kern w:val="0"/>
          <w:sz w:val="24"/>
          <w:szCs w:val="24"/>
          <w:lang w:val="en-US" w:eastAsia="zh-CN"/>
        </w:rPr>
        <w:t>0</w:t>
      </w:r>
      <w:r>
        <w:rPr>
          <w:rFonts w:hint="eastAsia" w:ascii="宋体" w:hAnsi="宋体" w:eastAsia="宋体" w:cs="宋体"/>
          <w:bCs/>
          <w:color w:val="auto"/>
          <w:sz w:val="24"/>
          <w:szCs w:val="24"/>
        </w:rPr>
        <w:t>评标过程的保密</w:t>
      </w:r>
    </w:p>
    <w:p w14:paraId="5EC9D398">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bCs/>
          <w:color w:val="auto"/>
          <w:sz w:val="24"/>
          <w:szCs w:val="24"/>
        </w:rPr>
        <w:t>（1）</w:t>
      </w:r>
      <w:r>
        <w:rPr>
          <w:rFonts w:hint="eastAsia" w:ascii="宋体" w:hAnsi="宋体" w:eastAsia="宋体" w:cs="宋体"/>
          <w:color w:val="auto"/>
          <w:sz w:val="24"/>
          <w:szCs w:val="24"/>
        </w:rPr>
        <w:t>开标后，直至授予</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供应商合同为止，凡属于对电子化投标文件的审查、澄清、评价和比较有关的资料，</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候选供应商的推荐情况，及其他任何与评标有关的情况均应严格保密。</w:t>
      </w:r>
    </w:p>
    <w:p w14:paraId="7E195F19">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bCs/>
          <w:color w:val="auto"/>
          <w:sz w:val="24"/>
          <w:szCs w:val="24"/>
        </w:rPr>
        <w:t>（2）</w:t>
      </w:r>
      <w:r>
        <w:rPr>
          <w:rFonts w:hint="eastAsia" w:ascii="宋体" w:hAnsi="宋体" w:eastAsia="宋体" w:cs="宋体"/>
          <w:color w:val="auto"/>
          <w:sz w:val="24"/>
          <w:szCs w:val="24"/>
        </w:rPr>
        <w:t>在电子化投标文件的评审和比较、</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候选供应商推荐以及授予合同的过程中，投标供应商向采购人和</w:t>
      </w:r>
      <w:r>
        <w:rPr>
          <w:rFonts w:hint="eastAsia" w:ascii="宋体" w:hAnsi="宋体" w:cs="宋体"/>
          <w:color w:val="auto"/>
          <w:spacing w:val="6"/>
          <w:sz w:val="24"/>
          <w:szCs w:val="24"/>
          <w:lang w:val="en-US" w:eastAsia="zh-CN"/>
        </w:rPr>
        <w:t>磋商小组</w:t>
      </w:r>
      <w:r>
        <w:rPr>
          <w:rFonts w:hint="eastAsia" w:ascii="宋体" w:hAnsi="宋体" w:eastAsia="宋体" w:cs="宋体"/>
          <w:color w:val="auto"/>
          <w:sz w:val="24"/>
          <w:szCs w:val="24"/>
        </w:rPr>
        <w:t>施加影响的任何行为，都将会导致其投标被拒绝。</w:t>
      </w:r>
    </w:p>
    <w:p w14:paraId="1D64B3A0">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bCs/>
          <w:color w:val="auto"/>
          <w:sz w:val="24"/>
          <w:szCs w:val="24"/>
        </w:rPr>
        <w:t>（3）</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供应商确定后，采购人不对未</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供应商就评标过程以及未能</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原因做出任何解释。未</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供应商不得向</w:t>
      </w:r>
      <w:r>
        <w:rPr>
          <w:rFonts w:hint="eastAsia" w:ascii="宋体" w:hAnsi="宋体" w:cs="宋体"/>
          <w:color w:val="auto"/>
          <w:spacing w:val="6"/>
          <w:sz w:val="24"/>
          <w:szCs w:val="24"/>
          <w:lang w:val="en-US" w:eastAsia="zh-CN"/>
        </w:rPr>
        <w:t>磋商小组</w:t>
      </w:r>
      <w:r>
        <w:rPr>
          <w:rFonts w:hint="eastAsia" w:ascii="宋体" w:hAnsi="宋体" w:eastAsia="宋体" w:cs="宋体"/>
          <w:color w:val="auto"/>
          <w:sz w:val="24"/>
          <w:szCs w:val="24"/>
        </w:rPr>
        <w:t>组成人员或其他有关人员索问评标过程的情况和材料。</w:t>
      </w:r>
    </w:p>
    <w:p w14:paraId="45BB5796">
      <w:pPr>
        <w:autoSpaceDE w:val="0"/>
        <w:autoSpaceDN w:val="0"/>
        <w:adjustRightInd w:val="0"/>
        <w:spacing w:line="360" w:lineRule="auto"/>
        <w:ind w:firstLine="482"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7.授予合同</w:t>
      </w:r>
    </w:p>
    <w:p w14:paraId="26221767">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7.1</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公告</w:t>
      </w:r>
    </w:p>
    <w:p w14:paraId="79FD2765">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7.1.1采购代理机构应当在评标结束后2个工作日内将评标报告送采购人。采购人应当自收到评标报告之日起5个工作日内，在评标报告确定的</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候选供应商名单中，选定排名第一</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候选供应商为</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候选供应商并列的，由采购人按照</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文件规定的方式确定</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文件未规定的，采取随机抽取的方式确定。采购人在收到评标报告5个工作日内未按评标报告推荐的</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候选供应商顺序确定</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供应商，又不能说明合法理由的，视同按评标报告推荐的顺序确定排名第一的</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候选供应商为</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w:t>
      </w:r>
    </w:p>
    <w:p w14:paraId="7228F0AE">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7.1.2采购代理机构自</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供应商确定之日起2个工作日内，在</w:t>
      </w:r>
      <w:r>
        <w:rPr>
          <w:rFonts w:hint="eastAsia" w:ascii="宋体" w:hAnsi="宋体" w:eastAsia="宋体" w:cs="宋体"/>
          <w:color w:val="auto"/>
          <w:kern w:val="0"/>
          <w:sz w:val="24"/>
          <w:szCs w:val="24"/>
          <w:highlight w:val="none"/>
          <w:lang w:eastAsia="zh-CN"/>
        </w:rPr>
        <w:t>《中国</w:t>
      </w:r>
      <w:r>
        <w:rPr>
          <w:rFonts w:hint="eastAsia" w:ascii="宋体" w:hAnsi="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lang w:eastAsia="zh-CN"/>
        </w:rPr>
        <w:t>投标公共服务平台》</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shd w:val="clear" w:color="auto" w:fill="auto"/>
        </w:rPr>
        <w:t>《</w:t>
      </w:r>
      <w:r>
        <w:rPr>
          <w:rFonts w:hint="eastAsia" w:ascii="宋体" w:hAnsi="宋体" w:eastAsia="宋体" w:cs="宋体"/>
          <w:color w:val="auto"/>
          <w:kern w:val="0"/>
          <w:sz w:val="24"/>
          <w:szCs w:val="24"/>
          <w:shd w:val="clear" w:color="auto" w:fill="auto"/>
          <w:lang w:val="en-US" w:eastAsia="zh-CN"/>
        </w:rPr>
        <w:t>河南省政府采购网</w:t>
      </w:r>
      <w:r>
        <w:rPr>
          <w:rFonts w:hint="eastAsia" w:ascii="宋体" w:hAnsi="宋体" w:eastAsia="宋体" w:cs="宋体"/>
          <w:color w:val="auto"/>
          <w:kern w:val="0"/>
          <w:sz w:val="24"/>
          <w:szCs w:val="24"/>
          <w:shd w:val="clear" w:color="auto" w:fill="auto"/>
        </w:rPr>
        <w:t>》</w:t>
      </w:r>
      <w:r>
        <w:rPr>
          <w:rFonts w:hint="eastAsia" w:ascii="宋体" w:hAnsi="宋体" w:eastAsia="宋体" w:cs="宋体"/>
          <w:color w:val="auto"/>
          <w:kern w:val="0"/>
          <w:sz w:val="24"/>
          <w:szCs w:val="24"/>
        </w:rPr>
        <w:t>和《三门峡市公共资源交易中心网》</w:t>
      </w:r>
      <w:r>
        <w:rPr>
          <w:rFonts w:hint="eastAsia" w:ascii="宋体" w:hAnsi="宋体" w:eastAsia="宋体" w:cs="宋体"/>
          <w:color w:val="auto"/>
          <w:sz w:val="24"/>
          <w:szCs w:val="24"/>
        </w:rPr>
        <w:t>公告</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结果，</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文件随</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结果同时公告。</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供应商为中小企业的，同时公告其《中小企业声明函》；</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供应商为残疾人福利性单位的，同时公告其《残疾人福利性单位声明函》，接受社会监督。</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公告期限为1个工作日。</w:t>
      </w:r>
    </w:p>
    <w:p w14:paraId="5AAF1E72">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rPr>
        <w:t>7.2</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w:t>
      </w:r>
    </w:p>
    <w:p w14:paraId="7A4B258E">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highlight w:val="none"/>
        </w:rPr>
        <w:t>在公告</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rPr>
        <w:t>结果</w:t>
      </w:r>
      <w:r>
        <w:rPr>
          <w:rFonts w:hint="eastAsia" w:ascii="宋体" w:hAnsi="宋体" w:eastAsia="宋体" w:cs="宋体"/>
          <w:color w:val="auto"/>
          <w:sz w:val="24"/>
          <w:szCs w:val="24"/>
        </w:rPr>
        <w:t>的同时，向</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供应商发出</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通知书，</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通知书发出后，采购人不得违法改变</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结果，</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供应商无正当理由不得放弃</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w:t>
      </w:r>
    </w:p>
    <w:p w14:paraId="0AE11D3B">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7.3履约保证金</w:t>
      </w:r>
    </w:p>
    <w:p w14:paraId="78FF61E3">
      <w:pPr>
        <w:autoSpaceDE w:val="0"/>
        <w:autoSpaceDN w:val="0"/>
        <w:adjustRightInd w:val="0"/>
        <w:spacing w:line="360" w:lineRule="auto"/>
        <w:ind w:firstLine="480" w:firstLineChars="200"/>
        <w:jc w:val="left"/>
        <w:rPr>
          <w:rFonts w:hint="eastAsia" w:ascii="宋体" w:hAnsi="宋体" w:eastAsia="宋体" w:cs="宋体"/>
          <w:b/>
          <w:bCs/>
          <w:color w:val="auto"/>
          <w:kern w:val="0"/>
          <w:sz w:val="24"/>
          <w:szCs w:val="24"/>
        </w:rPr>
      </w:pPr>
      <w:r>
        <w:rPr>
          <w:rFonts w:hint="eastAsia" w:ascii="宋体" w:hAnsi="宋体" w:eastAsia="宋体" w:cs="宋体"/>
          <w:color w:val="auto"/>
          <w:sz w:val="24"/>
          <w:szCs w:val="24"/>
        </w:rPr>
        <w:t>本项目不收取履约保证金。如供应商违反政府采购合同约定给采购人造成损失的,采购人按照合同约定,要求供应商承担赔偿责任。</w:t>
      </w:r>
    </w:p>
    <w:p w14:paraId="1CFE65AB">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7.4签订合同</w:t>
      </w:r>
    </w:p>
    <w:p w14:paraId="3B46D59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7.4.1采购人和</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供应商应当在</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通知书发出之日起</w:t>
      </w:r>
      <w:r>
        <w:rPr>
          <w:rFonts w:hint="eastAsia" w:ascii="宋体" w:hAnsi="宋体" w:eastAsia="宋体" w:cs="宋体"/>
          <w:color w:val="auto"/>
          <w:sz w:val="24"/>
          <w:szCs w:val="24"/>
          <w:lang w:val="en-US" w:eastAsia="zh-CN"/>
        </w:rPr>
        <w:t>2个工作</w:t>
      </w:r>
      <w:r>
        <w:rPr>
          <w:rFonts w:hint="eastAsia" w:ascii="宋体" w:hAnsi="宋体" w:eastAsia="宋体" w:cs="宋体"/>
          <w:color w:val="auto"/>
          <w:sz w:val="24"/>
          <w:szCs w:val="24"/>
        </w:rPr>
        <w:t>日内，根据</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文件和</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供应商的</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文件订立书面合同。所签订的合同不得对</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文件确定的事项和</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文件作实质性修改。</w:t>
      </w:r>
    </w:p>
    <w:p w14:paraId="683B3CB3">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7.4.2</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供应商无正当理由拒签合同、在签订合同时向采购人提出附加条件的，采购人有权取消其</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资格，给采购人带来损失的，还应给予赔偿；采购人可以按照评标报告推荐的</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候选供应商排序，确定排名下一位的</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候选供应商为</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供应商，也可以重新开展采购活动。当出现法规规定的</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无效或</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结果无效情形时，采购人可与排名下一位的</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候选供应商另行签订合同，或依法重新开展采购活动。</w:t>
      </w:r>
    </w:p>
    <w:p w14:paraId="797FD73A">
      <w:pPr>
        <w:autoSpaceDE w:val="0"/>
        <w:autoSpaceDN w:val="0"/>
        <w:adjustRightInd w:val="0"/>
        <w:spacing w:line="360" w:lineRule="auto"/>
        <w:ind w:firstLine="480" w:firstLineChars="200"/>
        <w:jc w:val="left"/>
        <w:rPr>
          <w:rFonts w:hint="eastAsia" w:ascii="宋体" w:hAnsi="宋体" w:eastAsia="宋体" w:cs="宋体"/>
          <w:b/>
          <w:bCs/>
          <w:color w:val="auto"/>
          <w:kern w:val="0"/>
          <w:sz w:val="24"/>
          <w:szCs w:val="24"/>
        </w:rPr>
      </w:pPr>
      <w:r>
        <w:rPr>
          <w:rFonts w:hint="eastAsia" w:ascii="宋体" w:hAnsi="宋体" w:eastAsia="宋体" w:cs="宋体"/>
          <w:color w:val="auto"/>
          <w:sz w:val="24"/>
          <w:szCs w:val="24"/>
        </w:rPr>
        <w:t>7.4.3采购人不得向</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供应商提出任何不合理的要求作为签订合同的条件。</w:t>
      </w:r>
    </w:p>
    <w:p w14:paraId="1A7DFC05">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7.5质疑</w:t>
      </w:r>
    </w:p>
    <w:p w14:paraId="57519723">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各有关当事人对</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结果有异议的，可以在</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结果公告期限届满之日起七个工作日内，按《政府采购质疑和投诉办法》（财政部令第94号）要求以书面形式同时向采购人和采购代理机构提出质疑，逾期提交或未按照要求提交的质疑函将不予受理。</w:t>
      </w:r>
    </w:p>
    <w:p w14:paraId="1C4A601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8.纪律和监督</w:t>
      </w:r>
    </w:p>
    <w:p w14:paraId="14682B1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8.1对采购人的纪律要求</w:t>
      </w:r>
    </w:p>
    <w:p w14:paraId="41691B0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采购人不得泄露</w:t>
      </w:r>
      <w:r>
        <w:rPr>
          <w:rFonts w:hint="eastAsia" w:ascii="宋体" w:hAnsi="宋体" w:cs="宋体"/>
          <w:color w:val="auto"/>
          <w:sz w:val="24"/>
          <w:szCs w:val="24"/>
          <w:lang w:eastAsia="zh-CN"/>
        </w:rPr>
        <w:t>磋商响应</w:t>
      </w:r>
      <w:r>
        <w:rPr>
          <w:rFonts w:hint="eastAsia" w:ascii="宋体" w:hAnsi="宋体" w:eastAsia="宋体" w:cs="宋体"/>
          <w:color w:val="auto"/>
          <w:sz w:val="24"/>
          <w:szCs w:val="24"/>
        </w:rPr>
        <w:t>活动中应当保密的情况和资料，不得与</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供应商串通损害国家利益、社会公共利益或者他人合法权益。</w:t>
      </w:r>
    </w:p>
    <w:p w14:paraId="0DEF537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8.2对</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供应商的纪律要求</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供应商不得相互串通</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或者与采购人串通</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，不得向采购人或者</w:t>
      </w:r>
      <w:r>
        <w:rPr>
          <w:rFonts w:hint="eastAsia" w:ascii="宋体" w:hAnsi="宋体" w:cs="宋体"/>
          <w:color w:val="auto"/>
          <w:spacing w:val="6"/>
          <w:sz w:val="24"/>
          <w:szCs w:val="24"/>
          <w:lang w:val="en-US" w:eastAsia="zh-CN"/>
        </w:rPr>
        <w:t>磋商小组</w:t>
      </w:r>
      <w:r>
        <w:rPr>
          <w:rFonts w:hint="eastAsia" w:ascii="宋体" w:hAnsi="宋体" w:eastAsia="宋体" w:cs="宋体"/>
          <w:color w:val="auto"/>
          <w:sz w:val="24"/>
          <w:szCs w:val="24"/>
        </w:rPr>
        <w:t>成员行贿谋取</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，不得以他人名义</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或者以其他方式弄虚作假骗取</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供应商不得以任何方式干扰、影响评标工作。</w:t>
      </w:r>
    </w:p>
    <w:p w14:paraId="2722870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8.2.1有下列情形之一的，属于</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供应商相互串通</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w:t>
      </w:r>
    </w:p>
    <w:p w14:paraId="437BA86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供应商之间协商</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报价等</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文件的实质性内容；</w:t>
      </w:r>
    </w:p>
    <w:p w14:paraId="1117368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供应商之间约定</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w:t>
      </w:r>
    </w:p>
    <w:p w14:paraId="224D22A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供应商之间约定部分供应商放弃</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或者</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w:t>
      </w:r>
    </w:p>
    <w:p w14:paraId="0971E17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供应商之间为谋取</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或者排斥特定供应商而采取的其他联合行动。</w:t>
      </w:r>
    </w:p>
    <w:p w14:paraId="7CA1B73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8.2.2有下列情形之一的，视为</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供应商相互串通</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w:t>
      </w:r>
    </w:p>
    <w:p w14:paraId="502C3F5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（一）不同</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供应商的</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文件由同一单位或者个人编制；</w:t>
      </w:r>
    </w:p>
    <w:p w14:paraId="544A6E4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（二）不同</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供应商委托同一单位或者个人办理</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事宜；</w:t>
      </w:r>
    </w:p>
    <w:p w14:paraId="5C1AC1C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（三）不同</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供应商的</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文件载明的项目管理成员为同一人；</w:t>
      </w:r>
    </w:p>
    <w:p w14:paraId="51DB210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（四）不同</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供应商的</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文件异常一致或者</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报价呈规律性差异；</w:t>
      </w:r>
    </w:p>
    <w:p w14:paraId="1356EAF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（五）不同</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供应商的</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文件制作机器码一致视为串通</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行为；</w:t>
      </w:r>
    </w:p>
    <w:p w14:paraId="1FE90DA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8.2.3有下列情形之一的，属于以他人名义</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w:t>
      </w:r>
    </w:p>
    <w:p w14:paraId="2C07CF43">
      <w:pPr>
        <w:spacing w:line="360" w:lineRule="auto"/>
        <w:ind w:firstLine="480" w:firstLineChars="200"/>
        <w:rPr>
          <w:rFonts w:hint="eastAsia" w:ascii="宋体" w:hAnsi="宋体" w:eastAsia="宋体" w:cs="宋体"/>
          <w:b/>
          <w:bCs/>
          <w:color w:val="auto"/>
          <w:kern w:val="0"/>
          <w:sz w:val="24"/>
          <w:szCs w:val="24"/>
        </w:rPr>
      </w:pPr>
      <w:r>
        <w:rPr>
          <w:rFonts w:hint="eastAsia" w:ascii="宋体" w:hAnsi="宋体" w:eastAsia="宋体" w:cs="宋体"/>
          <w:color w:val="auto"/>
          <w:sz w:val="24"/>
          <w:szCs w:val="24"/>
        </w:rPr>
        <w:t>（一）使用通过受让或者租借等方式获取的资格、资质证书</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的</w:t>
      </w:r>
    </w:p>
    <w:p w14:paraId="10261CE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8.2.4有下列情形之一的，属于以其他方式弄虚作假的行为：</w:t>
      </w:r>
    </w:p>
    <w:p w14:paraId="723D05A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（一）使用伪造、变造的许可证件；</w:t>
      </w:r>
    </w:p>
    <w:p w14:paraId="7BAA418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（二）提供虚假的财务状况或者业绩；</w:t>
      </w:r>
    </w:p>
    <w:p w14:paraId="1CB05FE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（三）提供虚假的项目负责人或者主要技术人员简历、劳动关系证明；</w:t>
      </w:r>
    </w:p>
    <w:p w14:paraId="292BE18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（四）提供虚假的信用状况；</w:t>
      </w:r>
    </w:p>
    <w:p w14:paraId="33EDDDF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（五）其他弄虚作假的行为。</w:t>
      </w:r>
    </w:p>
    <w:p w14:paraId="50564A3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8.3对</w:t>
      </w:r>
      <w:r>
        <w:rPr>
          <w:rFonts w:hint="eastAsia" w:ascii="宋体" w:hAnsi="宋体" w:cs="宋体"/>
          <w:color w:val="auto"/>
          <w:spacing w:val="6"/>
          <w:sz w:val="24"/>
          <w:szCs w:val="24"/>
          <w:lang w:val="en-US" w:eastAsia="zh-CN"/>
        </w:rPr>
        <w:t>磋商小组</w:t>
      </w:r>
      <w:r>
        <w:rPr>
          <w:rFonts w:hint="eastAsia" w:ascii="宋体" w:hAnsi="宋体" w:eastAsia="宋体" w:cs="宋体"/>
          <w:color w:val="auto"/>
          <w:sz w:val="24"/>
          <w:szCs w:val="24"/>
        </w:rPr>
        <w:t>成员的纪律要求</w:t>
      </w:r>
    </w:p>
    <w:p w14:paraId="48347876">
      <w:pPr>
        <w:spacing w:line="360" w:lineRule="auto"/>
        <w:ind w:firstLine="504" w:firstLineChars="200"/>
        <w:rPr>
          <w:rFonts w:hint="eastAsia" w:ascii="宋体" w:hAnsi="宋体" w:eastAsia="宋体" w:cs="宋体"/>
          <w:color w:val="auto"/>
          <w:sz w:val="24"/>
          <w:szCs w:val="24"/>
        </w:rPr>
      </w:pPr>
      <w:r>
        <w:rPr>
          <w:rFonts w:hint="eastAsia" w:ascii="宋体" w:hAnsi="宋体" w:cs="宋体"/>
          <w:color w:val="auto"/>
          <w:spacing w:val="6"/>
          <w:sz w:val="24"/>
          <w:szCs w:val="24"/>
          <w:lang w:val="en-US" w:eastAsia="zh-CN"/>
        </w:rPr>
        <w:t>磋商小组</w:t>
      </w:r>
      <w:r>
        <w:rPr>
          <w:rFonts w:hint="eastAsia" w:ascii="宋体" w:hAnsi="宋体" w:eastAsia="宋体" w:cs="宋体"/>
          <w:color w:val="auto"/>
          <w:sz w:val="24"/>
          <w:szCs w:val="24"/>
        </w:rPr>
        <w:t>成员不得收受他人的财物或者其他好处，不得向他人透露对</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文件的评审和比较、</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候选供应商的推荐情况以及评标有关的其他情况。在评标活动中，</w:t>
      </w:r>
      <w:r>
        <w:rPr>
          <w:rFonts w:hint="eastAsia" w:ascii="宋体" w:hAnsi="宋体" w:cs="宋体"/>
          <w:color w:val="auto"/>
          <w:spacing w:val="6"/>
          <w:sz w:val="24"/>
          <w:szCs w:val="24"/>
          <w:lang w:val="en-US" w:eastAsia="zh-CN"/>
        </w:rPr>
        <w:t>磋商小组</w:t>
      </w:r>
      <w:r>
        <w:rPr>
          <w:rFonts w:hint="eastAsia" w:ascii="宋体" w:hAnsi="宋体" w:eastAsia="宋体" w:cs="宋体"/>
          <w:color w:val="auto"/>
          <w:sz w:val="24"/>
          <w:szCs w:val="24"/>
        </w:rPr>
        <w:t>成员应当客观、公正地履行职责，遵守职业道德，不得擅离职守，影响评标程序正常进行，不得使用第四章“评标方法和标准”没有规定的评审因素和标准进行评标。</w:t>
      </w:r>
    </w:p>
    <w:p w14:paraId="4FFE1D1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8.4对与评标活动有关的工作人员的纪律要求</w:t>
      </w:r>
    </w:p>
    <w:p w14:paraId="4721EA1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与评标活动有关的工作人员不得收受他人的财物或者其他好处，不得向他人透露对</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文件的评审和比较、</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候选供应商的推荐情况以及评标有关的其他情况。在评标活动中，与评标活动有关的工作人员不得擅离职守，影响评标程序正常进行。</w:t>
      </w:r>
    </w:p>
    <w:p w14:paraId="09CF788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9.需要补充的其他内容</w:t>
      </w:r>
    </w:p>
    <w:p w14:paraId="2A3526F7">
      <w:pPr>
        <w:spacing w:line="360" w:lineRule="auto"/>
        <w:ind w:firstLine="480" w:firstLineChars="200"/>
        <w:jc w:val="left"/>
        <w:rPr>
          <w:rFonts w:hint="eastAsia" w:ascii="宋体" w:hAnsi="宋体" w:eastAsia="宋体" w:cs="宋体"/>
          <w:color w:val="auto"/>
          <w:sz w:val="24"/>
          <w:szCs w:val="24"/>
        </w:rPr>
        <w:sectPr>
          <w:footerReference r:id="rId5" w:type="default"/>
          <w:pgSz w:w="11906" w:h="16838"/>
          <w:pgMar w:top="1440" w:right="1418" w:bottom="1440" w:left="1418" w:header="851" w:footer="992" w:gutter="0"/>
          <w:pgNumType w:start="1"/>
          <w:cols w:space="720" w:num="1"/>
          <w:docGrid w:type="lines" w:linePitch="312" w:charSpace="0"/>
        </w:sectPr>
      </w:pPr>
      <w:r>
        <w:rPr>
          <w:rFonts w:hint="eastAsia" w:ascii="宋体" w:hAnsi="宋体" w:eastAsia="宋体" w:cs="宋体"/>
          <w:color w:val="auto"/>
          <w:sz w:val="24"/>
          <w:szCs w:val="24"/>
        </w:rPr>
        <w:t>需要补充的其他内容：见</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供应商须知前附表。</w:t>
      </w:r>
    </w:p>
    <w:p w14:paraId="5CB6EE8A">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highlight w:val="none"/>
          <w:lang w:eastAsia="zh-CN"/>
        </w:rPr>
      </w:pPr>
      <w:bookmarkStart w:id="4" w:name="_Toc8061"/>
      <w:bookmarkStart w:id="5" w:name="_Toc20302"/>
      <w:r>
        <w:rPr>
          <w:rFonts w:hint="eastAsia" w:ascii="宋体" w:hAnsi="宋体" w:eastAsia="宋体" w:cs="宋体"/>
          <w:color w:val="auto"/>
          <w:highlight w:val="none"/>
          <w:lang w:val="en-US" w:eastAsia="zh-CN"/>
        </w:rPr>
        <w:t>第三章 服务内容及要求</w:t>
      </w:r>
      <w:bookmarkEnd w:id="4"/>
      <w:bookmarkEnd w:id="5"/>
    </w:p>
    <w:p w14:paraId="66861F43">
      <w:pPr>
        <w:pageBreakBefore w:val="0"/>
        <w:widowControl/>
        <w:shd w:val="clear" w:color="auto" w:fill="auto"/>
        <w:overflowPunct/>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采购项目编号：</w:t>
      </w:r>
      <w:r>
        <w:rPr>
          <w:rFonts w:hint="eastAsia" w:ascii="宋体" w:hAnsi="宋体" w:cs="宋体"/>
          <w:color w:val="auto"/>
          <w:kern w:val="0"/>
          <w:sz w:val="24"/>
          <w:szCs w:val="24"/>
          <w:highlight w:val="none"/>
          <w:lang w:val="en-US" w:eastAsia="zh-CN"/>
        </w:rPr>
        <w:t>SGZ[2026]059-ZC032、三财竞磋采购-2026-3</w:t>
      </w:r>
      <w:r>
        <w:rPr>
          <w:rFonts w:hint="eastAsia" w:ascii="宋体" w:hAnsi="宋体" w:eastAsia="宋体" w:cs="宋体"/>
          <w:color w:val="auto"/>
          <w:kern w:val="0"/>
          <w:sz w:val="24"/>
          <w:szCs w:val="24"/>
          <w:highlight w:val="none"/>
        </w:rPr>
        <w:t>；</w:t>
      </w:r>
    </w:p>
    <w:p w14:paraId="4B509907">
      <w:pPr>
        <w:keepNext w:val="0"/>
        <w:keepLines w:val="0"/>
        <w:pageBreakBefore w:val="0"/>
        <w:widowControl/>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采购</w:t>
      </w:r>
      <w:r>
        <w:rPr>
          <w:rFonts w:hint="eastAsia" w:ascii="宋体" w:hAnsi="宋体" w:eastAsia="宋体" w:cs="宋体"/>
          <w:color w:val="auto"/>
          <w:kern w:val="0"/>
          <w:sz w:val="24"/>
          <w:szCs w:val="24"/>
        </w:rPr>
        <w:t>项目名称：</w:t>
      </w:r>
      <w:r>
        <w:rPr>
          <w:rFonts w:hint="eastAsia" w:ascii="宋体" w:hAnsi="宋体" w:cs="宋体"/>
          <w:color w:val="auto"/>
          <w:kern w:val="0"/>
          <w:sz w:val="24"/>
          <w:szCs w:val="24"/>
          <w:lang w:val="en-US" w:eastAsia="zh-CN" w:bidi="ar"/>
        </w:rPr>
        <w:t>省道 313 线陕州区观音堂镇(芦草村)至宫前乡(宫前村)段改建工程勘察设计</w:t>
      </w:r>
    </w:p>
    <w:p w14:paraId="0A6FA5E5">
      <w:pPr>
        <w:pageBreakBefore w:val="0"/>
        <w:overflowPunct/>
        <w:bidi w:val="0"/>
        <w:spacing w:line="360" w:lineRule="auto"/>
        <w:ind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rPr>
        <w:t>3、采购方式</w:t>
      </w:r>
      <w:r>
        <w:rPr>
          <w:rFonts w:hint="eastAsia" w:ascii="宋体" w:hAnsi="宋体" w:eastAsia="宋体" w:cs="宋体"/>
          <w:color w:val="auto"/>
          <w:kern w:val="0"/>
          <w:sz w:val="24"/>
          <w:szCs w:val="24"/>
          <w:lang w:val="en-US" w:eastAsia="zh-CN" w:bidi="ar"/>
        </w:rPr>
        <w:t>：竞争性磋商</w:t>
      </w:r>
    </w:p>
    <w:p w14:paraId="15D31C18">
      <w:pPr>
        <w:pageBreakBefore w:val="0"/>
        <w:widowControl/>
        <w:shd w:val="clear" w:color="auto" w:fill="auto"/>
        <w:overflowPunct/>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4、预算金额：</w:t>
      </w:r>
      <w:r>
        <w:rPr>
          <w:rFonts w:hint="eastAsia" w:ascii="宋体" w:hAnsi="宋体" w:cs="宋体"/>
          <w:color w:val="auto"/>
          <w:kern w:val="0"/>
          <w:sz w:val="24"/>
          <w:szCs w:val="24"/>
          <w:highlight w:val="none"/>
          <w:lang w:val="en-US" w:eastAsia="zh-CN"/>
        </w:rPr>
        <w:t>794400</w:t>
      </w:r>
      <w:r>
        <w:rPr>
          <w:rFonts w:hint="eastAsia" w:ascii="宋体" w:hAnsi="宋体" w:eastAsia="宋体" w:cs="宋体"/>
          <w:color w:val="auto"/>
          <w:kern w:val="0"/>
          <w:sz w:val="24"/>
          <w:szCs w:val="24"/>
          <w:highlight w:val="none"/>
        </w:rPr>
        <w:t>元</w:t>
      </w:r>
    </w:p>
    <w:p w14:paraId="1A8EFF71">
      <w:pPr>
        <w:pageBreakBefore w:val="0"/>
        <w:widowControl/>
        <w:shd w:val="clear" w:color="auto" w:fill="auto"/>
        <w:overflowPunct/>
        <w:bidi w:val="0"/>
        <w:spacing w:line="360" w:lineRule="auto"/>
        <w:ind w:firstLine="720" w:firstLineChars="3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最高限价：</w:t>
      </w:r>
      <w:r>
        <w:rPr>
          <w:rFonts w:hint="eastAsia" w:ascii="宋体" w:hAnsi="宋体" w:cs="宋体"/>
          <w:color w:val="auto"/>
          <w:kern w:val="0"/>
          <w:sz w:val="24"/>
          <w:szCs w:val="24"/>
          <w:highlight w:val="none"/>
          <w:lang w:val="en-US" w:eastAsia="zh-CN"/>
        </w:rPr>
        <w:t xml:space="preserve">794400 </w:t>
      </w:r>
      <w:r>
        <w:rPr>
          <w:rFonts w:hint="eastAsia" w:ascii="宋体" w:hAnsi="宋体" w:eastAsia="宋体" w:cs="宋体"/>
          <w:color w:val="auto"/>
          <w:kern w:val="0"/>
          <w:sz w:val="24"/>
          <w:szCs w:val="24"/>
          <w:highlight w:val="none"/>
        </w:rPr>
        <w:t>元</w:t>
      </w:r>
    </w:p>
    <w:p w14:paraId="7C405D93">
      <w:pPr>
        <w:pageBreakBefore w:val="0"/>
        <w:overflowPunct/>
        <w:bidi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5、采购需求（包括但不限于标的的名称、数量、简要技术需求或服务要求等）：</w:t>
      </w:r>
    </w:p>
    <w:p w14:paraId="1CFF14A1">
      <w:pPr>
        <w:pStyle w:val="27"/>
        <w:keepNext w:val="0"/>
        <w:keepLines w:val="0"/>
        <w:pageBreakBefore w:val="0"/>
        <w:widowControl/>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rPr>
        <w:t>5.1、</w:t>
      </w:r>
      <w:r>
        <w:rPr>
          <w:rFonts w:hint="eastAsia" w:ascii="宋体" w:hAnsi="宋体" w:eastAsia="宋体" w:cs="宋体"/>
          <w:color w:val="auto"/>
          <w:kern w:val="0"/>
          <w:sz w:val="24"/>
          <w:szCs w:val="24"/>
          <w:highlight w:val="none"/>
          <w:lang w:val="en-US" w:eastAsia="zh-CN"/>
        </w:rPr>
        <w:t>采购内容</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对本项目初勘、初测，详勘、定测、初步设计及概算、施工图设计及预算，施工阶段服务、竣工验收服务及满足招标人要求与本项目有关联的其它相关技术服务等工作，提交设计图纸</w:t>
      </w:r>
    </w:p>
    <w:p w14:paraId="1B944820">
      <w:pPr>
        <w:pageBreakBefore w:val="0"/>
        <w:overflowPunct/>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5.2资金来源：</w:t>
      </w:r>
      <w:r>
        <w:rPr>
          <w:rFonts w:hint="eastAsia" w:ascii="宋体" w:hAnsi="宋体" w:cs="宋体"/>
          <w:color w:val="auto"/>
          <w:kern w:val="0"/>
          <w:sz w:val="24"/>
          <w:szCs w:val="24"/>
          <w:highlight w:val="none"/>
          <w:lang w:val="en-US" w:eastAsia="zh-CN"/>
        </w:rPr>
        <w:t>上级补助资金及自筹资金</w:t>
      </w:r>
      <w:r>
        <w:rPr>
          <w:rFonts w:hint="eastAsia" w:ascii="宋体" w:hAnsi="宋体" w:eastAsia="宋体" w:cs="宋体"/>
          <w:color w:val="auto"/>
          <w:kern w:val="0"/>
          <w:sz w:val="24"/>
          <w:szCs w:val="24"/>
          <w:highlight w:val="none"/>
        </w:rPr>
        <w:t>，已落实</w:t>
      </w:r>
    </w:p>
    <w:p w14:paraId="6DA938AA">
      <w:pPr>
        <w:pageBreakBefore w:val="0"/>
        <w:overflowPunct/>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5.3项目地点：</w:t>
      </w:r>
      <w:r>
        <w:rPr>
          <w:rFonts w:hint="eastAsia" w:ascii="宋体" w:hAnsi="宋体" w:cs="宋体"/>
          <w:color w:val="auto"/>
          <w:spacing w:val="0"/>
          <w:w w:val="100"/>
          <w:kern w:val="0"/>
          <w:sz w:val="24"/>
          <w:szCs w:val="24"/>
          <w:highlight w:val="none"/>
          <w:u w:val="none"/>
          <w:lang w:val="en-US" w:eastAsia="zh-CN"/>
        </w:rPr>
        <w:t>三门峡市陕州区</w:t>
      </w:r>
    </w:p>
    <w:p w14:paraId="092A527F">
      <w:pPr>
        <w:pageBreakBefore w:val="0"/>
        <w:overflowPunct/>
        <w:bidi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5.4</w:t>
      </w:r>
      <w:r>
        <w:rPr>
          <w:rFonts w:hint="eastAsia" w:ascii="宋体" w:hAnsi="宋体" w:eastAsia="宋体" w:cs="宋体"/>
          <w:color w:val="auto"/>
          <w:kern w:val="0"/>
          <w:sz w:val="24"/>
          <w:szCs w:val="24"/>
          <w:highlight w:val="none"/>
        </w:rPr>
        <w:t>服务</w:t>
      </w:r>
      <w:r>
        <w:rPr>
          <w:rFonts w:hint="eastAsia" w:ascii="宋体" w:hAnsi="宋体" w:cs="宋体"/>
          <w:color w:val="auto"/>
          <w:kern w:val="0"/>
          <w:sz w:val="24"/>
          <w:szCs w:val="24"/>
          <w:highlight w:val="none"/>
          <w:lang w:val="en-US" w:eastAsia="zh-CN"/>
        </w:rPr>
        <w:t>周期</w:t>
      </w:r>
      <w:r>
        <w:rPr>
          <w:rFonts w:hint="eastAsia" w:ascii="宋体" w:hAnsi="宋体" w:eastAsia="宋体" w:cs="宋体"/>
          <w:color w:val="auto"/>
          <w:kern w:val="0"/>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自合同签订后40日历天完成提交设计成果。</w:t>
      </w:r>
    </w:p>
    <w:p w14:paraId="6550A8ED">
      <w:pPr>
        <w:pageBreakBefore w:val="0"/>
        <w:overflowPunct/>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5.5质量要求：</w:t>
      </w:r>
      <w:r>
        <w:rPr>
          <w:rFonts w:hint="eastAsia" w:ascii="宋体" w:hAnsi="宋体" w:cs="宋体"/>
          <w:color w:val="auto"/>
          <w:sz w:val="24"/>
          <w:szCs w:val="24"/>
          <w:lang w:val="en-US" w:eastAsia="zh-CN"/>
        </w:rPr>
        <w:t>符合现行勘察设计规范、规程、规定、标准的要求，并通过相关主管部门的审批；</w:t>
      </w:r>
    </w:p>
    <w:p w14:paraId="445DFFC7">
      <w:pPr>
        <w:pageBreakBefore w:val="0"/>
        <w:overflowPunct/>
        <w:bidi w:val="0"/>
        <w:spacing w:line="360" w:lineRule="auto"/>
        <w:ind w:firstLine="480" w:firstLineChars="200"/>
        <w:jc w:val="left"/>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6、合同履约期限：</w:t>
      </w:r>
      <w:r>
        <w:rPr>
          <w:rFonts w:hint="eastAsia" w:ascii="宋体" w:hAnsi="宋体" w:eastAsia="宋体" w:cs="宋体"/>
          <w:color w:val="auto"/>
          <w:kern w:val="0"/>
          <w:sz w:val="24"/>
          <w:szCs w:val="24"/>
          <w:highlight w:val="none"/>
          <w:lang w:val="en-US" w:eastAsia="zh-CN"/>
        </w:rPr>
        <w:t>按合同约定执行。</w:t>
      </w:r>
    </w:p>
    <w:p w14:paraId="06961A5F">
      <w:pPr>
        <w:pageBreakBefore w:val="0"/>
        <w:overflowPunct/>
        <w:bidi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7、本项目是否接受联合体投标：</w:t>
      </w:r>
      <w:r>
        <w:rPr>
          <w:rFonts w:hint="eastAsia" w:ascii="宋体" w:hAnsi="宋体" w:cs="宋体"/>
          <w:color w:val="auto"/>
          <w:kern w:val="0"/>
          <w:sz w:val="24"/>
          <w:szCs w:val="24"/>
          <w:highlight w:val="none"/>
          <w:lang w:val="en-US" w:eastAsia="zh-CN"/>
        </w:rPr>
        <w:t>否</w:t>
      </w:r>
    </w:p>
    <w:p w14:paraId="7684B3F2">
      <w:pPr>
        <w:pageBreakBefore w:val="0"/>
        <w:overflowPunct/>
        <w:bidi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8、是否接受进口产品：否</w:t>
      </w:r>
    </w:p>
    <w:p w14:paraId="49FBBC8F">
      <w:pPr>
        <w:pageBreakBefore w:val="0"/>
        <w:overflowPunct/>
        <w:bidi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9、是否专门面向中小企业：</w:t>
      </w:r>
      <w:r>
        <w:rPr>
          <w:rFonts w:hint="eastAsia" w:ascii="宋体" w:hAnsi="宋体" w:cs="宋体"/>
          <w:color w:val="auto"/>
          <w:kern w:val="0"/>
          <w:sz w:val="24"/>
          <w:szCs w:val="24"/>
          <w:highlight w:val="none"/>
          <w:lang w:val="en-US" w:eastAsia="zh-CN"/>
        </w:rPr>
        <w:t>否</w:t>
      </w:r>
    </w:p>
    <w:p w14:paraId="2C454935">
      <w:pPr>
        <w:pStyle w:val="3"/>
        <w:outlineLvl w:val="9"/>
        <w:rPr>
          <w:rFonts w:hint="eastAsia" w:ascii="宋体" w:hAnsi="宋体" w:eastAsia="宋体" w:cs="宋体"/>
          <w:color w:val="auto"/>
          <w:sz w:val="24"/>
          <w:szCs w:val="24"/>
        </w:rPr>
      </w:pPr>
    </w:p>
    <w:p w14:paraId="5373E181">
      <w:pPr>
        <w:rPr>
          <w:rFonts w:hint="eastAsia" w:ascii="宋体" w:hAnsi="宋体" w:eastAsia="宋体" w:cs="宋体"/>
          <w:color w:val="auto"/>
          <w:sz w:val="24"/>
          <w:szCs w:val="24"/>
        </w:rPr>
      </w:pPr>
    </w:p>
    <w:p w14:paraId="0285DE2C">
      <w:pPr>
        <w:pStyle w:val="3"/>
        <w:outlineLvl w:val="9"/>
        <w:rPr>
          <w:rFonts w:hint="eastAsia" w:ascii="宋体" w:hAnsi="宋体" w:eastAsia="宋体" w:cs="宋体"/>
          <w:color w:val="auto"/>
          <w:sz w:val="24"/>
          <w:szCs w:val="24"/>
        </w:rPr>
      </w:pPr>
    </w:p>
    <w:p w14:paraId="3491D9C3">
      <w:pPr>
        <w:rPr>
          <w:rFonts w:hint="eastAsia" w:ascii="宋体" w:hAnsi="宋体" w:eastAsia="宋体" w:cs="宋体"/>
          <w:color w:val="auto"/>
          <w:sz w:val="24"/>
          <w:szCs w:val="24"/>
        </w:rPr>
      </w:pPr>
    </w:p>
    <w:p w14:paraId="66F328E6">
      <w:pPr>
        <w:pageBreakBefore w:val="0"/>
        <w:overflowPunct/>
        <w:bidi w:val="0"/>
        <w:spacing w:line="360" w:lineRule="auto"/>
        <w:jc w:val="left"/>
        <w:rPr>
          <w:rFonts w:hint="eastAsia" w:ascii="宋体" w:hAnsi="宋体" w:eastAsia="宋体" w:cs="宋体"/>
          <w:color w:val="auto"/>
          <w:kern w:val="0"/>
          <w:sz w:val="24"/>
          <w:szCs w:val="24"/>
          <w:lang w:eastAsia="zh-CN"/>
        </w:rPr>
      </w:pPr>
      <w:bookmarkStart w:id="6" w:name="_Toc23949"/>
      <w:r>
        <w:rPr>
          <w:rFonts w:hint="eastAsia" w:ascii="宋体" w:hAnsi="宋体" w:eastAsia="宋体" w:cs="宋体"/>
          <w:b/>
          <w:bCs/>
          <w:color w:val="auto"/>
          <w:sz w:val="40"/>
          <w:szCs w:val="40"/>
        </w:rPr>
        <w:br w:type="page"/>
      </w:r>
    </w:p>
    <w:p w14:paraId="1F552C2B">
      <w:pPr>
        <w:jc w:val="center"/>
        <w:outlineLvl w:val="0"/>
        <w:rPr>
          <w:rFonts w:hint="eastAsia" w:ascii="宋体" w:hAnsi="宋体" w:eastAsia="宋体" w:cs="宋体"/>
          <w:b/>
          <w:bCs/>
          <w:color w:val="auto"/>
          <w:kern w:val="44"/>
          <w:sz w:val="32"/>
          <w:szCs w:val="44"/>
          <w:highlight w:val="none"/>
          <w:lang w:val="en-US" w:eastAsia="zh-CN" w:bidi="ar-SA"/>
        </w:rPr>
      </w:pPr>
      <w:bookmarkStart w:id="7" w:name="_Toc8223"/>
      <w:r>
        <w:rPr>
          <w:rFonts w:hint="eastAsia" w:ascii="宋体" w:hAnsi="宋体" w:eastAsia="宋体" w:cs="宋体"/>
          <w:b/>
          <w:bCs/>
          <w:color w:val="auto"/>
          <w:kern w:val="44"/>
          <w:sz w:val="32"/>
          <w:szCs w:val="44"/>
          <w:highlight w:val="none"/>
          <w:lang w:val="en-US" w:eastAsia="zh-CN" w:bidi="ar-SA"/>
        </w:rPr>
        <w:t xml:space="preserve">第四章 </w:t>
      </w:r>
      <w:bookmarkEnd w:id="6"/>
      <w:r>
        <w:rPr>
          <w:rFonts w:hint="eastAsia" w:ascii="宋体" w:hAnsi="宋体" w:eastAsia="宋体" w:cs="宋体"/>
          <w:b/>
          <w:bCs/>
          <w:color w:val="auto"/>
          <w:kern w:val="44"/>
          <w:sz w:val="32"/>
          <w:szCs w:val="44"/>
          <w:highlight w:val="none"/>
          <w:lang w:val="en-US" w:eastAsia="zh-CN" w:bidi="ar-SA"/>
        </w:rPr>
        <w:t>评审办法</w:t>
      </w:r>
      <w:bookmarkEnd w:id="7"/>
    </w:p>
    <w:p w14:paraId="1D82C06E">
      <w:pPr>
        <w:widowControl/>
        <w:spacing w:line="425" w:lineRule="atLeast"/>
        <w:jc w:val="center"/>
        <w:textAlignment w:val="baseline"/>
        <w:rPr>
          <w:rFonts w:hint="eastAsia" w:ascii="宋体" w:hAnsi="宋体" w:eastAsia="宋体" w:cs="宋体"/>
          <w:b/>
          <w:color w:val="auto"/>
          <w:sz w:val="28"/>
          <w:szCs w:val="21"/>
          <w:lang w:val="zh-CN"/>
        </w:rPr>
      </w:pPr>
      <w:r>
        <w:rPr>
          <w:rFonts w:hint="eastAsia" w:ascii="宋体" w:hAnsi="宋体" w:cs="宋体"/>
          <w:b/>
          <w:color w:val="auto"/>
          <w:kern w:val="0"/>
          <w:sz w:val="28"/>
          <w:szCs w:val="22"/>
          <w:lang w:eastAsia="zh-CN"/>
        </w:rPr>
        <w:t>评审办法</w:t>
      </w:r>
      <w:r>
        <w:rPr>
          <w:rFonts w:hint="eastAsia" w:ascii="宋体" w:hAnsi="宋体" w:eastAsia="宋体" w:cs="宋体"/>
          <w:b/>
          <w:color w:val="auto"/>
          <w:kern w:val="0"/>
          <w:sz w:val="28"/>
          <w:szCs w:val="22"/>
        </w:rPr>
        <w:t>前附表</w:t>
      </w:r>
    </w:p>
    <w:tbl>
      <w:tblPr>
        <w:tblStyle w:val="20"/>
        <w:tblW w:w="9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362"/>
        <w:gridCol w:w="1914"/>
        <w:gridCol w:w="1021"/>
        <w:gridCol w:w="4680"/>
      </w:tblGrid>
      <w:tr w14:paraId="47D1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211" w:type="dxa"/>
            <w:gridSpan w:val="2"/>
            <w:noWrap w:val="0"/>
            <w:tcMar>
              <w:left w:w="57" w:type="dxa"/>
              <w:right w:w="57" w:type="dxa"/>
            </w:tcMar>
            <w:vAlign w:val="center"/>
          </w:tcPr>
          <w:p w14:paraId="1E7C9A23">
            <w:pPr>
              <w:pageBreakBefore w:val="0"/>
              <w:overflowPunct/>
              <w:bidi w:val="0"/>
              <w:spacing w:before="206" w:line="360" w:lineRule="auto"/>
              <w:ind w:left="147" w:right="139"/>
              <w:rPr>
                <w:rFonts w:hint="eastAsia" w:ascii="宋体" w:hAnsi="宋体" w:eastAsia="宋体" w:cs="宋体"/>
                <w:b/>
                <w:bCs/>
                <w:color w:val="auto"/>
                <w:sz w:val="24"/>
                <w:szCs w:val="24"/>
              </w:rPr>
            </w:pPr>
            <w:r>
              <w:rPr>
                <w:rFonts w:hint="eastAsia" w:ascii="宋体" w:hAnsi="宋体" w:eastAsia="宋体" w:cs="宋体"/>
                <w:b/>
                <w:bCs/>
                <w:color w:val="auto"/>
                <w:sz w:val="24"/>
                <w:szCs w:val="24"/>
              </w:rPr>
              <w:t>条款号</w:t>
            </w:r>
          </w:p>
        </w:tc>
        <w:tc>
          <w:tcPr>
            <w:tcW w:w="1914" w:type="dxa"/>
            <w:noWrap w:val="0"/>
            <w:tcMar>
              <w:left w:w="57" w:type="dxa"/>
              <w:right w:w="57" w:type="dxa"/>
            </w:tcMar>
            <w:vAlign w:val="center"/>
          </w:tcPr>
          <w:p w14:paraId="3C8A8C56">
            <w:pPr>
              <w:pageBreakBefore w:val="0"/>
              <w:overflowPunct/>
              <w:bidi w:val="0"/>
              <w:spacing w:before="206" w:line="360" w:lineRule="auto"/>
              <w:ind w:left="147" w:right="139"/>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评审因素</w:t>
            </w:r>
          </w:p>
        </w:tc>
        <w:tc>
          <w:tcPr>
            <w:tcW w:w="5701" w:type="dxa"/>
            <w:gridSpan w:val="2"/>
            <w:noWrap w:val="0"/>
            <w:tcMar>
              <w:left w:w="57" w:type="dxa"/>
              <w:right w:w="57" w:type="dxa"/>
            </w:tcMar>
            <w:vAlign w:val="center"/>
          </w:tcPr>
          <w:p w14:paraId="29CC2F23">
            <w:pPr>
              <w:pageBreakBefore w:val="0"/>
              <w:overflowPunct/>
              <w:bidi w:val="0"/>
              <w:spacing w:before="206" w:line="360" w:lineRule="auto"/>
              <w:ind w:left="147" w:right="139"/>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评审标准</w:t>
            </w:r>
          </w:p>
        </w:tc>
      </w:tr>
      <w:tr w14:paraId="67D06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9" w:type="dxa"/>
            <w:vMerge w:val="restart"/>
            <w:noWrap w:val="0"/>
            <w:tcMar>
              <w:left w:w="57" w:type="dxa"/>
              <w:right w:w="57" w:type="dxa"/>
            </w:tcMar>
            <w:vAlign w:val="center"/>
          </w:tcPr>
          <w:p w14:paraId="64327D49">
            <w:pPr>
              <w:pageBreakBefore w:val="0"/>
              <w:overflowPunct/>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2.1.1</w:t>
            </w:r>
          </w:p>
        </w:tc>
        <w:tc>
          <w:tcPr>
            <w:tcW w:w="1362" w:type="dxa"/>
            <w:vMerge w:val="restart"/>
            <w:noWrap w:val="0"/>
            <w:tcMar>
              <w:left w:w="57" w:type="dxa"/>
              <w:right w:w="57" w:type="dxa"/>
            </w:tcMar>
            <w:vAlign w:val="center"/>
          </w:tcPr>
          <w:p w14:paraId="7AEDB6C8">
            <w:pPr>
              <w:pageBreakBefore w:val="0"/>
              <w:overflowPunct/>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符合性评审标准</w:t>
            </w:r>
          </w:p>
        </w:tc>
        <w:tc>
          <w:tcPr>
            <w:tcW w:w="1914" w:type="dxa"/>
            <w:noWrap w:val="0"/>
            <w:tcMar>
              <w:left w:w="57" w:type="dxa"/>
              <w:right w:w="57" w:type="dxa"/>
            </w:tcMar>
            <w:vAlign w:val="center"/>
          </w:tcPr>
          <w:p w14:paraId="53423222">
            <w:pPr>
              <w:pageBreakBefore w:val="0"/>
              <w:overflowPunct/>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w:t>
            </w:r>
          </w:p>
        </w:tc>
        <w:tc>
          <w:tcPr>
            <w:tcW w:w="5701" w:type="dxa"/>
            <w:gridSpan w:val="2"/>
            <w:noWrap w:val="0"/>
            <w:tcMar>
              <w:left w:w="57" w:type="dxa"/>
              <w:right w:w="57" w:type="dxa"/>
            </w:tcMar>
            <w:vAlign w:val="center"/>
          </w:tcPr>
          <w:p w14:paraId="6F7531D7">
            <w:pPr>
              <w:pageBreakBefore w:val="0"/>
              <w:overflowPunct/>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与营业执照一致</w:t>
            </w:r>
          </w:p>
        </w:tc>
      </w:tr>
      <w:tr w14:paraId="66A8B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9" w:type="dxa"/>
            <w:vMerge w:val="continue"/>
            <w:noWrap w:val="0"/>
            <w:tcMar>
              <w:left w:w="57" w:type="dxa"/>
              <w:right w:w="57" w:type="dxa"/>
            </w:tcMar>
            <w:vAlign w:val="center"/>
          </w:tcPr>
          <w:p w14:paraId="2FC71CBE">
            <w:pPr>
              <w:pageBreakBefore w:val="0"/>
              <w:overflowPunct/>
              <w:bidi w:val="0"/>
              <w:spacing w:line="360" w:lineRule="auto"/>
              <w:rPr>
                <w:rFonts w:hint="eastAsia" w:ascii="宋体" w:hAnsi="宋体" w:eastAsia="宋体" w:cs="宋体"/>
                <w:color w:val="auto"/>
                <w:sz w:val="24"/>
                <w:szCs w:val="24"/>
                <w:lang w:val="en-US" w:eastAsia="zh-CN"/>
              </w:rPr>
            </w:pPr>
          </w:p>
        </w:tc>
        <w:tc>
          <w:tcPr>
            <w:tcW w:w="1362" w:type="dxa"/>
            <w:vMerge w:val="continue"/>
            <w:noWrap w:val="0"/>
            <w:tcMar>
              <w:left w:w="57" w:type="dxa"/>
              <w:right w:w="57" w:type="dxa"/>
            </w:tcMar>
            <w:vAlign w:val="center"/>
          </w:tcPr>
          <w:p w14:paraId="0C7F4BA2">
            <w:pPr>
              <w:pageBreakBefore w:val="0"/>
              <w:overflowPunct/>
              <w:bidi w:val="0"/>
              <w:spacing w:line="360" w:lineRule="auto"/>
              <w:rPr>
                <w:rFonts w:hint="eastAsia" w:ascii="宋体" w:hAnsi="宋体" w:eastAsia="宋体" w:cs="宋体"/>
                <w:color w:val="auto"/>
                <w:sz w:val="24"/>
                <w:szCs w:val="24"/>
                <w:lang w:val="en-US" w:eastAsia="zh-CN"/>
              </w:rPr>
            </w:pPr>
          </w:p>
        </w:tc>
        <w:tc>
          <w:tcPr>
            <w:tcW w:w="1914" w:type="dxa"/>
            <w:noWrap w:val="0"/>
            <w:tcMar>
              <w:left w:w="57" w:type="dxa"/>
              <w:right w:w="57" w:type="dxa"/>
            </w:tcMar>
            <w:vAlign w:val="center"/>
          </w:tcPr>
          <w:p w14:paraId="3BBE3192">
            <w:pPr>
              <w:pageBreakBefore w:val="0"/>
              <w:overflowPunct/>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签字盖章</w:t>
            </w:r>
          </w:p>
        </w:tc>
        <w:tc>
          <w:tcPr>
            <w:tcW w:w="5701" w:type="dxa"/>
            <w:gridSpan w:val="2"/>
            <w:noWrap w:val="0"/>
            <w:tcMar>
              <w:left w:w="57" w:type="dxa"/>
              <w:right w:w="57" w:type="dxa"/>
            </w:tcMar>
            <w:vAlign w:val="center"/>
          </w:tcPr>
          <w:p w14:paraId="32A70D52">
            <w:pPr>
              <w:pageBreakBefore w:val="0"/>
              <w:overflowPunct/>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按</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lang w:val="en-US" w:eastAsia="zh-CN"/>
              </w:rPr>
              <w:t>文件要求签署、盖章</w:t>
            </w:r>
          </w:p>
        </w:tc>
      </w:tr>
      <w:tr w14:paraId="415F6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9" w:type="dxa"/>
            <w:vMerge w:val="continue"/>
            <w:noWrap w:val="0"/>
            <w:tcMar>
              <w:left w:w="57" w:type="dxa"/>
              <w:right w:w="57" w:type="dxa"/>
            </w:tcMar>
            <w:vAlign w:val="center"/>
          </w:tcPr>
          <w:p w14:paraId="6485E59F">
            <w:pPr>
              <w:pageBreakBefore w:val="0"/>
              <w:overflowPunct/>
              <w:bidi w:val="0"/>
              <w:spacing w:line="360" w:lineRule="auto"/>
              <w:rPr>
                <w:rFonts w:hint="eastAsia" w:ascii="宋体" w:hAnsi="宋体" w:eastAsia="宋体" w:cs="宋体"/>
                <w:color w:val="auto"/>
                <w:sz w:val="24"/>
                <w:szCs w:val="24"/>
                <w:lang w:val="en-US" w:eastAsia="zh-CN"/>
              </w:rPr>
            </w:pPr>
          </w:p>
        </w:tc>
        <w:tc>
          <w:tcPr>
            <w:tcW w:w="1362" w:type="dxa"/>
            <w:vMerge w:val="continue"/>
            <w:noWrap w:val="0"/>
            <w:tcMar>
              <w:left w:w="57" w:type="dxa"/>
              <w:right w:w="57" w:type="dxa"/>
            </w:tcMar>
            <w:vAlign w:val="center"/>
          </w:tcPr>
          <w:p w14:paraId="0E71D82D">
            <w:pPr>
              <w:pageBreakBefore w:val="0"/>
              <w:overflowPunct/>
              <w:bidi w:val="0"/>
              <w:spacing w:line="360" w:lineRule="auto"/>
              <w:rPr>
                <w:rFonts w:hint="eastAsia" w:ascii="宋体" w:hAnsi="宋体" w:eastAsia="宋体" w:cs="宋体"/>
                <w:color w:val="auto"/>
                <w:sz w:val="24"/>
                <w:szCs w:val="24"/>
                <w:lang w:val="en-US" w:eastAsia="zh-CN"/>
              </w:rPr>
            </w:pPr>
          </w:p>
        </w:tc>
        <w:tc>
          <w:tcPr>
            <w:tcW w:w="1914" w:type="dxa"/>
            <w:noWrap w:val="0"/>
            <w:tcMar>
              <w:left w:w="57" w:type="dxa"/>
              <w:right w:w="57" w:type="dxa"/>
            </w:tcMar>
            <w:vAlign w:val="center"/>
          </w:tcPr>
          <w:p w14:paraId="7D5D83AC">
            <w:pPr>
              <w:pageBreakBefore w:val="0"/>
              <w:overflowPunct/>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报价唯一</w:t>
            </w:r>
          </w:p>
        </w:tc>
        <w:tc>
          <w:tcPr>
            <w:tcW w:w="5701" w:type="dxa"/>
            <w:gridSpan w:val="2"/>
            <w:noWrap w:val="0"/>
            <w:tcMar>
              <w:left w:w="57" w:type="dxa"/>
              <w:right w:w="57" w:type="dxa"/>
            </w:tcMar>
            <w:vAlign w:val="center"/>
          </w:tcPr>
          <w:p w14:paraId="7C88FEED">
            <w:pPr>
              <w:pageBreakBefore w:val="0"/>
              <w:overflowPunct/>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只能有一个有效报价。</w:t>
            </w:r>
          </w:p>
        </w:tc>
      </w:tr>
      <w:tr w14:paraId="2411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9" w:type="dxa"/>
            <w:vMerge w:val="restart"/>
            <w:noWrap w:val="0"/>
            <w:tcMar>
              <w:left w:w="57" w:type="dxa"/>
              <w:right w:w="57" w:type="dxa"/>
            </w:tcMar>
            <w:vAlign w:val="center"/>
          </w:tcPr>
          <w:p w14:paraId="0699A404">
            <w:pPr>
              <w:pageBreakBefore w:val="0"/>
              <w:overflowPunct/>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2.1.2</w:t>
            </w:r>
          </w:p>
        </w:tc>
        <w:tc>
          <w:tcPr>
            <w:tcW w:w="1362" w:type="dxa"/>
            <w:vMerge w:val="restart"/>
            <w:noWrap w:val="0"/>
            <w:tcMar>
              <w:left w:w="57" w:type="dxa"/>
              <w:right w:w="57" w:type="dxa"/>
            </w:tcMar>
            <w:vAlign w:val="center"/>
          </w:tcPr>
          <w:p w14:paraId="777EC716">
            <w:pPr>
              <w:pageBreakBefore w:val="0"/>
              <w:overflowPunct/>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资格评审标准</w:t>
            </w:r>
          </w:p>
        </w:tc>
        <w:tc>
          <w:tcPr>
            <w:tcW w:w="1914" w:type="dxa"/>
            <w:noWrap w:val="0"/>
            <w:tcMar>
              <w:left w:w="57" w:type="dxa"/>
              <w:right w:w="57" w:type="dxa"/>
            </w:tcMar>
            <w:vAlign w:val="center"/>
          </w:tcPr>
          <w:p w14:paraId="23FFC696">
            <w:pPr>
              <w:pageBreakBefore w:val="0"/>
              <w:overflowPunct/>
              <w:bidi w:val="0"/>
              <w:spacing w:line="360" w:lineRule="auto"/>
              <w:jc w:val="center"/>
              <w:rPr>
                <w:rFonts w:hint="eastAsia" w:ascii="宋体" w:hAnsi="宋体" w:eastAsia="宋体" w:cs="宋体"/>
                <w:color w:val="auto"/>
                <w:sz w:val="24"/>
                <w:szCs w:val="24"/>
                <w:lang w:val="en-US" w:eastAsia="zh-CN"/>
              </w:rPr>
            </w:pPr>
            <w:r>
              <w:rPr>
                <w:rFonts w:hint="eastAsia" w:ascii="宋体" w:hAnsi="宋体"/>
                <w:color w:val="auto"/>
                <w:sz w:val="24"/>
                <w:szCs w:val="24"/>
              </w:rPr>
              <w:t>合格的</w:t>
            </w:r>
            <w:r>
              <w:rPr>
                <w:rFonts w:hint="eastAsia" w:ascii="宋体" w:hAnsi="宋体"/>
                <w:color w:val="auto"/>
                <w:sz w:val="24"/>
                <w:szCs w:val="24"/>
                <w:lang w:eastAsia="zh-CN"/>
              </w:rPr>
              <w:t>供应商</w:t>
            </w:r>
          </w:p>
        </w:tc>
        <w:tc>
          <w:tcPr>
            <w:tcW w:w="5701" w:type="dxa"/>
            <w:gridSpan w:val="2"/>
            <w:noWrap w:val="0"/>
            <w:vAlign w:val="center"/>
          </w:tcPr>
          <w:p w14:paraId="01A0868D">
            <w:pPr>
              <w:pageBreakBefore w:val="0"/>
              <w:overflowPunct/>
              <w:bidi w:val="0"/>
              <w:spacing w:line="360" w:lineRule="auto"/>
              <w:rPr>
                <w:rFonts w:hint="eastAsia" w:ascii="宋体" w:hAnsi="宋体" w:eastAsia="宋体" w:cs="宋体"/>
                <w:color w:val="auto"/>
                <w:sz w:val="24"/>
                <w:szCs w:val="24"/>
                <w:lang w:val="en-US" w:eastAsia="zh-CN"/>
              </w:rPr>
            </w:pPr>
            <w:r>
              <w:rPr>
                <w:rFonts w:hint="eastAsia" w:ascii="宋体" w:hAnsi="宋体"/>
                <w:color w:val="auto"/>
                <w:sz w:val="24"/>
                <w:szCs w:val="24"/>
                <w:lang w:val="en-US" w:eastAsia="zh-CN"/>
              </w:rPr>
              <w:t>满足</w:t>
            </w:r>
            <w:r>
              <w:rPr>
                <w:rFonts w:hint="eastAsia" w:ascii="宋体" w:hAnsi="宋体"/>
                <w:color w:val="auto"/>
                <w:sz w:val="24"/>
                <w:szCs w:val="24"/>
              </w:rPr>
              <w:t>《中华人民共和国政府采购法》第二十二条规定</w:t>
            </w:r>
            <w:r>
              <w:rPr>
                <w:rFonts w:hint="eastAsia" w:ascii="宋体" w:hAnsi="宋体"/>
                <w:color w:val="auto"/>
                <w:sz w:val="24"/>
                <w:szCs w:val="24"/>
                <w:lang w:eastAsia="zh-CN"/>
              </w:rPr>
              <w:t>；</w:t>
            </w:r>
          </w:p>
        </w:tc>
      </w:tr>
      <w:tr w14:paraId="63A3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vMerge w:val="continue"/>
            <w:noWrap w:val="0"/>
            <w:tcMar>
              <w:left w:w="57" w:type="dxa"/>
              <w:right w:w="57" w:type="dxa"/>
            </w:tcMar>
            <w:vAlign w:val="center"/>
          </w:tcPr>
          <w:p w14:paraId="14A069E5">
            <w:pPr>
              <w:pageBreakBefore w:val="0"/>
              <w:overflowPunct/>
              <w:bidi w:val="0"/>
              <w:spacing w:line="360" w:lineRule="auto"/>
              <w:jc w:val="center"/>
              <w:rPr>
                <w:rFonts w:hint="eastAsia" w:ascii="宋体" w:hAnsi="宋体" w:eastAsia="宋体" w:cs="宋体"/>
                <w:color w:val="auto"/>
                <w:sz w:val="24"/>
                <w:szCs w:val="24"/>
              </w:rPr>
            </w:pPr>
          </w:p>
        </w:tc>
        <w:tc>
          <w:tcPr>
            <w:tcW w:w="1362" w:type="dxa"/>
            <w:vMerge w:val="continue"/>
            <w:noWrap w:val="0"/>
            <w:tcMar>
              <w:left w:w="57" w:type="dxa"/>
              <w:right w:w="57" w:type="dxa"/>
            </w:tcMar>
            <w:vAlign w:val="center"/>
          </w:tcPr>
          <w:p w14:paraId="03801F3B">
            <w:pPr>
              <w:pageBreakBefore w:val="0"/>
              <w:overflowPunct/>
              <w:bidi w:val="0"/>
              <w:spacing w:line="360" w:lineRule="auto"/>
              <w:jc w:val="center"/>
              <w:rPr>
                <w:rFonts w:hint="eastAsia" w:ascii="宋体" w:hAnsi="宋体" w:eastAsia="宋体" w:cs="宋体"/>
                <w:color w:val="auto"/>
                <w:sz w:val="24"/>
                <w:szCs w:val="24"/>
              </w:rPr>
            </w:pPr>
          </w:p>
        </w:tc>
        <w:tc>
          <w:tcPr>
            <w:tcW w:w="1914" w:type="dxa"/>
            <w:noWrap w:val="0"/>
            <w:tcMar>
              <w:left w:w="57" w:type="dxa"/>
              <w:right w:w="57" w:type="dxa"/>
            </w:tcMar>
            <w:vAlign w:val="center"/>
          </w:tcPr>
          <w:p w14:paraId="6BCEFB22">
            <w:pPr>
              <w:pageBreakBefore w:val="0"/>
              <w:overflowPunct/>
              <w:bidi w:val="0"/>
              <w:spacing w:line="360" w:lineRule="auto"/>
              <w:jc w:val="center"/>
              <w:rPr>
                <w:rFonts w:hint="eastAsia" w:ascii="宋体" w:hAnsi="宋体"/>
                <w:color w:val="auto"/>
                <w:sz w:val="24"/>
                <w:szCs w:val="24"/>
                <w:lang w:eastAsia="zh-CN"/>
              </w:rPr>
            </w:pPr>
            <w:r>
              <w:rPr>
                <w:rFonts w:hint="eastAsia" w:ascii="宋体" w:hAnsi="宋体" w:cs="宋体"/>
                <w:color w:val="auto"/>
                <w:kern w:val="0"/>
                <w:sz w:val="24"/>
              </w:rPr>
              <w:t>营业执照</w:t>
            </w:r>
          </w:p>
        </w:tc>
        <w:tc>
          <w:tcPr>
            <w:tcW w:w="5701" w:type="dxa"/>
            <w:gridSpan w:val="2"/>
            <w:noWrap w:val="0"/>
            <w:vAlign w:val="center"/>
          </w:tcPr>
          <w:p w14:paraId="04979B72">
            <w:pPr>
              <w:pageBreakBefore w:val="0"/>
              <w:widowControl/>
              <w:overflowPunct/>
              <w:bidi w:val="0"/>
              <w:spacing w:line="360" w:lineRule="auto"/>
              <w:jc w:val="left"/>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cs="宋体"/>
                <w:color w:val="auto"/>
                <w:sz w:val="24"/>
                <w:szCs w:val="28"/>
                <w:highlight w:val="none"/>
                <w:lang w:eastAsia="zh-CN"/>
              </w:rPr>
              <w:t>投标人需具有独立承担民事责任能力的法人、其他组织或自然人，具有有效的营业执照（或其他合法经营凭证）</w:t>
            </w:r>
          </w:p>
        </w:tc>
      </w:tr>
      <w:tr w14:paraId="776A1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vMerge w:val="continue"/>
            <w:noWrap w:val="0"/>
            <w:tcMar>
              <w:left w:w="57" w:type="dxa"/>
              <w:right w:w="57" w:type="dxa"/>
            </w:tcMar>
            <w:vAlign w:val="center"/>
          </w:tcPr>
          <w:p w14:paraId="4CD5BCEB">
            <w:pPr>
              <w:pageBreakBefore w:val="0"/>
              <w:overflowPunct/>
              <w:bidi w:val="0"/>
              <w:spacing w:line="360" w:lineRule="auto"/>
              <w:jc w:val="center"/>
              <w:rPr>
                <w:rFonts w:hint="eastAsia" w:ascii="宋体" w:hAnsi="宋体" w:eastAsia="宋体" w:cs="宋体"/>
                <w:color w:val="auto"/>
                <w:sz w:val="24"/>
                <w:szCs w:val="24"/>
              </w:rPr>
            </w:pPr>
          </w:p>
        </w:tc>
        <w:tc>
          <w:tcPr>
            <w:tcW w:w="1362" w:type="dxa"/>
            <w:vMerge w:val="continue"/>
            <w:noWrap w:val="0"/>
            <w:tcMar>
              <w:left w:w="57" w:type="dxa"/>
              <w:right w:w="57" w:type="dxa"/>
            </w:tcMar>
            <w:vAlign w:val="center"/>
          </w:tcPr>
          <w:p w14:paraId="2669BD72">
            <w:pPr>
              <w:pageBreakBefore w:val="0"/>
              <w:overflowPunct/>
              <w:bidi w:val="0"/>
              <w:spacing w:line="360" w:lineRule="auto"/>
              <w:jc w:val="center"/>
              <w:rPr>
                <w:rFonts w:hint="eastAsia" w:ascii="宋体" w:hAnsi="宋体" w:eastAsia="宋体" w:cs="宋体"/>
                <w:color w:val="auto"/>
                <w:sz w:val="24"/>
                <w:szCs w:val="24"/>
              </w:rPr>
            </w:pPr>
          </w:p>
        </w:tc>
        <w:tc>
          <w:tcPr>
            <w:tcW w:w="1914" w:type="dxa"/>
            <w:noWrap w:val="0"/>
            <w:tcMar>
              <w:left w:w="57" w:type="dxa"/>
              <w:right w:w="57" w:type="dxa"/>
            </w:tcMar>
            <w:vAlign w:val="center"/>
          </w:tcPr>
          <w:p w14:paraId="3A2F34B8">
            <w:pPr>
              <w:pageBreakBefore w:val="0"/>
              <w:overflowPunct/>
              <w:bidi w:val="0"/>
              <w:spacing w:line="360" w:lineRule="auto"/>
              <w:jc w:val="center"/>
              <w:rPr>
                <w:rFonts w:hint="eastAsia" w:ascii="宋体" w:hAnsi="宋体" w:eastAsia="宋体" w:cs="宋体"/>
                <w:b/>
                <w:bCs/>
                <w:color w:val="auto"/>
                <w:sz w:val="24"/>
                <w:szCs w:val="24"/>
              </w:rPr>
            </w:pPr>
            <w:r>
              <w:rPr>
                <w:rFonts w:hint="eastAsia" w:ascii="宋体" w:hAnsi="宋体"/>
                <w:color w:val="auto"/>
                <w:sz w:val="24"/>
                <w:szCs w:val="24"/>
                <w:lang w:eastAsia="zh-CN"/>
              </w:rPr>
              <w:t>供应商</w:t>
            </w:r>
            <w:r>
              <w:rPr>
                <w:rFonts w:hint="eastAsia" w:ascii="宋体" w:hAnsi="宋体"/>
                <w:color w:val="auto"/>
                <w:sz w:val="24"/>
                <w:szCs w:val="24"/>
                <w:lang w:val="en-US" w:eastAsia="zh-CN"/>
              </w:rPr>
              <w:t>资质</w:t>
            </w:r>
          </w:p>
        </w:tc>
        <w:tc>
          <w:tcPr>
            <w:tcW w:w="5701" w:type="dxa"/>
            <w:gridSpan w:val="2"/>
            <w:noWrap w:val="0"/>
            <w:vAlign w:val="center"/>
          </w:tcPr>
          <w:p w14:paraId="139BB1A4">
            <w:pPr>
              <w:pageBreakBefore w:val="0"/>
              <w:widowControl/>
              <w:overflowPunct/>
              <w:bidi w:val="0"/>
              <w:spacing w:line="360" w:lineRule="auto"/>
              <w:jc w:val="left"/>
              <w:rPr>
                <w:rFonts w:hint="eastAsia" w:ascii="宋体" w:hAnsi="宋体" w:eastAsia="宋体" w:cs="宋体"/>
                <w:b/>
                <w:bCs/>
                <w:color w:val="auto"/>
                <w:sz w:val="24"/>
                <w:szCs w:val="24"/>
                <w:lang w:eastAsia="zh-CN"/>
              </w:rPr>
            </w:pPr>
            <w:r>
              <w:rPr>
                <w:rFonts w:hint="eastAsia" w:ascii="宋体" w:hAnsi="宋体" w:cs="宋体"/>
                <w:color w:val="auto"/>
                <w:kern w:val="0"/>
                <w:sz w:val="24"/>
              </w:rPr>
              <w:t>投标人应同时具有工程勘察专业类（工程测量）乙级（包含乙级）及以上资质和工程设计综合资质或工程设计公路行业（公路）专业乙级资质（包含乙级）及以上设计资质</w:t>
            </w:r>
          </w:p>
        </w:tc>
      </w:tr>
      <w:tr w14:paraId="2A031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vMerge w:val="continue"/>
            <w:noWrap w:val="0"/>
            <w:tcMar>
              <w:left w:w="57" w:type="dxa"/>
              <w:right w:w="57" w:type="dxa"/>
            </w:tcMar>
            <w:vAlign w:val="center"/>
          </w:tcPr>
          <w:p w14:paraId="69D64A56">
            <w:pPr>
              <w:pageBreakBefore w:val="0"/>
              <w:overflowPunct/>
              <w:bidi w:val="0"/>
              <w:spacing w:line="360" w:lineRule="auto"/>
              <w:jc w:val="center"/>
              <w:rPr>
                <w:rFonts w:hint="eastAsia" w:ascii="宋体" w:hAnsi="宋体" w:eastAsia="宋体" w:cs="宋体"/>
                <w:color w:val="auto"/>
                <w:sz w:val="24"/>
                <w:szCs w:val="24"/>
              </w:rPr>
            </w:pPr>
          </w:p>
        </w:tc>
        <w:tc>
          <w:tcPr>
            <w:tcW w:w="1362" w:type="dxa"/>
            <w:vMerge w:val="continue"/>
            <w:noWrap w:val="0"/>
            <w:tcMar>
              <w:left w:w="57" w:type="dxa"/>
              <w:right w:w="57" w:type="dxa"/>
            </w:tcMar>
            <w:vAlign w:val="center"/>
          </w:tcPr>
          <w:p w14:paraId="45149AEA">
            <w:pPr>
              <w:pageBreakBefore w:val="0"/>
              <w:overflowPunct/>
              <w:bidi w:val="0"/>
              <w:spacing w:line="360" w:lineRule="auto"/>
              <w:jc w:val="center"/>
              <w:rPr>
                <w:rFonts w:hint="eastAsia" w:ascii="宋体" w:hAnsi="宋体" w:eastAsia="宋体" w:cs="宋体"/>
                <w:color w:val="auto"/>
                <w:sz w:val="24"/>
                <w:szCs w:val="24"/>
              </w:rPr>
            </w:pPr>
          </w:p>
        </w:tc>
        <w:tc>
          <w:tcPr>
            <w:tcW w:w="1914" w:type="dxa"/>
            <w:noWrap w:val="0"/>
            <w:tcMar>
              <w:left w:w="57" w:type="dxa"/>
              <w:right w:w="57" w:type="dxa"/>
            </w:tcMar>
            <w:vAlign w:val="center"/>
          </w:tcPr>
          <w:p w14:paraId="5A94CFC5">
            <w:pPr>
              <w:pageBreakBefore w:val="0"/>
              <w:overflowPunct/>
              <w:bidi w:val="0"/>
              <w:spacing w:line="360" w:lineRule="auto"/>
              <w:jc w:val="center"/>
              <w:rPr>
                <w:rFonts w:hint="eastAsia" w:ascii="宋体" w:hAnsi="宋体" w:eastAsia="宋体" w:cs="宋体"/>
                <w:b/>
                <w:bCs/>
                <w:color w:val="auto"/>
                <w:sz w:val="24"/>
                <w:szCs w:val="24"/>
                <w:lang w:val="en-US" w:eastAsia="zh-CN"/>
              </w:rPr>
            </w:pPr>
            <w:r>
              <w:rPr>
                <w:rFonts w:hint="eastAsia" w:ascii="宋体" w:hAnsi="宋体"/>
                <w:color w:val="auto"/>
                <w:sz w:val="24"/>
                <w:szCs w:val="24"/>
              </w:rPr>
              <w:t>项目负责人</w:t>
            </w:r>
          </w:p>
        </w:tc>
        <w:tc>
          <w:tcPr>
            <w:tcW w:w="5701" w:type="dxa"/>
            <w:gridSpan w:val="2"/>
            <w:noWrap w:val="0"/>
            <w:vAlign w:val="center"/>
          </w:tcPr>
          <w:p w14:paraId="630603FF">
            <w:pPr>
              <w:pageBreakBefore w:val="0"/>
              <w:widowControl/>
              <w:overflowPunct/>
              <w:bidi w:val="0"/>
              <w:spacing w:line="360" w:lineRule="auto"/>
              <w:jc w:val="left"/>
              <w:rPr>
                <w:rFonts w:hint="eastAsia" w:ascii="宋体" w:hAnsi="宋体" w:eastAsia="宋体" w:cs="宋体"/>
                <w:b/>
                <w:bCs/>
                <w:color w:val="auto"/>
                <w:sz w:val="24"/>
                <w:szCs w:val="24"/>
              </w:rPr>
            </w:pPr>
            <w:r>
              <w:rPr>
                <w:rFonts w:hint="eastAsia" w:ascii="宋体" w:hAnsi="宋体" w:cs="宋体"/>
                <w:color w:val="auto"/>
                <w:kern w:val="0"/>
                <w:sz w:val="24"/>
              </w:rPr>
              <w:t>投标人拟派项目负责人须具备相关专业中级及以上技术职称，</w:t>
            </w:r>
            <w:r>
              <w:rPr>
                <w:rFonts w:hint="eastAsia" w:ascii="宋体" w:hAnsi="宋体" w:eastAsia="宋体" w:cs="宋体"/>
                <w:b w:val="0"/>
                <w:bCs w:val="0"/>
                <w:color w:val="auto"/>
                <w:sz w:val="24"/>
                <w:szCs w:val="24"/>
                <w:highlight w:val="none"/>
              </w:rPr>
              <w:t>必须为本单位人员（提供身份证、职称证、劳动合同及社保证明材料）</w:t>
            </w:r>
          </w:p>
        </w:tc>
      </w:tr>
      <w:tr w14:paraId="3104B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vMerge w:val="continue"/>
            <w:noWrap w:val="0"/>
            <w:tcMar>
              <w:left w:w="57" w:type="dxa"/>
              <w:right w:w="57" w:type="dxa"/>
            </w:tcMar>
            <w:vAlign w:val="center"/>
          </w:tcPr>
          <w:p w14:paraId="3F2E79CB">
            <w:pPr>
              <w:pageBreakBefore w:val="0"/>
              <w:overflowPunct/>
              <w:bidi w:val="0"/>
              <w:spacing w:line="360" w:lineRule="auto"/>
              <w:jc w:val="center"/>
              <w:rPr>
                <w:rFonts w:hint="eastAsia" w:ascii="宋体" w:hAnsi="宋体" w:eastAsia="宋体" w:cs="宋体"/>
                <w:color w:val="auto"/>
                <w:sz w:val="24"/>
                <w:szCs w:val="24"/>
              </w:rPr>
            </w:pPr>
          </w:p>
        </w:tc>
        <w:tc>
          <w:tcPr>
            <w:tcW w:w="1362" w:type="dxa"/>
            <w:vMerge w:val="continue"/>
            <w:noWrap w:val="0"/>
            <w:tcMar>
              <w:left w:w="57" w:type="dxa"/>
              <w:right w:w="57" w:type="dxa"/>
            </w:tcMar>
            <w:vAlign w:val="center"/>
          </w:tcPr>
          <w:p w14:paraId="4F8F6649">
            <w:pPr>
              <w:pageBreakBefore w:val="0"/>
              <w:overflowPunct/>
              <w:bidi w:val="0"/>
              <w:spacing w:line="360" w:lineRule="auto"/>
              <w:jc w:val="center"/>
              <w:rPr>
                <w:rFonts w:hint="eastAsia" w:ascii="宋体" w:hAnsi="宋体" w:eastAsia="宋体" w:cs="宋体"/>
                <w:color w:val="auto"/>
                <w:sz w:val="24"/>
                <w:szCs w:val="24"/>
              </w:rPr>
            </w:pPr>
          </w:p>
        </w:tc>
        <w:tc>
          <w:tcPr>
            <w:tcW w:w="1914" w:type="dxa"/>
            <w:noWrap w:val="0"/>
            <w:tcMar>
              <w:left w:w="57" w:type="dxa"/>
              <w:right w:w="57" w:type="dxa"/>
            </w:tcMar>
            <w:vAlign w:val="center"/>
          </w:tcPr>
          <w:p w14:paraId="368CCAE1">
            <w:pPr>
              <w:pageBreakBefore w:val="0"/>
              <w:overflowPunct/>
              <w:bidi w:val="0"/>
              <w:spacing w:line="360" w:lineRule="auto"/>
              <w:jc w:val="center"/>
              <w:rPr>
                <w:rFonts w:hint="eastAsia" w:ascii="宋体" w:hAnsi="宋体" w:eastAsia="宋体" w:cs="宋体"/>
                <w:b/>
                <w:bCs/>
                <w:color w:val="auto"/>
                <w:sz w:val="24"/>
                <w:szCs w:val="24"/>
                <w:lang w:val="en-US" w:eastAsia="zh-CN"/>
              </w:rPr>
            </w:pPr>
            <w:r>
              <w:rPr>
                <w:rFonts w:hint="eastAsia" w:ascii="宋体" w:hAnsi="宋体"/>
                <w:color w:val="auto"/>
                <w:sz w:val="24"/>
                <w:szCs w:val="24"/>
              </w:rPr>
              <w:t>承诺书</w:t>
            </w:r>
          </w:p>
        </w:tc>
        <w:tc>
          <w:tcPr>
            <w:tcW w:w="5701" w:type="dxa"/>
            <w:gridSpan w:val="2"/>
            <w:noWrap w:val="0"/>
            <w:vAlign w:val="center"/>
          </w:tcPr>
          <w:p w14:paraId="3CB53301">
            <w:pPr>
              <w:pageBreakBefore w:val="0"/>
              <w:overflowPunct/>
              <w:bidi w:val="0"/>
              <w:spacing w:line="360" w:lineRule="auto"/>
              <w:rPr>
                <w:rFonts w:hint="eastAsia" w:ascii="宋体" w:hAnsi="宋体" w:eastAsia="宋体" w:cs="宋体"/>
                <w:b/>
                <w:bCs/>
                <w:color w:val="auto"/>
                <w:sz w:val="24"/>
                <w:szCs w:val="24"/>
                <w:lang w:eastAsia="zh-CN"/>
              </w:rPr>
            </w:pPr>
            <w:r>
              <w:rPr>
                <w:rFonts w:hint="eastAsia" w:ascii="宋体" w:hAnsi="宋体" w:cs="宋体"/>
                <w:color w:val="auto"/>
                <w:kern w:val="0"/>
                <w:sz w:val="24"/>
              </w:rPr>
              <w:t>投标人需提供本企业的无商业贿赂及不正当竞争行为的承诺书</w:t>
            </w:r>
            <w:r>
              <w:rPr>
                <w:rFonts w:hint="eastAsia" w:ascii="宋体" w:hAnsi="宋体" w:cs="宋体"/>
                <w:color w:val="auto"/>
                <w:kern w:val="0"/>
                <w:sz w:val="24"/>
                <w:lang w:eastAsia="zh-CN"/>
              </w:rPr>
              <w:t>；</w:t>
            </w:r>
            <w:r>
              <w:rPr>
                <w:rFonts w:hint="eastAsia" w:ascii="宋体" w:hAnsi="宋体" w:cs="宋体"/>
                <w:color w:val="auto"/>
                <w:kern w:val="0"/>
                <w:sz w:val="24"/>
              </w:rPr>
              <w:t>投标人出具无行贿犯罪记录在中国裁判文书网自行查询或自行承诺（查询对象：企业、法定代表人、拟派项目负责人）</w:t>
            </w:r>
          </w:p>
        </w:tc>
      </w:tr>
      <w:tr w14:paraId="36655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49" w:type="dxa"/>
            <w:vMerge w:val="continue"/>
            <w:noWrap w:val="0"/>
            <w:tcMar>
              <w:left w:w="57" w:type="dxa"/>
              <w:right w:w="57" w:type="dxa"/>
            </w:tcMar>
            <w:vAlign w:val="center"/>
          </w:tcPr>
          <w:p w14:paraId="2888E2BB">
            <w:pPr>
              <w:pageBreakBefore w:val="0"/>
              <w:overflowPunct/>
              <w:bidi w:val="0"/>
              <w:spacing w:line="360" w:lineRule="auto"/>
              <w:rPr>
                <w:rFonts w:hint="eastAsia" w:ascii="宋体" w:hAnsi="宋体" w:eastAsia="宋体" w:cs="宋体"/>
                <w:color w:val="auto"/>
                <w:sz w:val="24"/>
                <w:szCs w:val="24"/>
              </w:rPr>
            </w:pPr>
          </w:p>
        </w:tc>
        <w:tc>
          <w:tcPr>
            <w:tcW w:w="1362" w:type="dxa"/>
            <w:vMerge w:val="continue"/>
            <w:noWrap w:val="0"/>
            <w:tcMar>
              <w:left w:w="57" w:type="dxa"/>
              <w:right w:w="57" w:type="dxa"/>
            </w:tcMar>
            <w:vAlign w:val="center"/>
          </w:tcPr>
          <w:p w14:paraId="0852898D">
            <w:pPr>
              <w:pageBreakBefore w:val="0"/>
              <w:overflowPunct/>
              <w:bidi w:val="0"/>
              <w:spacing w:line="360" w:lineRule="auto"/>
              <w:jc w:val="center"/>
              <w:rPr>
                <w:rFonts w:hint="eastAsia" w:ascii="宋体" w:hAnsi="宋体" w:eastAsia="宋体" w:cs="宋体"/>
                <w:color w:val="auto"/>
                <w:sz w:val="24"/>
                <w:szCs w:val="24"/>
              </w:rPr>
            </w:pPr>
          </w:p>
        </w:tc>
        <w:tc>
          <w:tcPr>
            <w:tcW w:w="1914" w:type="dxa"/>
            <w:noWrap w:val="0"/>
            <w:tcMar>
              <w:left w:w="57" w:type="dxa"/>
              <w:right w:w="57" w:type="dxa"/>
            </w:tcMar>
            <w:vAlign w:val="center"/>
          </w:tcPr>
          <w:p w14:paraId="64637E45">
            <w:pPr>
              <w:pageBreakBefore w:val="0"/>
              <w:overflowPunct/>
              <w:bidi w:val="0"/>
              <w:spacing w:line="360" w:lineRule="auto"/>
              <w:jc w:val="center"/>
              <w:rPr>
                <w:rFonts w:hint="eastAsia" w:ascii="宋体" w:hAnsi="宋体" w:eastAsia="宋体" w:cs="宋体"/>
                <w:color w:val="auto"/>
                <w:sz w:val="24"/>
                <w:szCs w:val="24"/>
              </w:rPr>
            </w:pPr>
            <w:r>
              <w:rPr>
                <w:rFonts w:hint="eastAsia" w:ascii="宋体" w:hAnsi="宋体"/>
                <w:color w:val="auto"/>
                <w:sz w:val="24"/>
                <w:szCs w:val="24"/>
              </w:rPr>
              <w:t>信誉及信用查询</w:t>
            </w:r>
          </w:p>
        </w:tc>
        <w:tc>
          <w:tcPr>
            <w:tcW w:w="5701" w:type="dxa"/>
            <w:gridSpan w:val="2"/>
            <w:noWrap w:val="0"/>
            <w:vAlign w:val="center"/>
          </w:tcPr>
          <w:p w14:paraId="3B47D99D">
            <w:pPr>
              <w:pageBreakBefore w:val="0"/>
              <w:overflowPunct/>
              <w:bidi w:val="0"/>
              <w:spacing w:line="360" w:lineRule="auto"/>
              <w:jc w:val="left"/>
              <w:rPr>
                <w:rFonts w:hint="eastAsia" w:ascii="宋体" w:hAnsi="宋体" w:eastAsia="宋体" w:cs="宋体"/>
                <w:color w:val="auto"/>
                <w:sz w:val="24"/>
                <w:szCs w:val="24"/>
                <w:lang w:val="en-US" w:eastAsia="zh-CN"/>
              </w:rPr>
            </w:pPr>
            <w:r>
              <w:rPr>
                <w:rFonts w:hint="eastAsia" w:ascii="宋体" w:hAnsi="宋体" w:cs="宋体"/>
                <w:color w:val="auto"/>
                <w:kern w:val="0"/>
                <w:sz w:val="24"/>
              </w:rPr>
              <w:t>根据《关于在政府采购活动中查询及使用信用记录有关问题的通知》(财库[2016]125号)和豫财购【2016】15号的规定，对列入失信被执行人和重大税收违法失信主体、政府采购严重违法失信行为记录名单的投标人，拒绝其参与本招标项目；（（①通过“信用中国”网站（http://www.creditchina.gov.cn/）“信用公示”-“失信被执行人查询”会跳转至“中国执行信息公开网”网站（http://zxgk.court.gov.cn/shixin/）查询企业（省份默认全部）②通过“信用中国”网站（http://www.creditchina.gov.cn/）“信用公示”-“重大税收违法失信主体名单”查询企业③通过“中国政府采购”网（www.ccgp.gov.cn）-“政府采购严重违法失信行为记录名单”查询企业）提供网站的查询结果截图，截图要显示查询时间，查询时间自本公告发布之日起</w:t>
            </w:r>
          </w:p>
        </w:tc>
      </w:tr>
      <w:tr w14:paraId="69BED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49" w:type="dxa"/>
            <w:vMerge w:val="continue"/>
            <w:noWrap w:val="0"/>
            <w:tcMar>
              <w:left w:w="57" w:type="dxa"/>
              <w:right w:w="57" w:type="dxa"/>
            </w:tcMar>
            <w:vAlign w:val="center"/>
          </w:tcPr>
          <w:p w14:paraId="4420B3B2">
            <w:pPr>
              <w:pageBreakBefore w:val="0"/>
              <w:overflowPunct/>
              <w:bidi w:val="0"/>
              <w:spacing w:line="360" w:lineRule="auto"/>
              <w:rPr>
                <w:rFonts w:hint="eastAsia" w:ascii="宋体" w:hAnsi="宋体" w:eastAsia="宋体" w:cs="宋体"/>
                <w:color w:val="auto"/>
                <w:sz w:val="24"/>
                <w:szCs w:val="24"/>
              </w:rPr>
            </w:pPr>
          </w:p>
        </w:tc>
        <w:tc>
          <w:tcPr>
            <w:tcW w:w="1362" w:type="dxa"/>
            <w:vMerge w:val="continue"/>
            <w:noWrap w:val="0"/>
            <w:tcMar>
              <w:left w:w="57" w:type="dxa"/>
              <w:right w:w="57" w:type="dxa"/>
            </w:tcMar>
            <w:vAlign w:val="center"/>
          </w:tcPr>
          <w:p w14:paraId="66D07443">
            <w:pPr>
              <w:pageBreakBefore w:val="0"/>
              <w:overflowPunct/>
              <w:bidi w:val="0"/>
              <w:spacing w:line="360" w:lineRule="auto"/>
              <w:jc w:val="center"/>
              <w:rPr>
                <w:rFonts w:hint="eastAsia" w:ascii="宋体" w:hAnsi="宋体" w:eastAsia="宋体" w:cs="宋体"/>
                <w:color w:val="auto"/>
                <w:sz w:val="24"/>
                <w:szCs w:val="24"/>
              </w:rPr>
            </w:pPr>
          </w:p>
        </w:tc>
        <w:tc>
          <w:tcPr>
            <w:tcW w:w="1914" w:type="dxa"/>
            <w:noWrap w:val="0"/>
            <w:tcMar>
              <w:left w:w="57" w:type="dxa"/>
              <w:right w:w="57" w:type="dxa"/>
            </w:tcMar>
            <w:vAlign w:val="center"/>
          </w:tcPr>
          <w:p w14:paraId="337EE159">
            <w:pPr>
              <w:pageBreakBefore w:val="0"/>
              <w:overflowPunct/>
              <w:bidi w:val="0"/>
              <w:spacing w:line="360" w:lineRule="auto"/>
              <w:jc w:val="center"/>
              <w:rPr>
                <w:rFonts w:hint="eastAsia" w:ascii="宋体" w:hAnsi="宋体"/>
                <w:color w:val="auto"/>
                <w:sz w:val="24"/>
                <w:szCs w:val="24"/>
              </w:rPr>
            </w:pPr>
            <w:r>
              <w:rPr>
                <w:rFonts w:hint="eastAsia" w:ascii="宋体" w:hAnsi="宋体"/>
                <w:color w:val="auto"/>
                <w:sz w:val="24"/>
                <w:szCs w:val="24"/>
                <w:lang w:val="en-US" w:eastAsia="zh-CN"/>
              </w:rPr>
              <w:t>非</w:t>
            </w:r>
            <w:r>
              <w:rPr>
                <w:rFonts w:hint="eastAsia" w:ascii="宋体" w:hAnsi="宋体"/>
                <w:color w:val="auto"/>
                <w:sz w:val="24"/>
                <w:szCs w:val="24"/>
              </w:rPr>
              <w:t>联合体投标</w:t>
            </w:r>
          </w:p>
        </w:tc>
        <w:tc>
          <w:tcPr>
            <w:tcW w:w="5701" w:type="dxa"/>
            <w:gridSpan w:val="2"/>
            <w:noWrap w:val="0"/>
            <w:vAlign w:val="center"/>
          </w:tcPr>
          <w:p w14:paraId="6C83F48A">
            <w:pPr>
              <w:pageBreakBefore w:val="0"/>
              <w:overflowPunct/>
              <w:bidi w:val="0"/>
              <w:spacing w:line="360" w:lineRule="auto"/>
              <w:rPr>
                <w:rFonts w:hint="eastAsia" w:ascii="宋体" w:hAnsi="宋体"/>
                <w:color w:val="auto"/>
                <w:sz w:val="24"/>
                <w:szCs w:val="24"/>
                <w:lang w:val="en-US" w:eastAsia="zh-CN"/>
              </w:rPr>
            </w:pPr>
            <w:r>
              <w:rPr>
                <w:rFonts w:hint="eastAsia" w:ascii="宋体" w:hAnsi="宋体"/>
                <w:color w:val="auto"/>
                <w:sz w:val="24"/>
                <w:szCs w:val="24"/>
                <w:lang w:val="en-US" w:eastAsia="zh-CN"/>
              </w:rPr>
              <w:t>本项目不接受联合体投标（提供承诺函）</w:t>
            </w:r>
          </w:p>
        </w:tc>
      </w:tr>
      <w:tr w14:paraId="04A3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9" w:type="dxa"/>
            <w:vMerge w:val="restart"/>
            <w:noWrap w:val="0"/>
            <w:tcMar>
              <w:left w:w="57" w:type="dxa"/>
              <w:right w:w="57" w:type="dxa"/>
            </w:tcMar>
            <w:vAlign w:val="center"/>
          </w:tcPr>
          <w:p w14:paraId="41391066">
            <w:pPr>
              <w:pageBreakBefore w:val="0"/>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2.1.3</w:t>
            </w:r>
          </w:p>
        </w:tc>
        <w:tc>
          <w:tcPr>
            <w:tcW w:w="1362" w:type="dxa"/>
            <w:vMerge w:val="restart"/>
            <w:noWrap w:val="0"/>
            <w:tcMar>
              <w:left w:w="57" w:type="dxa"/>
              <w:right w:w="57" w:type="dxa"/>
            </w:tcMar>
            <w:vAlign w:val="center"/>
          </w:tcPr>
          <w:p w14:paraId="7CD584B4">
            <w:pPr>
              <w:pageBreakBefore w:val="0"/>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实质</w:t>
            </w:r>
            <w:r>
              <w:rPr>
                <w:rFonts w:hint="eastAsia" w:ascii="宋体" w:hAnsi="宋体" w:eastAsia="宋体" w:cs="宋体"/>
                <w:color w:val="auto"/>
                <w:sz w:val="24"/>
                <w:szCs w:val="24"/>
              </w:rPr>
              <w:t>性响应评审标准</w:t>
            </w:r>
          </w:p>
        </w:tc>
        <w:tc>
          <w:tcPr>
            <w:tcW w:w="1914" w:type="dxa"/>
            <w:noWrap w:val="0"/>
            <w:tcMar>
              <w:left w:w="57" w:type="dxa"/>
              <w:right w:w="57" w:type="dxa"/>
            </w:tcMar>
            <w:vAlign w:val="center"/>
          </w:tcPr>
          <w:p w14:paraId="3A3EE8C8">
            <w:pPr>
              <w:pageBreakBefore w:val="0"/>
              <w:overflowPunct/>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服务范围</w:t>
            </w:r>
          </w:p>
        </w:tc>
        <w:tc>
          <w:tcPr>
            <w:tcW w:w="5701" w:type="dxa"/>
            <w:gridSpan w:val="2"/>
            <w:noWrap w:val="0"/>
            <w:vAlign w:val="center"/>
          </w:tcPr>
          <w:p w14:paraId="66554CA3">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lang w:val="en-US" w:eastAsia="zh-CN" w:bidi="ar"/>
              </w:rPr>
              <w:t>对本项目初勘、初测，详勘、定测、初步设计及概算、施工图设计及预算，施工阶段服务、竣工验收服务及满足招标人要求与本项目有关联的其它相关技术服务等工作，提交设计图纸</w:t>
            </w:r>
          </w:p>
        </w:tc>
      </w:tr>
      <w:tr w14:paraId="5F718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9" w:type="dxa"/>
            <w:vMerge w:val="continue"/>
            <w:noWrap w:val="0"/>
            <w:tcMar>
              <w:left w:w="57" w:type="dxa"/>
              <w:right w:w="57" w:type="dxa"/>
            </w:tcMar>
            <w:vAlign w:val="center"/>
          </w:tcPr>
          <w:p w14:paraId="660C948C">
            <w:pPr>
              <w:pageBreakBefore w:val="0"/>
              <w:overflowPunct/>
              <w:bidi w:val="0"/>
              <w:spacing w:line="360" w:lineRule="auto"/>
              <w:jc w:val="center"/>
              <w:rPr>
                <w:rFonts w:hint="eastAsia" w:ascii="宋体" w:hAnsi="宋体" w:eastAsia="宋体" w:cs="宋体"/>
                <w:color w:val="auto"/>
                <w:sz w:val="24"/>
                <w:szCs w:val="24"/>
              </w:rPr>
            </w:pPr>
          </w:p>
        </w:tc>
        <w:tc>
          <w:tcPr>
            <w:tcW w:w="1362" w:type="dxa"/>
            <w:vMerge w:val="continue"/>
            <w:noWrap w:val="0"/>
            <w:tcMar>
              <w:left w:w="57" w:type="dxa"/>
              <w:right w:w="57" w:type="dxa"/>
            </w:tcMar>
            <w:vAlign w:val="center"/>
          </w:tcPr>
          <w:p w14:paraId="7A627D16">
            <w:pPr>
              <w:pageBreakBefore w:val="0"/>
              <w:overflowPunct/>
              <w:bidi w:val="0"/>
              <w:spacing w:line="360" w:lineRule="auto"/>
              <w:jc w:val="center"/>
              <w:rPr>
                <w:rFonts w:hint="eastAsia" w:ascii="宋体" w:hAnsi="宋体" w:eastAsia="宋体" w:cs="宋体"/>
                <w:color w:val="auto"/>
                <w:sz w:val="24"/>
                <w:szCs w:val="24"/>
              </w:rPr>
            </w:pPr>
          </w:p>
        </w:tc>
        <w:tc>
          <w:tcPr>
            <w:tcW w:w="1914" w:type="dxa"/>
            <w:noWrap w:val="0"/>
            <w:tcMar>
              <w:left w:w="57" w:type="dxa"/>
              <w:right w:w="57" w:type="dxa"/>
            </w:tcMar>
            <w:vAlign w:val="center"/>
          </w:tcPr>
          <w:p w14:paraId="5238A485">
            <w:pPr>
              <w:pageBreakBefore w:val="0"/>
              <w:overflowPunct/>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服务</w:t>
            </w:r>
            <w:r>
              <w:rPr>
                <w:rFonts w:hint="eastAsia" w:ascii="宋体" w:hAnsi="宋体" w:cs="宋体"/>
                <w:color w:val="auto"/>
                <w:sz w:val="24"/>
                <w:szCs w:val="24"/>
                <w:lang w:val="en-US" w:eastAsia="zh-CN"/>
              </w:rPr>
              <w:t>周期</w:t>
            </w:r>
          </w:p>
        </w:tc>
        <w:tc>
          <w:tcPr>
            <w:tcW w:w="5701" w:type="dxa"/>
            <w:gridSpan w:val="2"/>
            <w:noWrap w:val="0"/>
            <w:vAlign w:val="center"/>
          </w:tcPr>
          <w:p w14:paraId="45C7B2AD">
            <w:pPr>
              <w:pStyle w:val="27"/>
              <w:keepNext w:val="0"/>
              <w:keepLines w:val="0"/>
              <w:pageBreakBefore w:val="0"/>
              <w:widowControl/>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自合同签订后40日历天完成提交设计成果</w:t>
            </w:r>
          </w:p>
        </w:tc>
      </w:tr>
      <w:tr w14:paraId="576D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49" w:type="dxa"/>
            <w:vMerge w:val="continue"/>
            <w:noWrap w:val="0"/>
            <w:tcMar>
              <w:left w:w="57" w:type="dxa"/>
              <w:right w:w="57" w:type="dxa"/>
            </w:tcMar>
            <w:vAlign w:val="center"/>
          </w:tcPr>
          <w:p w14:paraId="1C5DD685">
            <w:pPr>
              <w:pageBreakBefore w:val="0"/>
              <w:overflowPunct/>
              <w:bidi w:val="0"/>
              <w:spacing w:line="360" w:lineRule="auto"/>
              <w:jc w:val="center"/>
              <w:rPr>
                <w:rFonts w:hint="eastAsia" w:ascii="宋体" w:hAnsi="宋体" w:eastAsia="宋体" w:cs="宋体"/>
                <w:color w:val="auto"/>
                <w:sz w:val="24"/>
                <w:szCs w:val="24"/>
              </w:rPr>
            </w:pPr>
          </w:p>
        </w:tc>
        <w:tc>
          <w:tcPr>
            <w:tcW w:w="1362" w:type="dxa"/>
            <w:vMerge w:val="continue"/>
            <w:noWrap w:val="0"/>
            <w:tcMar>
              <w:left w:w="57" w:type="dxa"/>
              <w:right w:w="57" w:type="dxa"/>
            </w:tcMar>
            <w:vAlign w:val="center"/>
          </w:tcPr>
          <w:p w14:paraId="5BD31842">
            <w:pPr>
              <w:pageBreakBefore w:val="0"/>
              <w:overflowPunct/>
              <w:bidi w:val="0"/>
              <w:spacing w:line="360" w:lineRule="auto"/>
              <w:jc w:val="center"/>
              <w:rPr>
                <w:rFonts w:hint="eastAsia" w:ascii="宋体" w:hAnsi="宋体" w:eastAsia="宋体" w:cs="宋体"/>
                <w:color w:val="auto"/>
                <w:sz w:val="24"/>
                <w:szCs w:val="24"/>
              </w:rPr>
            </w:pPr>
          </w:p>
        </w:tc>
        <w:tc>
          <w:tcPr>
            <w:tcW w:w="1914" w:type="dxa"/>
            <w:noWrap w:val="0"/>
            <w:tcMar>
              <w:left w:w="57" w:type="dxa"/>
              <w:right w:w="57" w:type="dxa"/>
            </w:tcMar>
            <w:vAlign w:val="center"/>
          </w:tcPr>
          <w:p w14:paraId="63D3B086">
            <w:pPr>
              <w:pageBreakBefore w:val="0"/>
              <w:overflowPunct/>
              <w:bidi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质量要求</w:t>
            </w:r>
          </w:p>
        </w:tc>
        <w:tc>
          <w:tcPr>
            <w:tcW w:w="5701" w:type="dxa"/>
            <w:gridSpan w:val="2"/>
            <w:noWrap w:val="0"/>
            <w:vAlign w:val="center"/>
          </w:tcPr>
          <w:p w14:paraId="5F8C770A">
            <w:pPr>
              <w:pStyle w:val="17"/>
              <w:pageBreakBefore w:val="0"/>
              <w:overflowPunct/>
              <w:bidi w:val="0"/>
              <w:spacing w:beforeAutospacing="0" w:afterAutospacing="0" w:line="360" w:lineRule="auto"/>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符合现行勘察设计规范、规程、规定、标准的要求，并通过相关主管部门的审批</w:t>
            </w:r>
            <w:r>
              <w:rPr>
                <w:rFonts w:hint="eastAsia" w:ascii="宋体" w:hAnsi="宋体" w:eastAsia="宋体" w:cs="宋体"/>
                <w:color w:val="auto"/>
                <w:kern w:val="2"/>
                <w:sz w:val="24"/>
                <w:szCs w:val="24"/>
                <w:highlight w:val="none"/>
                <w:lang w:val="en-US" w:eastAsia="zh-CN" w:bidi="ar-SA"/>
              </w:rPr>
              <w:t>；</w:t>
            </w:r>
          </w:p>
        </w:tc>
      </w:tr>
      <w:tr w14:paraId="04CF8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849" w:type="dxa"/>
            <w:vMerge w:val="continue"/>
            <w:noWrap w:val="0"/>
            <w:tcMar>
              <w:left w:w="57" w:type="dxa"/>
              <w:right w:w="57" w:type="dxa"/>
            </w:tcMar>
            <w:vAlign w:val="center"/>
          </w:tcPr>
          <w:p w14:paraId="7CF0BB40">
            <w:pPr>
              <w:pageBreakBefore w:val="0"/>
              <w:overflowPunct/>
              <w:bidi w:val="0"/>
              <w:spacing w:line="360" w:lineRule="auto"/>
              <w:jc w:val="center"/>
              <w:rPr>
                <w:rFonts w:hint="eastAsia" w:ascii="宋体" w:hAnsi="宋体" w:eastAsia="宋体" w:cs="宋体"/>
                <w:color w:val="auto"/>
                <w:sz w:val="24"/>
                <w:szCs w:val="24"/>
              </w:rPr>
            </w:pPr>
          </w:p>
        </w:tc>
        <w:tc>
          <w:tcPr>
            <w:tcW w:w="1362" w:type="dxa"/>
            <w:vMerge w:val="continue"/>
            <w:noWrap w:val="0"/>
            <w:tcMar>
              <w:left w:w="57" w:type="dxa"/>
              <w:right w:w="57" w:type="dxa"/>
            </w:tcMar>
            <w:vAlign w:val="center"/>
          </w:tcPr>
          <w:p w14:paraId="4BCC61BB">
            <w:pPr>
              <w:pageBreakBefore w:val="0"/>
              <w:overflowPunct/>
              <w:bidi w:val="0"/>
              <w:spacing w:line="360" w:lineRule="auto"/>
              <w:jc w:val="center"/>
              <w:rPr>
                <w:rFonts w:hint="eastAsia" w:ascii="宋体" w:hAnsi="宋体" w:eastAsia="宋体" w:cs="宋体"/>
                <w:color w:val="auto"/>
                <w:sz w:val="24"/>
                <w:szCs w:val="24"/>
              </w:rPr>
            </w:pPr>
          </w:p>
        </w:tc>
        <w:tc>
          <w:tcPr>
            <w:tcW w:w="1914" w:type="dxa"/>
            <w:noWrap w:val="0"/>
            <w:tcMar>
              <w:left w:w="57" w:type="dxa"/>
              <w:right w:w="57" w:type="dxa"/>
            </w:tcMar>
            <w:vAlign w:val="center"/>
          </w:tcPr>
          <w:p w14:paraId="4E787CCF">
            <w:pPr>
              <w:pageBreakBefore w:val="0"/>
              <w:overflowPunct/>
              <w:bidi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响应</w:t>
            </w:r>
            <w:r>
              <w:rPr>
                <w:rFonts w:hint="eastAsia" w:ascii="宋体" w:hAnsi="宋体" w:eastAsia="宋体" w:cs="宋体"/>
                <w:color w:val="auto"/>
                <w:kern w:val="2"/>
                <w:sz w:val="24"/>
                <w:szCs w:val="24"/>
                <w:highlight w:val="none"/>
                <w:lang w:val="en-US" w:eastAsia="zh-CN" w:bidi="ar-SA"/>
              </w:rPr>
              <w:t>价格</w:t>
            </w:r>
          </w:p>
        </w:tc>
        <w:tc>
          <w:tcPr>
            <w:tcW w:w="5701" w:type="dxa"/>
            <w:gridSpan w:val="2"/>
            <w:noWrap w:val="0"/>
            <w:vAlign w:val="center"/>
          </w:tcPr>
          <w:p w14:paraId="049CD591">
            <w:pPr>
              <w:pageBreakBefore w:val="0"/>
              <w:overflowPunct/>
              <w:bidi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响应</w:t>
            </w:r>
            <w:r>
              <w:rPr>
                <w:rFonts w:hint="eastAsia" w:ascii="宋体" w:hAnsi="宋体" w:eastAsia="宋体" w:cs="宋体"/>
                <w:color w:val="auto"/>
                <w:kern w:val="2"/>
                <w:sz w:val="24"/>
                <w:szCs w:val="24"/>
                <w:highlight w:val="none"/>
                <w:lang w:val="en-US" w:eastAsia="zh-CN" w:bidi="ar-SA"/>
              </w:rPr>
              <w:t>报价都不得高于采购人公布的</w:t>
            </w:r>
            <w:r>
              <w:rPr>
                <w:rFonts w:hint="eastAsia" w:ascii="宋体" w:hAnsi="宋体" w:cs="宋体"/>
                <w:color w:val="auto"/>
                <w:kern w:val="2"/>
                <w:sz w:val="24"/>
                <w:szCs w:val="24"/>
                <w:highlight w:val="none"/>
                <w:lang w:val="en-US" w:eastAsia="zh-CN" w:bidi="ar-SA"/>
              </w:rPr>
              <w:t>最高限价</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采购</w:t>
            </w:r>
            <w:r>
              <w:rPr>
                <w:rFonts w:hint="eastAsia" w:ascii="宋体" w:hAnsi="宋体" w:eastAsia="宋体" w:cs="宋体"/>
                <w:color w:val="auto"/>
                <w:kern w:val="2"/>
                <w:sz w:val="24"/>
                <w:szCs w:val="24"/>
                <w:highlight w:val="none"/>
                <w:lang w:val="en-US" w:eastAsia="zh-CN" w:bidi="ar-SA"/>
              </w:rPr>
              <w:t>控制价），否则其投标将被否决。</w:t>
            </w:r>
          </w:p>
        </w:tc>
      </w:tr>
      <w:tr w14:paraId="03B4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211" w:type="dxa"/>
            <w:gridSpan w:val="2"/>
            <w:noWrap w:val="0"/>
            <w:tcMar>
              <w:left w:w="57" w:type="dxa"/>
              <w:right w:w="57" w:type="dxa"/>
            </w:tcMar>
            <w:vAlign w:val="center"/>
          </w:tcPr>
          <w:p w14:paraId="0CD98978">
            <w:pPr>
              <w:pageBreakBefore w:val="0"/>
              <w:tabs>
                <w:tab w:val="right" w:pos="2948"/>
              </w:tabs>
              <w:overflowPunct/>
              <w:bidi w:val="0"/>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条款号</w:t>
            </w:r>
          </w:p>
        </w:tc>
        <w:tc>
          <w:tcPr>
            <w:tcW w:w="1914" w:type="dxa"/>
            <w:noWrap w:val="0"/>
            <w:tcMar>
              <w:left w:w="57" w:type="dxa"/>
              <w:right w:w="57" w:type="dxa"/>
            </w:tcMar>
            <w:vAlign w:val="center"/>
          </w:tcPr>
          <w:p w14:paraId="14A49DC7">
            <w:pPr>
              <w:pageBreakBefore w:val="0"/>
              <w:overflowPunct/>
              <w:bidi w:val="0"/>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条款内容</w:t>
            </w:r>
          </w:p>
        </w:tc>
        <w:tc>
          <w:tcPr>
            <w:tcW w:w="5701" w:type="dxa"/>
            <w:gridSpan w:val="2"/>
            <w:noWrap w:val="0"/>
            <w:tcMar>
              <w:left w:w="57" w:type="dxa"/>
              <w:right w:w="57" w:type="dxa"/>
            </w:tcMar>
            <w:vAlign w:val="center"/>
          </w:tcPr>
          <w:p w14:paraId="7BCF969D">
            <w:pPr>
              <w:pageBreakBefore w:val="0"/>
              <w:overflowPunct/>
              <w:bidi w:val="0"/>
              <w:spacing w:line="360" w:lineRule="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编列内容</w:t>
            </w:r>
          </w:p>
        </w:tc>
      </w:tr>
      <w:tr w14:paraId="5E2B0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2211" w:type="dxa"/>
            <w:gridSpan w:val="2"/>
            <w:noWrap w:val="0"/>
            <w:tcMar>
              <w:left w:w="57" w:type="dxa"/>
              <w:right w:w="57" w:type="dxa"/>
            </w:tcMar>
            <w:vAlign w:val="center"/>
          </w:tcPr>
          <w:p w14:paraId="0DFCB6B1">
            <w:pPr>
              <w:keepNext w:val="0"/>
              <w:keepLines w:val="0"/>
              <w:pageBreakBefore w:val="0"/>
              <w:kinsoku/>
              <w:wordWrap/>
              <w:overflowPunct/>
              <w:topLinePunct w:val="0"/>
              <w:autoSpaceDE/>
              <w:autoSpaceDN/>
              <w:bidi w:val="0"/>
              <w:spacing w:beforeAutospacing="0" w:line="360" w:lineRule="auto"/>
              <w:ind w:firstLine="480" w:firstLineChars="2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w:t>
            </w:r>
          </w:p>
        </w:tc>
        <w:tc>
          <w:tcPr>
            <w:tcW w:w="1914" w:type="dxa"/>
            <w:noWrap w:val="0"/>
            <w:tcMar>
              <w:left w:w="57" w:type="dxa"/>
              <w:right w:w="57" w:type="dxa"/>
            </w:tcMar>
            <w:vAlign w:val="center"/>
          </w:tcPr>
          <w:p w14:paraId="3DC5A8CF">
            <w:pPr>
              <w:keepNext w:val="0"/>
              <w:keepLines w:val="0"/>
              <w:pageBreakBefore w:val="0"/>
              <w:kinsoku/>
              <w:wordWrap/>
              <w:overflowPunct/>
              <w:topLinePunct w:val="0"/>
              <w:autoSpaceDE/>
              <w:autoSpaceDN/>
              <w:bidi w:val="0"/>
              <w:spacing w:beforeAutospacing="0"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分值构成</w:t>
            </w:r>
          </w:p>
          <w:p w14:paraId="3B6AD3CC">
            <w:pPr>
              <w:keepNext w:val="0"/>
              <w:keepLines w:val="0"/>
              <w:pageBreakBefore w:val="0"/>
              <w:kinsoku/>
              <w:wordWrap/>
              <w:overflowPunct/>
              <w:topLinePunct w:val="0"/>
              <w:autoSpaceDE/>
              <w:autoSpaceDN/>
              <w:bidi w:val="0"/>
              <w:spacing w:beforeAutospacing="0"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（总分100分）</w:t>
            </w:r>
          </w:p>
        </w:tc>
        <w:tc>
          <w:tcPr>
            <w:tcW w:w="5701" w:type="dxa"/>
            <w:gridSpan w:val="2"/>
            <w:noWrap w:val="0"/>
            <w:tcMar>
              <w:left w:w="57" w:type="dxa"/>
              <w:right w:w="57" w:type="dxa"/>
            </w:tcMar>
            <w:vAlign w:val="center"/>
          </w:tcPr>
          <w:p w14:paraId="52211784">
            <w:pPr>
              <w:keepNext w:val="0"/>
              <w:keepLines w:val="0"/>
              <w:pageBreakBefore w:val="0"/>
              <w:widowControl/>
              <w:kinsoku/>
              <w:wordWrap/>
              <w:overflowPunct/>
              <w:topLinePunct w:val="0"/>
              <w:autoSpaceDE/>
              <w:autoSpaceDN/>
              <w:bidi w:val="0"/>
              <w:spacing w:beforeAutospacing="0"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磋商</w:t>
            </w:r>
            <w:r>
              <w:rPr>
                <w:rFonts w:hint="eastAsia" w:ascii="宋体" w:hAnsi="宋体" w:eastAsia="宋体" w:cs="宋体"/>
                <w:color w:val="auto"/>
                <w:sz w:val="24"/>
                <w:szCs w:val="24"/>
              </w:rPr>
              <w:t>报价：</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分</w:t>
            </w:r>
          </w:p>
          <w:p w14:paraId="3E055807">
            <w:pPr>
              <w:keepNext w:val="0"/>
              <w:keepLines w:val="0"/>
              <w:pageBreakBefore w:val="0"/>
              <w:kinsoku/>
              <w:wordWrap/>
              <w:overflowPunct/>
              <w:topLinePunct w:val="0"/>
              <w:autoSpaceDE/>
              <w:autoSpaceDN/>
              <w:bidi w:val="0"/>
              <w:spacing w:beforeAutospacing="0"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技术标：</w:t>
            </w:r>
            <w:r>
              <w:rPr>
                <w:rFonts w:hint="eastAsia" w:ascii="宋体" w:hAnsi="宋体" w:cs="宋体"/>
                <w:color w:val="auto"/>
                <w:sz w:val="24"/>
                <w:szCs w:val="24"/>
                <w:lang w:val="en-US" w:eastAsia="zh-CN"/>
              </w:rPr>
              <w:t>40</w:t>
            </w:r>
            <w:r>
              <w:rPr>
                <w:rFonts w:hint="eastAsia" w:ascii="宋体" w:hAnsi="宋体" w:eastAsia="宋体" w:cs="宋体"/>
                <w:color w:val="auto"/>
                <w:sz w:val="24"/>
                <w:szCs w:val="24"/>
              </w:rPr>
              <w:t>分</w:t>
            </w:r>
          </w:p>
          <w:p w14:paraId="61B0A5BD">
            <w:pPr>
              <w:keepNext w:val="0"/>
              <w:keepLines w:val="0"/>
              <w:pageBreakBefore w:val="0"/>
              <w:kinsoku/>
              <w:wordWrap/>
              <w:overflowPunct/>
              <w:topLinePunct w:val="0"/>
              <w:autoSpaceDE/>
              <w:autoSpaceDN/>
              <w:bidi w:val="0"/>
              <w:spacing w:beforeAutospacing="0"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商务</w:t>
            </w:r>
            <w:r>
              <w:rPr>
                <w:rFonts w:hint="eastAsia" w:ascii="宋体" w:hAnsi="宋体" w:eastAsia="宋体" w:cs="宋体"/>
                <w:color w:val="auto"/>
                <w:sz w:val="24"/>
                <w:szCs w:val="24"/>
              </w:rPr>
              <w:t>标：</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分</w:t>
            </w:r>
          </w:p>
        </w:tc>
      </w:tr>
      <w:tr w14:paraId="5A90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11" w:type="dxa"/>
            <w:gridSpan w:val="2"/>
            <w:noWrap w:val="0"/>
            <w:tcMar>
              <w:left w:w="57" w:type="dxa"/>
              <w:right w:w="57" w:type="dxa"/>
            </w:tcMar>
            <w:vAlign w:val="center"/>
          </w:tcPr>
          <w:p w14:paraId="4E8255C8">
            <w:pPr>
              <w:pageBreakBefore w:val="0"/>
              <w:tabs>
                <w:tab w:val="right" w:pos="2948"/>
              </w:tabs>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条款号</w:t>
            </w:r>
          </w:p>
        </w:tc>
        <w:tc>
          <w:tcPr>
            <w:tcW w:w="1914" w:type="dxa"/>
            <w:noWrap w:val="0"/>
            <w:tcMar>
              <w:left w:w="57" w:type="dxa"/>
              <w:right w:w="57" w:type="dxa"/>
            </w:tcMar>
            <w:vAlign w:val="center"/>
          </w:tcPr>
          <w:p w14:paraId="7FEE84E9">
            <w:pPr>
              <w:pageBreakBefore w:val="0"/>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b/>
                <w:color w:val="auto"/>
                <w:kern w:val="0"/>
                <w:sz w:val="24"/>
                <w:szCs w:val="24"/>
              </w:rPr>
              <w:t>评分因素</w:t>
            </w:r>
          </w:p>
        </w:tc>
        <w:tc>
          <w:tcPr>
            <w:tcW w:w="5701" w:type="dxa"/>
            <w:gridSpan w:val="2"/>
            <w:noWrap w:val="0"/>
            <w:tcMar>
              <w:left w:w="57" w:type="dxa"/>
              <w:right w:w="57" w:type="dxa"/>
            </w:tcMar>
            <w:vAlign w:val="center"/>
          </w:tcPr>
          <w:p w14:paraId="07F65A72">
            <w:pPr>
              <w:pageBreakBefore w:val="0"/>
              <w:overflowPunct/>
              <w:bidi w:val="0"/>
              <w:spacing w:line="360" w:lineRule="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评分标准</w:t>
            </w:r>
          </w:p>
        </w:tc>
      </w:tr>
      <w:tr w14:paraId="42ED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49" w:type="dxa"/>
            <w:noWrap w:val="0"/>
            <w:tcMar>
              <w:left w:w="57" w:type="dxa"/>
              <w:right w:w="57" w:type="dxa"/>
            </w:tcMar>
            <w:vAlign w:val="center"/>
          </w:tcPr>
          <w:p w14:paraId="73275CBD">
            <w:pPr>
              <w:pageBreakBefore w:val="0"/>
              <w:overflowPunct/>
              <w:bidi w:val="0"/>
              <w:spacing w:line="36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2.2.2（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w:t>
            </w:r>
          </w:p>
        </w:tc>
        <w:tc>
          <w:tcPr>
            <w:tcW w:w="1362" w:type="dxa"/>
            <w:noWrap w:val="0"/>
            <w:tcMar>
              <w:left w:w="57" w:type="dxa"/>
              <w:right w:w="57" w:type="dxa"/>
            </w:tcMar>
            <w:vAlign w:val="center"/>
          </w:tcPr>
          <w:p w14:paraId="6C82E2CA">
            <w:pPr>
              <w:keepNext w:val="0"/>
              <w:keepLines w:val="0"/>
              <w:pageBreakBefore w:val="0"/>
              <w:widowControl/>
              <w:kinsoku/>
              <w:wordWrap/>
              <w:overflowPunct/>
              <w:topLinePunct w:val="0"/>
              <w:autoSpaceDE/>
              <w:autoSpaceDN/>
              <w:bidi w:val="0"/>
              <w:spacing w:beforeAutospacing="0"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磋商</w:t>
            </w:r>
          </w:p>
          <w:p w14:paraId="410D8A7C">
            <w:pPr>
              <w:keepNext w:val="0"/>
              <w:keepLines w:val="0"/>
              <w:pageBreakBefore w:val="0"/>
              <w:widowControl/>
              <w:kinsoku/>
              <w:wordWrap/>
              <w:overflowPunct/>
              <w:topLinePunct w:val="0"/>
              <w:autoSpaceDE/>
              <w:autoSpaceDN/>
              <w:bidi w:val="0"/>
              <w:spacing w:beforeAutospacing="0"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报价</w:t>
            </w:r>
          </w:p>
          <w:p w14:paraId="55F26D24">
            <w:pPr>
              <w:pageBreakBefore w:val="0"/>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30</w:t>
            </w:r>
            <w:r>
              <w:rPr>
                <w:rFonts w:hint="eastAsia" w:ascii="宋体" w:hAnsi="宋体" w:eastAsia="宋体" w:cs="宋体"/>
                <w:color w:val="auto"/>
                <w:kern w:val="0"/>
                <w:sz w:val="24"/>
                <w:szCs w:val="24"/>
              </w:rPr>
              <w:t>分）</w:t>
            </w:r>
          </w:p>
        </w:tc>
        <w:tc>
          <w:tcPr>
            <w:tcW w:w="1914" w:type="dxa"/>
            <w:noWrap w:val="0"/>
            <w:tcMar>
              <w:left w:w="57" w:type="dxa"/>
              <w:right w:w="57" w:type="dxa"/>
            </w:tcMar>
            <w:vAlign w:val="center"/>
          </w:tcPr>
          <w:p w14:paraId="7807F81B">
            <w:pPr>
              <w:keepNext w:val="0"/>
              <w:keepLines w:val="0"/>
              <w:pageBreakBefore w:val="0"/>
              <w:widowControl/>
              <w:kinsoku/>
              <w:wordWrap/>
              <w:overflowPunct/>
              <w:topLinePunct w:val="0"/>
              <w:autoSpaceDE/>
              <w:autoSpaceDN/>
              <w:bidi w:val="0"/>
              <w:spacing w:beforeAutospacing="0"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磋商</w:t>
            </w:r>
          </w:p>
          <w:p w14:paraId="1B58141F">
            <w:pPr>
              <w:keepNext w:val="0"/>
              <w:keepLines w:val="0"/>
              <w:pageBreakBefore w:val="0"/>
              <w:widowControl/>
              <w:kinsoku/>
              <w:wordWrap/>
              <w:overflowPunct/>
              <w:topLinePunct w:val="0"/>
              <w:autoSpaceDE/>
              <w:autoSpaceDN/>
              <w:bidi w:val="0"/>
              <w:spacing w:beforeAutospacing="0"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报价</w:t>
            </w:r>
          </w:p>
          <w:p w14:paraId="54B5C455">
            <w:pPr>
              <w:pStyle w:val="24"/>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w:t>
            </w:r>
            <w:r>
              <w:rPr>
                <w:rFonts w:hint="eastAsia" w:hAnsi="宋体" w:cs="宋体"/>
                <w:color w:val="auto"/>
                <w:kern w:val="0"/>
                <w:sz w:val="24"/>
                <w:szCs w:val="24"/>
                <w:lang w:val="en-US" w:eastAsia="zh-CN"/>
              </w:rPr>
              <w:t>30</w:t>
            </w:r>
            <w:r>
              <w:rPr>
                <w:rFonts w:hint="eastAsia" w:ascii="宋体" w:hAnsi="宋体" w:eastAsia="宋体" w:cs="宋体"/>
                <w:color w:val="auto"/>
                <w:kern w:val="0"/>
                <w:sz w:val="24"/>
                <w:szCs w:val="24"/>
              </w:rPr>
              <w:t>分）</w:t>
            </w:r>
          </w:p>
        </w:tc>
        <w:tc>
          <w:tcPr>
            <w:tcW w:w="5701" w:type="dxa"/>
            <w:gridSpan w:val="2"/>
            <w:noWrap w:val="0"/>
            <w:tcMar>
              <w:left w:w="57" w:type="dxa"/>
              <w:right w:w="57" w:type="dxa"/>
            </w:tcMar>
            <w:vAlign w:val="center"/>
          </w:tcPr>
          <w:p w14:paraId="1867C824">
            <w:pPr>
              <w:spacing w:line="420" w:lineRule="exact"/>
              <w:rPr>
                <w:rFonts w:hint="eastAsia"/>
                <w:color w:val="auto"/>
                <w:sz w:val="24"/>
                <w:szCs w:val="24"/>
                <w:highlight w:val="none"/>
              </w:rPr>
            </w:pPr>
            <w:r>
              <w:rPr>
                <w:rFonts w:hint="eastAsia"/>
                <w:color w:val="auto"/>
                <w:sz w:val="24"/>
                <w:szCs w:val="24"/>
                <w:highlight w:val="none"/>
              </w:rPr>
              <w:t>价格分统一采用低价优先法计算，即满足磋商文件要求且最后报价最低的</w:t>
            </w:r>
            <w:r>
              <w:rPr>
                <w:rFonts w:hint="eastAsia"/>
                <w:color w:val="auto"/>
                <w:sz w:val="24"/>
                <w:szCs w:val="24"/>
                <w:highlight w:val="none"/>
                <w:lang w:eastAsia="zh-CN"/>
              </w:rPr>
              <w:t>供应商</w:t>
            </w:r>
            <w:r>
              <w:rPr>
                <w:rFonts w:hint="eastAsia"/>
                <w:color w:val="auto"/>
                <w:sz w:val="24"/>
                <w:szCs w:val="24"/>
                <w:highlight w:val="none"/>
              </w:rPr>
              <w:t>的价格为磋商基准价，其价格分为满分。</w:t>
            </w:r>
          </w:p>
          <w:p w14:paraId="62F505B2">
            <w:pPr>
              <w:spacing w:line="420" w:lineRule="exact"/>
              <w:rPr>
                <w:rFonts w:hint="eastAsia"/>
                <w:color w:val="auto"/>
                <w:sz w:val="24"/>
                <w:szCs w:val="24"/>
                <w:highlight w:val="none"/>
              </w:rPr>
            </w:pPr>
            <w:r>
              <w:rPr>
                <w:rFonts w:hint="eastAsia"/>
                <w:color w:val="auto"/>
                <w:sz w:val="24"/>
                <w:szCs w:val="24"/>
                <w:highlight w:val="none"/>
              </w:rPr>
              <w:t>其他</w:t>
            </w:r>
            <w:r>
              <w:rPr>
                <w:rFonts w:hint="eastAsia"/>
                <w:color w:val="auto"/>
                <w:sz w:val="24"/>
                <w:szCs w:val="24"/>
                <w:highlight w:val="none"/>
                <w:lang w:eastAsia="zh-CN"/>
              </w:rPr>
              <w:t>供应商</w:t>
            </w:r>
            <w:r>
              <w:rPr>
                <w:rFonts w:hint="eastAsia"/>
                <w:color w:val="auto"/>
                <w:sz w:val="24"/>
                <w:szCs w:val="24"/>
                <w:highlight w:val="none"/>
              </w:rPr>
              <w:t>的价格分统一按照下列公式计算：</w:t>
            </w:r>
          </w:p>
          <w:p w14:paraId="063F0E65">
            <w:pPr>
              <w:spacing w:line="420" w:lineRule="exact"/>
              <w:rPr>
                <w:rFonts w:hint="eastAsia"/>
                <w:color w:val="auto"/>
                <w:sz w:val="24"/>
                <w:szCs w:val="24"/>
                <w:highlight w:val="none"/>
                <w:lang w:val="en-US" w:eastAsia="zh-CN"/>
              </w:rPr>
            </w:pPr>
            <w:r>
              <w:rPr>
                <w:rFonts w:hint="eastAsia"/>
                <w:color w:val="auto"/>
                <w:sz w:val="24"/>
                <w:szCs w:val="24"/>
                <w:highlight w:val="none"/>
              </w:rPr>
              <w:t>磋商报价得分=（磋商基准价/最后磋商报价）×</w:t>
            </w:r>
            <w:r>
              <w:rPr>
                <w:rFonts w:hint="eastAsia"/>
                <w:color w:val="auto"/>
                <w:sz w:val="24"/>
                <w:szCs w:val="24"/>
                <w:highlight w:val="none"/>
                <w:lang w:val="en-US" w:eastAsia="zh-CN"/>
              </w:rPr>
              <w:t xml:space="preserve">30                            </w:t>
            </w:r>
          </w:p>
          <w:p w14:paraId="23695C3F">
            <w:pPr>
              <w:keepNext w:val="0"/>
              <w:keepLines w:val="0"/>
              <w:pageBreakBefore w:val="0"/>
              <w:kinsoku/>
              <w:wordWrap/>
              <w:overflowPunct/>
              <w:topLinePunct w:val="0"/>
              <w:autoSpaceDE/>
              <w:autoSpaceDN/>
              <w:bidi w:val="0"/>
              <w:spacing w:beforeAutospacing="0" w:line="360" w:lineRule="auto"/>
              <w:ind w:firstLine="482" w:firstLineChars="200"/>
              <w:jc w:val="left"/>
              <w:textAlignment w:val="auto"/>
              <w:rPr>
                <w:rFonts w:hint="eastAsia" w:eastAsia="宋体"/>
                <w:b/>
                <w:bCs/>
                <w:color w:val="auto"/>
                <w:sz w:val="24"/>
                <w:szCs w:val="24"/>
                <w:highlight w:val="none"/>
                <w:lang w:val="en-US" w:eastAsia="zh-CN"/>
              </w:rPr>
            </w:pPr>
            <w:r>
              <w:rPr>
                <w:rFonts w:hint="eastAsia" w:eastAsia="宋体"/>
                <w:b/>
                <w:bCs/>
                <w:color w:val="auto"/>
                <w:sz w:val="24"/>
                <w:szCs w:val="24"/>
                <w:highlight w:val="none"/>
                <w:lang w:val="en-US" w:eastAsia="zh-CN"/>
              </w:rPr>
              <w:t>注：1、本项目对小微企业、监狱企业、残疾人福利性企业作为供应商所提供的本企业生产的产品的价格给予20%的扣除，同一供应商中小微企业产品、监狱企业产品、残疾人福利性单位产品的价格扣除优惠只享受一次，不得重复享受。</w:t>
            </w:r>
          </w:p>
          <w:p w14:paraId="294BF783">
            <w:pPr>
              <w:keepNext w:val="0"/>
              <w:keepLines w:val="0"/>
              <w:pageBreakBefore w:val="0"/>
              <w:kinsoku/>
              <w:wordWrap/>
              <w:overflowPunct/>
              <w:topLinePunct w:val="0"/>
              <w:autoSpaceDE/>
              <w:autoSpaceDN/>
              <w:bidi w:val="0"/>
              <w:spacing w:beforeAutospacing="0" w:line="360" w:lineRule="auto"/>
              <w:ind w:firstLine="482" w:firstLineChars="200"/>
              <w:jc w:val="left"/>
              <w:textAlignment w:val="auto"/>
              <w:rPr>
                <w:rFonts w:hint="eastAsia" w:ascii="宋体" w:hAnsi="宋体" w:eastAsia="宋体" w:cs="宋体"/>
                <w:color w:val="auto"/>
                <w:kern w:val="0"/>
                <w:sz w:val="24"/>
                <w:szCs w:val="24"/>
                <w:lang w:val="en-US" w:eastAsia="zh-CN" w:bidi="ar-SA"/>
              </w:rPr>
            </w:pPr>
            <w:r>
              <w:rPr>
                <w:rFonts w:hint="eastAsia"/>
                <w:b/>
                <w:bCs/>
                <w:color w:val="auto"/>
                <w:sz w:val="24"/>
                <w:szCs w:val="24"/>
                <w:highlight w:val="none"/>
                <w:lang w:val="en-US" w:eastAsia="zh-CN"/>
              </w:rPr>
              <w:t>2、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报价处理。</w:t>
            </w:r>
          </w:p>
        </w:tc>
      </w:tr>
      <w:tr w14:paraId="79647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849" w:type="dxa"/>
            <w:vMerge w:val="restart"/>
            <w:noWrap w:val="0"/>
            <w:tcMar>
              <w:left w:w="57" w:type="dxa"/>
              <w:right w:w="57" w:type="dxa"/>
            </w:tcMar>
            <w:vAlign w:val="center"/>
          </w:tcPr>
          <w:p w14:paraId="6562E5F2">
            <w:pPr>
              <w:pageBreakBefore w:val="0"/>
              <w:overflowPunct/>
              <w:bidi w:val="0"/>
              <w:spacing w:line="36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2.2.</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 xml:space="preserve"> (2)</w:t>
            </w:r>
          </w:p>
        </w:tc>
        <w:tc>
          <w:tcPr>
            <w:tcW w:w="1362" w:type="dxa"/>
            <w:vMerge w:val="restart"/>
            <w:noWrap w:val="0"/>
            <w:tcMar>
              <w:left w:w="57" w:type="dxa"/>
              <w:right w:w="57" w:type="dxa"/>
            </w:tcMar>
            <w:vAlign w:val="center"/>
          </w:tcPr>
          <w:p w14:paraId="60A1247C">
            <w:pPr>
              <w:pageBreakBefore w:val="0"/>
              <w:overflowPunct/>
              <w:bidi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技术标评分（</w:t>
            </w:r>
            <w:r>
              <w:rPr>
                <w:rFonts w:hint="eastAsia" w:ascii="宋体" w:hAnsi="宋体" w:cs="宋体"/>
                <w:color w:val="auto"/>
                <w:sz w:val="24"/>
                <w:szCs w:val="24"/>
                <w:lang w:val="en-US" w:eastAsia="zh-CN"/>
              </w:rPr>
              <w:t>40</w:t>
            </w:r>
            <w:r>
              <w:rPr>
                <w:rFonts w:hint="eastAsia" w:ascii="宋体" w:hAnsi="宋体" w:eastAsia="宋体" w:cs="宋体"/>
                <w:color w:val="auto"/>
                <w:sz w:val="24"/>
                <w:szCs w:val="24"/>
              </w:rPr>
              <w:t>分）</w:t>
            </w:r>
          </w:p>
        </w:tc>
        <w:tc>
          <w:tcPr>
            <w:tcW w:w="1914" w:type="dxa"/>
            <w:noWrap w:val="0"/>
            <w:tcMar>
              <w:left w:w="57" w:type="dxa"/>
              <w:right w:w="57" w:type="dxa"/>
            </w:tcMar>
            <w:vAlign w:val="center"/>
          </w:tcPr>
          <w:p w14:paraId="771DFA6A">
            <w:pPr>
              <w:spacing w:line="360" w:lineRule="exact"/>
              <w:jc w:val="center"/>
              <w:rPr>
                <w:rFonts w:hint="default" w:ascii="宋体" w:hAnsi="宋体" w:eastAsia="宋体" w:cs="宋体"/>
                <w:color w:val="auto"/>
                <w:sz w:val="24"/>
                <w:szCs w:val="24"/>
                <w:lang w:val="en-US" w:eastAsia="zh-CN"/>
              </w:rPr>
            </w:pPr>
            <w:r>
              <w:rPr>
                <w:rFonts w:ascii="宋体" w:hAnsi="宋体" w:cs="宋体"/>
                <w:color w:val="auto"/>
                <w:sz w:val="24"/>
                <w:highlight w:val="none"/>
              </w:rPr>
              <w:t>对</w:t>
            </w:r>
            <w:r>
              <w:rPr>
                <w:rFonts w:hint="eastAsia" w:ascii="宋体" w:hAnsi="宋体" w:cs="宋体"/>
                <w:color w:val="auto"/>
                <w:sz w:val="24"/>
                <w:highlight w:val="none"/>
              </w:rPr>
              <w:t>设计工作</w:t>
            </w:r>
            <w:r>
              <w:rPr>
                <w:rFonts w:ascii="宋体" w:hAnsi="宋体" w:cs="宋体"/>
                <w:color w:val="auto"/>
                <w:sz w:val="24"/>
                <w:highlight w:val="none"/>
              </w:rPr>
              <w:t>的理解和总体设计思路</w:t>
            </w:r>
            <w:r>
              <w:rPr>
                <w:rFonts w:hint="eastAsia" w:ascii="宋体" w:hAnsi="宋体" w:cs="宋体"/>
                <w:color w:val="auto"/>
                <w:sz w:val="24"/>
                <w:highlight w:val="none"/>
              </w:rPr>
              <w:t>(8分）</w:t>
            </w:r>
          </w:p>
        </w:tc>
        <w:tc>
          <w:tcPr>
            <w:tcW w:w="5701" w:type="dxa"/>
            <w:gridSpan w:val="2"/>
            <w:noWrap w:val="0"/>
            <w:tcMar>
              <w:left w:w="57" w:type="dxa"/>
              <w:right w:w="57" w:type="dxa"/>
            </w:tcMar>
            <w:vAlign w:val="center"/>
          </w:tcPr>
          <w:p w14:paraId="6E67346D">
            <w:pPr>
              <w:spacing w:line="360" w:lineRule="exact"/>
              <w:rPr>
                <w:rFonts w:hint="eastAsia" w:ascii="宋体" w:hAnsi="宋体" w:cs="Courier New"/>
                <w:color w:val="auto"/>
                <w:kern w:val="2"/>
                <w:sz w:val="24"/>
                <w:szCs w:val="24"/>
                <w:highlight w:val="none"/>
              </w:rPr>
            </w:pPr>
            <w:r>
              <w:rPr>
                <w:rFonts w:hint="eastAsia" w:ascii="宋体" w:hAnsi="宋体" w:cs="Courier New"/>
                <w:color w:val="auto"/>
                <w:kern w:val="2"/>
                <w:sz w:val="24"/>
                <w:szCs w:val="24"/>
                <w:highlight w:val="none"/>
                <w:lang w:eastAsia="zh-CN"/>
              </w:rPr>
              <w:t>（</w:t>
            </w:r>
            <w:r>
              <w:rPr>
                <w:rFonts w:hint="eastAsia" w:ascii="宋体" w:hAnsi="宋体" w:cs="Courier New"/>
                <w:color w:val="auto"/>
                <w:kern w:val="2"/>
                <w:sz w:val="24"/>
                <w:szCs w:val="24"/>
                <w:highlight w:val="none"/>
                <w:lang w:val="en-US" w:eastAsia="zh-CN"/>
              </w:rPr>
              <w:t>1</w:t>
            </w:r>
            <w:r>
              <w:rPr>
                <w:rFonts w:hint="eastAsia" w:ascii="宋体" w:hAnsi="宋体" w:cs="Courier New"/>
                <w:color w:val="auto"/>
                <w:kern w:val="2"/>
                <w:sz w:val="24"/>
                <w:szCs w:val="24"/>
                <w:highlight w:val="none"/>
                <w:lang w:eastAsia="zh-CN"/>
              </w:rPr>
              <w:t>）</w:t>
            </w:r>
            <w:r>
              <w:rPr>
                <w:rFonts w:hint="eastAsia" w:ascii="宋体" w:hAnsi="宋体" w:cs="Courier New"/>
                <w:color w:val="auto"/>
                <w:kern w:val="2"/>
                <w:sz w:val="24"/>
                <w:szCs w:val="24"/>
                <w:highlight w:val="none"/>
              </w:rPr>
              <w:t>对本项目设计工作的范围及任务的描述理解一般、总体勘察设计思路清晰、切实可行、思路方法及可实施性一般肤浅的得</w:t>
            </w:r>
            <w:r>
              <w:rPr>
                <w:rFonts w:hint="eastAsia" w:ascii="宋体" w:hAnsi="宋体" w:cs="Courier New"/>
                <w:color w:val="auto"/>
                <w:kern w:val="2"/>
                <w:sz w:val="24"/>
                <w:szCs w:val="24"/>
                <w:highlight w:val="none"/>
                <w:lang w:val="en-US" w:eastAsia="zh-CN"/>
              </w:rPr>
              <w:t>5</w:t>
            </w:r>
            <w:r>
              <w:rPr>
                <w:rFonts w:hint="eastAsia" w:ascii="宋体" w:hAnsi="宋体" w:cs="Courier New"/>
                <w:color w:val="auto"/>
                <w:kern w:val="2"/>
                <w:sz w:val="24"/>
                <w:szCs w:val="24"/>
                <w:highlight w:val="none"/>
              </w:rPr>
              <w:t>分</w:t>
            </w:r>
            <w:r>
              <w:rPr>
                <w:rFonts w:hint="eastAsia" w:ascii="宋体" w:hAnsi="宋体" w:cs="Courier New"/>
                <w:color w:val="auto"/>
                <w:kern w:val="2"/>
                <w:sz w:val="24"/>
                <w:szCs w:val="24"/>
                <w:highlight w:val="none"/>
                <w:lang w:val="en-US" w:eastAsia="zh-CN"/>
              </w:rPr>
              <w:t>基础分</w:t>
            </w:r>
            <w:r>
              <w:rPr>
                <w:rFonts w:hint="eastAsia" w:ascii="宋体" w:hAnsi="宋体" w:cs="Courier New"/>
                <w:color w:val="auto"/>
                <w:kern w:val="2"/>
                <w:sz w:val="24"/>
                <w:szCs w:val="24"/>
                <w:highlight w:val="none"/>
              </w:rPr>
              <w:t>；</w:t>
            </w:r>
          </w:p>
          <w:p w14:paraId="10FAB842">
            <w:pPr>
              <w:spacing w:line="360" w:lineRule="exact"/>
              <w:rPr>
                <w:rFonts w:hint="eastAsia" w:ascii="宋体" w:hAnsi="宋体" w:cs="Courier New"/>
                <w:color w:val="auto"/>
                <w:kern w:val="2"/>
                <w:sz w:val="24"/>
                <w:szCs w:val="24"/>
                <w:highlight w:val="none"/>
              </w:rPr>
            </w:pPr>
            <w:r>
              <w:rPr>
                <w:rFonts w:hint="eastAsia" w:ascii="宋体" w:hAnsi="宋体" w:cs="Courier New"/>
                <w:color w:val="auto"/>
                <w:kern w:val="2"/>
                <w:sz w:val="24"/>
                <w:szCs w:val="24"/>
                <w:highlight w:val="none"/>
                <w:lang w:eastAsia="zh-CN"/>
              </w:rPr>
              <w:t>（</w:t>
            </w:r>
            <w:r>
              <w:rPr>
                <w:rFonts w:hint="eastAsia" w:ascii="宋体" w:hAnsi="宋体" w:cs="Courier New"/>
                <w:color w:val="auto"/>
                <w:kern w:val="2"/>
                <w:sz w:val="24"/>
                <w:szCs w:val="24"/>
                <w:highlight w:val="none"/>
                <w:lang w:val="en-US" w:eastAsia="zh-CN"/>
              </w:rPr>
              <w:t>2</w:t>
            </w:r>
            <w:r>
              <w:rPr>
                <w:rFonts w:hint="eastAsia" w:ascii="宋体" w:hAnsi="宋体" w:cs="Courier New"/>
                <w:color w:val="auto"/>
                <w:kern w:val="2"/>
                <w:sz w:val="24"/>
                <w:szCs w:val="24"/>
                <w:highlight w:val="none"/>
                <w:lang w:eastAsia="zh-CN"/>
              </w:rPr>
              <w:t>）</w:t>
            </w:r>
            <w:r>
              <w:rPr>
                <w:rFonts w:hint="eastAsia" w:ascii="宋体" w:hAnsi="宋体" w:cs="Courier New"/>
                <w:color w:val="auto"/>
                <w:kern w:val="2"/>
                <w:sz w:val="24"/>
                <w:szCs w:val="24"/>
                <w:highlight w:val="none"/>
              </w:rPr>
              <w:t>对本项目设计工作的范围及任务的描述理解准确、总体设计思路清晰、切实可行、思路方法及可实施性较好全面的</w:t>
            </w:r>
            <w:r>
              <w:rPr>
                <w:rFonts w:hint="eastAsia" w:ascii="宋体" w:hAnsi="宋体" w:cs="Courier New"/>
                <w:color w:val="auto"/>
                <w:kern w:val="2"/>
                <w:sz w:val="24"/>
                <w:szCs w:val="24"/>
                <w:highlight w:val="none"/>
                <w:lang w:val="en-US" w:eastAsia="zh-CN"/>
              </w:rPr>
              <w:t>加1分，最多加3</w:t>
            </w:r>
            <w:r>
              <w:rPr>
                <w:rFonts w:hint="eastAsia" w:ascii="宋体" w:hAnsi="宋体" w:cs="Courier New"/>
                <w:color w:val="auto"/>
                <w:kern w:val="2"/>
                <w:sz w:val="24"/>
                <w:szCs w:val="24"/>
                <w:highlight w:val="none"/>
              </w:rPr>
              <w:t>分；</w:t>
            </w:r>
          </w:p>
          <w:p w14:paraId="2738F1CF">
            <w:pPr>
              <w:spacing w:line="360" w:lineRule="exact"/>
              <w:rPr>
                <w:rFonts w:hint="eastAsia" w:ascii="宋体" w:hAnsi="宋体" w:cs="Courier New"/>
                <w:color w:val="auto"/>
                <w:kern w:val="2"/>
                <w:sz w:val="24"/>
                <w:szCs w:val="24"/>
                <w:highlight w:val="none"/>
              </w:rPr>
            </w:pPr>
            <w:r>
              <w:rPr>
                <w:rFonts w:hint="eastAsia" w:ascii="宋体" w:hAnsi="宋体" w:cs="Courier New"/>
                <w:color w:val="auto"/>
                <w:kern w:val="2"/>
                <w:sz w:val="24"/>
                <w:szCs w:val="24"/>
                <w:highlight w:val="none"/>
                <w:lang w:eastAsia="zh-CN"/>
              </w:rPr>
              <w:t>（</w:t>
            </w:r>
            <w:r>
              <w:rPr>
                <w:rFonts w:hint="eastAsia" w:ascii="宋体" w:hAnsi="宋体" w:cs="Courier New"/>
                <w:color w:val="auto"/>
                <w:kern w:val="2"/>
                <w:sz w:val="24"/>
                <w:szCs w:val="24"/>
                <w:highlight w:val="none"/>
                <w:lang w:val="en-US" w:eastAsia="zh-CN"/>
              </w:rPr>
              <w:t>3</w:t>
            </w:r>
            <w:r>
              <w:rPr>
                <w:rFonts w:hint="eastAsia" w:ascii="宋体" w:hAnsi="宋体" w:cs="Courier New"/>
                <w:color w:val="auto"/>
                <w:kern w:val="2"/>
                <w:sz w:val="24"/>
                <w:szCs w:val="24"/>
                <w:highlight w:val="none"/>
                <w:lang w:eastAsia="zh-CN"/>
              </w:rPr>
              <w:t>）</w:t>
            </w:r>
            <w:r>
              <w:rPr>
                <w:rFonts w:hint="eastAsia" w:ascii="宋体" w:hAnsi="宋体" w:cs="Courier New"/>
                <w:color w:val="auto"/>
                <w:kern w:val="2"/>
                <w:sz w:val="24"/>
                <w:szCs w:val="24"/>
                <w:highlight w:val="none"/>
              </w:rPr>
              <w:t>对本项目设计工作的范围及任务的描述理解不准确、勘察设计思路不清晰实施难度大的</w:t>
            </w:r>
            <w:r>
              <w:rPr>
                <w:rFonts w:hint="eastAsia" w:ascii="宋体" w:hAnsi="宋体" w:cs="Courier New"/>
                <w:color w:val="auto"/>
                <w:kern w:val="2"/>
                <w:sz w:val="24"/>
                <w:szCs w:val="24"/>
                <w:highlight w:val="none"/>
                <w:lang w:val="en-US" w:eastAsia="zh-CN"/>
              </w:rPr>
              <w:t>扣1分，扣完为止</w:t>
            </w:r>
            <w:r>
              <w:rPr>
                <w:rFonts w:hint="eastAsia" w:ascii="宋体" w:hAnsi="宋体" w:cs="Courier New"/>
                <w:color w:val="auto"/>
                <w:kern w:val="2"/>
                <w:sz w:val="24"/>
                <w:szCs w:val="24"/>
                <w:highlight w:val="none"/>
              </w:rPr>
              <w:t>；</w:t>
            </w:r>
          </w:p>
          <w:p w14:paraId="1A1C6FD2">
            <w:pPr>
              <w:spacing w:line="360" w:lineRule="exact"/>
              <w:rPr>
                <w:rFonts w:hint="eastAsia" w:ascii="宋体" w:hAnsi="宋体" w:eastAsia="宋体" w:cs="宋体"/>
                <w:color w:val="auto"/>
                <w:sz w:val="24"/>
                <w:szCs w:val="24"/>
                <w:lang w:val="en-US" w:eastAsia="zh-CN"/>
              </w:rPr>
            </w:pPr>
            <w:r>
              <w:rPr>
                <w:rFonts w:hint="eastAsia" w:ascii="宋体" w:hAnsi="宋体" w:cs="Courier New"/>
                <w:color w:val="auto"/>
                <w:kern w:val="2"/>
                <w:sz w:val="24"/>
                <w:szCs w:val="24"/>
                <w:highlight w:val="none"/>
                <w:lang w:eastAsia="zh-CN"/>
              </w:rPr>
              <w:t>（</w:t>
            </w:r>
            <w:r>
              <w:rPr>
                <w:rFonts w:hint="eastAsia" w:ascii="宋体" w:hAnsi="宋体" w:cs="Courier New"/>
                <w:color w:val="auto"/>
                <w:kern w:val="2"/>
                <w:sz w:val="24"/>
                <w:szCs w:val="24"/>
                <w:highlight w:val="none"/>
                <w:lang w:val="en-US" w:eastAsia="zh-CN"/>
              </w:rPr>
              <w:t>4</w:t>
            </w:r>
            <w:r>
              <w:rPr>
                <w:rFonts w:hint="eastAsia" w:ascii="宋体" w:hAnsi="宋体" w:cs="Courier New"/>
                <w:color w:val="auto"/>
                <w:kern w:val="2"/>
                <w:sz w:val="24"/>
                <w:szCs w:val="24"/>
                <w:highlight w:val="none"/>
                <w:lang w:eastAsia="zh-CN"/>
              </w:rPr>
              <w:t>）没有本项描述的得0分。</w:t>
            </w:r>
          </w:p>
        </w:tc>
      </w:tr>
      <w:tr w14:paraId="23084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849" w:type="dxa"/>
            <w:vMerge w:val="continue"/>
            <w:noWrap w:val="0"/>
            <w:tcMar>
              <w:left w:w="57" w:type="dxa"/>
              <w:right w:w="57" w:type="dxa"/>
            </w:tcMar>
            <w:vAlign w:val="center"/>
          </w:tcPr>
          <w:p w14:paraId="657798F7">
            <w:pPr>
              <w:pageBreakBefore w:val="0"/>
              <w:overflowPunct/>
              <w:bidi w:val="0"/>
              <w:spacing w:line="360" w:lineRule="auto"/>
              <w:jc w:val="center"/>
              <w:rPr>
                <w:rFonts w:hint="eastAsia" w:ascii="宋体" w:hAnsi="宋体" w:eastAsia="宋体" w:cs="宋体"/>
                <w:color w:val="auto"/>
                <w:kern w:val="0"/>
                <w:sz w:val="24"/>
                <w:szCs w:val="24"/>
              </w:rPr>
            </w:pPr>
          </w:p>
        </w:tc>
        <w:tc>
          <w:tcPr>
            <w:tcW w:w="1362" w:type="dxa"/>
            <w:vMerge w:val="continue"/>
            <w:noWrap w:val="0"/>
            <w:tcMar>
              <w:left w:w="57" w:type="dxa"/>
              <w:right w:w="57" w:type="dxa"/>
            </w:tcMar>
            <w:vAlign w:val="center"/>
          </w:tcPr>
          <w:p w14:paraId="21C4FAA7">
            <w:pPr>
              <w:pageBreakBefore w:val="0"/>
              <w:overflowPunct/>
              <w:bidi w:val="0"/>
              <w:spacing w:line="360" w:lineRule="auto"/>
              <w:jc w:val="center"/>
              <w:rPr>
                <w:rFonts w:hint="eastAsia" w:ascii="宋体" w:hAnsi="宋体" w:eastAsia="宋体" w:cs="宋体"/>
                <w:color w:val="auto"/>
                <w:kern w:val="0"/>
                <w:sz w:val="24"/>
                <w:szCs w:val="24"/>
              </w:rPr>
            </w:pPr>
          </w:p>
        </w:tc>
        <w:tc>
          <w:tcPr>
            <w:tcW w:w="1914" w:type="dxa"/>
            <w:noWrap w:val="0"/>
            <w:tcMar>
              <w:left w:w="57" w:type="dxa"/>
              <w:right w:w="57" w:type="dxa"/>
            </w:tcMar>
            <w:vAlign w:val="center"/>
          </w:tcPr>
          <w:p w14:paraId="219D3D8F">
            <w:pPr>
              <w:spacing w:line="360" w:lineRule="exact"/>
              <w:jc w:val="center"/>
              <w:rPr>
                <w:rFonts w:hint="eastAsia" w:ascii="宋体" w:hAnsi="宋体" w:eastAsia="宋体" w:cs="宋体"/>
                <w:color w:val="auto"/>
                <w:sz w:val="24"/>
                <w:szCs w:val="24"/>
              </w:rPr>
            </w:pPr>
            <w:r>
              <w:rPr>
                <w:rFonts w:hint="eastAsia" w:ascii="宋体" w:hAnsi="宋体" w:cs="宋体"/>
                <w:color w:val="auto"/>
                <w:sz w:val="24"/>
                <w:highlight w:val="none"/>
              </w:rPr>
              <w:t>对项目的设计特点、关键技术问题的认识及其对策措施(</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分）</w:t>
            </w:r>
          </w:p>
        </w:tc>
        <w:tc>
          <w:tcPr>
            <w:tcW w:w="5701" w:type="dxa"/>
            <w:gridSpan w:val="2"/>
            <w:noWrap w:val="0"/>
            <w:tcMar>
              <w:left w:w="57" w:type="dxa"/>
              <w:right w:w="57" w:type="dxa"/>
            </w:tcMar>
            <w:vAlign w:val="center"/>
          </w:tcPr>
          <w:p w14:paraId="44186373">
            <w:pPr>
              <w:spacing w:line="360" w:lineRule="exact"/>
              <w:rPr>
                <w:rFonts w:hint="eastAsia" w:ascii="宋体" w:hAnsi="宋体" w:cs="Courier New"/>
                <w:color w:val="auto"/>
                <w:kern w:val="2"/>
                <w:sz w:val="24"/>
                <w:szCs w:val="24"/>
                <w:highlight w:val="none"/>
              </w:rPr>
            </w:pPr>
            <w:r>
              <w:rPr>
                <w:rFonts w:hint="eastAsia" w:ascii="宋体" w:hAnsi="宋体" w:cs="Courier New"/>
                <w:color w:val="auto"/>
                <w:kern w:val="2"/>
                <w:sz w:val="24"/>
                <w:szCs w:val="24"/>
                <w:highlight w:val="none"/>
              </w:rPr>
              <w:t>（1）对本项目的设计特点、关键性技术问题分析和处理措施一般的得</w:t>
            </w:r>
            <w:r>
              <w:rPr>
                <w:rFonts w:hint="eastAsia" w:ascii="宋体" w:hAnsi="宋体" w:cs="Courier New"/>
                <w:color w:val="auto"/>
                <w:kern w:val="2"/>
                <w:sz w:val="24"/>
                <w:szCs w:val="24"/>
                <w:highlight w:val="none"/>
                <w:lang w:val="en-US" w:eastAsia="zh-CN"/>
              </w:rPr>
              <w:t>5</w:t>
            </w:r>
            <w:r>
              <w:rPr>
                <w:rFonts w:hint="eastAsia" w:ascii="宋体" w:hAnsi="宋体" w:cs="Courier New"/>
                <w:color w:val="auto"/>
                <w:kern w:val="2"/>
                <w:sz w:val="24"/>
                <w:szCs w:val="24"/>
                <w:highlight w:val="none"/>
              </w:rPr>
              <w:t>分</w:t>
            </w:r>
            <w:r>
              <w:rPr>
                <w:rFonts w:hint="eastAsia" w:ascii="宋体" w:hAnsi="宋体" w:cs="Courier New"/>
                <w:color w:val="auto"/>
                <w:kern w:val="2"/>
                <w:sz w:val="24"/>
                <w:szCs w:val="24"/>
                <w:highlight w:val="none"/>
                <w:lang w:val="en-US" w:eastAsia="zh-CN"/>
              </w:rPr>
              <w:t>基础分</w:t>
            </w:r>
            <w:r>
              <w:rPr>
                <w:rFonts w:hint="eastAsia" w:ascii="宋体" w:hAnsi="宋体" w:cs="Courier New"/>
                <w:color w:val="auto"/>
                <w:kern w:val="2"/>
                <w:sz w:val="24"/>
                <w:szCs w:val="24"/>
                <w:highlight w:val="none"/>
              </w:rPr>
              <w:t>；</w:t>
            </w:r>
          </w:p>
          <w:p w14:paraId="6032EA70">
            <w:pPr>
              <w:spacing w:line="360" w:lineRule="exact"/>
              <w:rPr>
                <w:rFonts w:hint="eastAsia" w:ascii="宋体" w:hAnsi="宋体" w:cs="Courier New"/>
                <w:color w:val="auto"/>
                <w:kern w:val="2"/>
                <w:sz w:val="24"/>
                <w:szCs w:val="24"/>
                <w:highlight w:val="none"/>
              </w:rPr>
            </w:pPr>
            <w:r>
              <w:rPr>
                <w:rFonts w:hint="eastAsia" w:ascii="宋体" w:hAnsi="宋体" w:cs="Courier New"/>
                <w:color w:val="auto"/>
                <w:kern w:val="2"/>
                <w:sz w:val="24"/>
                <w:szCs w:val="24"/>
                <w:highlight w:val="none"/>
              </w:rPr>
              <w:t>（2）对本项目的设计特点、关键性技术问题分析和处理措施合理，可行程度较好的</w:t>
            </w:r>
            <w:r>
              <w:rPr>
                <w:rFonts w:hint="eastAsia" w:ascii="宋体" w:hAnsi="宋体" w:cs="Courier New"/>
                <w:color w:val="auto"/>
                <w:kern w:val="2"/>
                <w:sz w:val="24"/>
                <w:szCs w:val="24"/>
                <w:highlight w:val="none"/>
                <w:lang w:val="en-US" w:eastAsia="zh-CN"/>
              </w:rPr>
              <w:t>加1分，最多加3</w:t>
            </w:r>
            <w:r>
              <w:rPr>
                <w:rFonts w:hint="eastAsia" w:ascii="宋体" w:hAnsi="宋体" w:cs="Courier New"/>
                <w:color w:val="auto"/>
                <w:kern w:val="2"/>
                <w:sz w:val="24"/>
                <w:szCs w:val="24"/>
                <w:highlight w:val="none"/>
              </w:rPr>
              <w:t>分；</w:t>
            </w:r>
          </w:p>
          <w:p w14:paraId="7C9854F6">
            <w:pPr>
              <w:spacing w:line="360" w:lineRule="exact"/>
              <w:rPr>
                <w:rFonts w:hint="eastAsia" w:ascii="宋体" w:hAnsi="宋体" w:cs="Courier New"/>
                <w:color w:val="auto"/>
                <w:kern w:val="2"/>
                <w:sz w:val="24"/>
                <w:szCs w:val="24"/>
                <w:highlight w:val="none"/>
              </w:rPr>
            </w:pPr>
            <w:r>
              <w:rPr>
                <w:rFonts w:hint="eastAsia" w:ascii="宋体" w:hAnsi="宋体" w:cs="Courier New"/>
                <w:color w:val="auto"/>
                <w:kern w:val="2"/>
                <w:sz w:val="24"/>
                <w:szCs w:val="24"/>
                <w:highlight w:val="none"/>
              </w:rPr>
              <w:t>（3）对本项目的设计特点、关键性技术问题分析和处理措施较差的</w:t>
            </w:r>
            <w:r>
              <w:rPr>
                <w:rFonts w:hint="eastAsia" w:ascii="宋体" w:hAnsi="宋体" w:cs="Courier New"/>
                <w:color w:val="auto"/>
                <w:kern w:val="2"/>
                <w:sz w:val="24"/>
                <w:szCs w:val="24"/>
                <w:highlight w:val="none"/>
                <w:lang w:val="en-US" w:eastAsia="zh-CN"/>
              </w:rPr>
              <w:t>扣1分，扣完为止</w:t>
            </w:r>
            <w:r>
              <w:rPr>
                <w:rFonts w:hint="eastAsia" w:ascii="宋体" w:hAnsi="宋体" w:cs="Courier New"/>
                <w:color w:val="auto"/>
                <w:kern w:val="2"/>
                <w:sz w:val="24"/>
                <w:szCs w:val="24"/>
                <w:highlight w:val="none"/>
              </w:rPr>
              <w:t>；</w:t>
            </w:r>
          </w:p>
          <w:p w14:paraId="45A37177">
            <w:pPr>
              <w:spacing w:line="360" w:lineRule="exact"/>
              <w:rPr>
                <w:rFonts w:hint="eastAsia" w:ascii="宋体" w:hAnsi="宋体" w:eastAsia="宋体" w:cs="宋体"/>
                <w:color w:val="auto"/>
                <w:sz w:val="24"/>
                <w:szCs w:val="24"/>
                <w:lang w:val="en-US" w:eastAsia="zh-CN"/>
              </w:rPr>
            </w:pPr>
            <w:r>
              <w:rPr>
                <w:rFonts w:hint="eastAsia" w:ascii="宋体" w:hAnsi="宋体" w:cs="Courier New"/>
                <w:color w:val="auto"/>
                <w:kern w:val="2"/>
                <w:sz w:val="24"/>
                <w:szCs w:val="24"/>
                <w:highlight w:val="none"/>
                <w:lang w:val="en-US" w:eastAsia="zh-CN"/>
              </w:rPr>
              <w:t>（4）</w:t>
            </w:r>
            <w:r>
              <w:rPr>
                <w:rFonts w:hint="eastAsia" w:ascii="宋体" w:hAnsi="宋体" w:cs="Courier New"/>
                <w:color w:val="auto"/>
                <w:kern w:val="2"/>
                <w:sz w:val="24"/>
                <w:szCs w:val="24"/>
                <w:highlight w:val="none"/>
                <w:lang w:eastAsia="zh-CN"/>
              </w:rPr>
              <w:t>没有本项描述的得0分。</w:t>
            </w:r>
          </w:p>
        </w:tc>
      </w:tr>
      <w:tr w14:paraId="020B2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49" w:type="dxa"/>
            <w:vMerge w:val="continue"/>
            <w:noWrap w:val="0"/>
            <w:tcMar>
              <w:left w:w="57" w:type="dxa"/>
              <w:right w:w="57" w:type="dxa"/>
            </w:tcMar>
            <w:vAlign w:val="center"/>
          </w:tcPr>
          <w:p w14:paraId="08E85583">
            <w:pPr>
              <w:pageBreakBefore w:val="0"/>
              <w:overflowPunct/>
              <w:bidi w:val="0"/>
              <w:spacing w:line="360" w:lineRule="auto"/>
              <w:jc w:val="center"/>
              <w:rPr>
                <w:rFonts w:hint="eastAsia" w:ascii="宋体" w:hAnsi="宋体" w:eastAsia="宋体" w:cs="宋体"/>
                <w:color w:val="auto"/>
                <w:kern w:val="0"/>
                <w:sz w:val="24"/>
                <w:szCs w:val="24"/>
              </w:rPr>
            </w:pPr>
          </w:p>
        </w:tc>
        <w:tc>
          <w:tcPr>
            <w:tcW w:w="1362" w:type="dxa"/>
            <w:vMerge w:val="continue"/>
            <w:noWrap w:val="0"/>
            <w:tcMar>
              <w:left w:w="57" w:type="dxa"/>
              <w:right w:w="57" w:type="dxa"/>
            </w:tcMar>
            <w:vAlign w:val="center"/>
          </w:tcPr>
          <w:p w14:paraId="63833498">
            <w:pPr>
              <w:pageBreakBefore w:val="0"/>
              <w:overflowPunct/>
              <w:bidi w:val="0"/>
              <w:spacing w:line="360" w:lineRule="auto"/>
              <w:jc w:val="center"/>
              <w:rPr>
                <w:rFonts w:hint="eastAsia" w:ascii="宋体" w:hAnsi="宋体" w:eastAsia="宋体" w:cs="宋体"/>
                <w:color w:val="auto"/>
                <w:kern w:val="0"/>
                <w:sz w:val="24"/>
                <w:szCs w:val="24"/>
              </w:rPr>
            </w:pPr>
          </w:p>
        </w:tc>
        <w:tc>
          <w:tcPr>
            <w:tcW w:w="1914" w:type="dxa"/>
            <w:noWrap w:val="0"/>
            <w:tcMar>
              <w:left w:w="57" w:type="dxa"/>
              <w:right w:w="57" w:type="dxa"/>
            </w:tcMar>
            <w:vAlign w:val="center"/>
          </w:tcPr>
          <w:p w14:paraId="4C091A09">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勘察设计工作内容、工作方案及进度计划(8分）</w:t>
            </w:r>
          </w:p>
        </w:tc>
        <w:tc>
          <w:tcPr>
            <w:tcW w:w="5701" w:type="dxa"/>
            <w:gridSpan w:val="2"/>
            <w:noWrap w:val="0"/>
            <w:tcMar>
              <w:left w:w="57" w:type="dxa"/>
              <w:right w:w="57" w:type="dxa"/>
            </w:tcMar>
            <w:vAlign w:val="center"/>
          </w:tcPr>
          <w:p w14:paraId="4E8592AB">
            <w:pPr>
              <w:spacing w:line="360" w:lineRule="exact"/>
              <w:rPr>
                <w:rFonts w:hint="eastAsia" w:ascii="宋体" w:hAnsi="宋体" w:cs="Courier New"/>
                <w:color w:val="auto"/>
                <w:kern w:val="2"/>
                <w:sz w:val="24"/>
                <w:szCs w:val="24"/>
                <w:highlight w:val="none"/>
              </w:rPr>
            </w:pPr>
            <w:r>
              <w:rPr>
                <w:rFonts w:hint="eastAsia" w:ascii="宋体" w:hAnsi="宋体" w:cs="Courier New"/>
                <w:color w:val="auto"/>
                <w:kern w:val="2"/>
                <w:sz w:val="24"/>
                <w:szCs w:val="24"/>
                <w:highlight w:val="none"/>
              </w:rPr>
              <w:t>（1）设计服务周期承诺满足磋商文件且有具体的违约承诺，有进度计划，且能保证工期，进度计划编制完整，程序清晰，安排科学，措施有力，切实可行的得</w:t>
            </w:r>
            <w:r>
              <w:rPr>
                <w:rFonts w:hint="eastAsia" w:ascii="宋体" w:hAnsi="宋体" w:cs="Courier New"/>
                <w:color w:val="auto"/>
                <w:kern w:val="2"/>
                <w:sz w:val="24"/>
                <w:szCs w:val="24"/>
                <w:highlight w:val="none"/>
                <w:lang w:val="en-US" w:eastAsia="zh-CN"/>
              </w:rPr>
              <w:t>8</w:t>
            </w:r>
            <w:r>
              <w:rPr>
                <w:rFonts w:hint="eastAsia" w:ascii="宋体" w:hAnsi="宋体" w:cs="Courier New"/>
                <w:color w:val="auto"/>
                <w:kern w:val="2"/>
                <w:sz w:val="24"/>
                <w:szCs w:val="24"/>
                <w:highlight w:val="none"/>
              </w:rPr>
              <w:t>分；</w:t>
            </w:r>
          </w:p>
          <w:p w14:paraId="530915BD">
            <w:pPr>
              <w:spacing w:line="360" w:lineRule="exact"/>
              <w:rPr>
                <w:rFonts w:hint="eastAsia" w:ascii="宋体" w:hAnsi="宋体" w:cs="Courier New"/>
                <w:color w:val="auto"/>
                <w:kern w:val="2"/>
                <w:sz w:val="24"/>
                <w:szCs w:val="24"/>
                <w:highlight w:val="none"/>
              </w:rPr>
            </w:pPr>
            <w:r>
              <w:rPr>
                <w:rFonts w:hint="eastAsia" w:ascii="宋体" w:hAnsi="宋体" w:cs="Courier New"/>
                <w:color w:val="auto"/>
                <w:kern w:val="2"/>
                <w:sz w:val="24"/>
                <w:szCs w:val="24"/>
                <w:highlight w:val="none"/>
              </w:rPr>
              <w:t>（2）设计服务周期承诺满足磋商文件且有奖罚条件和有进度计划，但有错误，进度计划编制完整，程序清晰，安排基本合理，有一定的措施的得</w:t>
            </w:r>
            <w:r>
              <w:rPr>
                <w:rFonts w:hint="eastAsia" w:ascii="宋体" w:hAnsi="宋体" w:cs="Courier New"/>
                <w:color w:val="auto"/>
                <w:kern w:val="2"/>
                <w:sz w:val="24"/>
                <w:szCs w:val="24"/>
                <w:highlight w:val="none"/>
                <w:lang w:val="en-US" w:eastAsia="zh-CN"/>
              </w:rPr>
              <w:t>5</w:t>
            </w:r>
            <w:r>
              <w:rPr>
                <w:rFonts w:hint="eastAsia" w:ascii="宋体" w:hAnsi="宋体" w:cs="Courier New"/>
                <w:color w:val="auto"/>
                <w:kern w:val="2"/>
                <w:sz w:val="24"/>
                <w:szCs w:val="24"/>
                <w:highlight w:val="none"/>
              </w:rPr>
              <w:t>分</w:t>
            </w:r>
            <w:r>
              <w:rPr>
                <w:rFonts w:hint="eastAsia" w:ascii="宋体" w:hAnsi="宋体" w:cs="Courier New"/>
                <w:color w:val="auto"/>
                <w:kern w:val="2"/>
                <w:sz w:val="24"/>
                <w:szCs w:val="24"/>
                <w:highlight w:val="none"/>
                <w:lang w:val="en-US" w:eastAsia="zh-CN"/>
              </w:rPr>
              <w:t>基础分</w:t>
            </w:r>
            <w:r>
              <w:rPr>
                <w:rFonts w:hint="eastAsia" w:ascii="宋体" w:hAnsi="宋体" w:cs="Courier New"/>
                <w:color w:val="auto"/>
                <w:kern w:val="2"/>
                <w:sz w:val="24"/>
                <w:szCs w:val="24"/>
                <w:highlight w:val="none"/>
              </w:rPr>
              <w:t>；</w:t>
            </w:r>
          </w:p>
          <w:p w14:paraId="54871834">
            <w:pPr>
              <w:spacing w:line="360" w:lineRule="exact"/>
              <w:rPr>
                <w:rFonts w:hint="eastAsia" w:ascii="宋体" w:hAnsi="宋体" w:cs="Courier New"/>
                <w:color w:val="auto"/>
                <w:kern w:val="2"/>
                <w:sz w:val="24"/>
                <w:szCs w:val="24"/>
                <w:highlight w:val="none"/>
              </w:rPr>
            </w:pPr>
            <w:r>
              <w:rPr>
                <w:rFonts w:hint="eastAsia" w:ascii="宋体" w:hAnsi="宋体" w:cs="Courier New"/>
                <w:color w:val="auto"/>
                <w:kern w:val="2"/>
                <w:sz w:val="24"/>
                <w:szCs w:val="24"/>
                <w:highlight w:val="none"/>
              </w:rPr>
              <w:t>（3）设计进度编制有一定缺陷，程序基本清晰，安排基本合理的得</w:t>
            </w:r>
            <w:r>
              <w:rPr>
                <w:rFonts w:hint="eastAsia" w:ascii="宋体" w:hAnsi="宋体" w:cs="Courier New"/>
                <w:color w:val="auto"/>
                <w:kern w:val="2"/>
                <w:sz w:val="24"/>
                <w:szCs w:val="24"/>
                <w:highlight w:val="none"/>
                <w:lang w:val="en-US" w:eastAsia="zh-CN"/>
              </w:rPr>
              <w:t>2</w:t>
            </w:r>
            <w:r>
              <w:rPr>
                <w:rFonts w:hint="eastAsia" w:ascii="宋体" w:hAnsi="宋体" w:cs="Courier New"/>
                <w:color w:val="auto"/>
                <w:kern w:val="2"/>
                <w:sz w:val="24"/>
                <w:szCs w:val="24"/>
                <w:highlight w:val="none"/>
              </w:rPr>
              <w:t>分；</w:t>
            </w:r>
          </w:p>
          <w:p w14:paraId="10348426">
            <w:pPr>
              <w:spacing w:line="360" w:lineRule="exact"/>
              <w:rPr>
                <w:rFonts w:hint="eastAsia" w:ascii="宋体" w:hAnsi="宋体" w:cs="Courier New"/>
                <w:color w:val="auto"/>
                <w:kern w:val="2"/>
                <w:sz w:val="24"/>
                <w:szCs w:val="24"/>
                <w:highlight w:val="none"/>
                <w:lang w:val="en-US" w:eastAsia="zh-CN"/>
              </w:rPr>
            </w:pPr>
            <w:r>
              <w:rPr>
                <w:rFonts w:hint="eastAsia" w:ascii="宋体" w:hAnsi="宋体" w:cs="Courier New"/>
                <w:color w:val="auto"/>
                <w:kern w:val="2"/>
                <w:sz w:val="24"/>
                <w:szCs w:val="24"/>
                <w:highlight w:val="none"/>
                <w:lang w:val="en-US" w:eastAsia="zh-CN"/>
              </w:rPr>
              <w:t>（4）</w:t>
            </w:r>
            <w:r>
              <w:rPr>
                <w:rFonts w:hint="eastAsia" w:ascii="宋体" w:hAnsi="宋体" w:cs="Courier New"/>
                <w:color w:val="auto"/>
                <w:kern w:val="2"/>
                <w:sz w:val="24"/>
                <w:szCs w:val="24"/>
                <w:highlight w:val="none"/>
                <w:lang w:eastAsia="zh-CN"/>
              </w:rPr>
              <w:t>没有本项描述的得0分。</w:t>
            </w:r>
          </w:p>
        </w:tc>
      </w:tr>
      <w:tr w14:paraId="6A8A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849" w:type="dxa"/>
            <w:vMerge w:val="continue"/>
            <w:noWrap w:val="0"/>
            <w:tcMar>
              <w:left w:w="57" w:type="dxa"/>
              <w:right w:w="57" w:type="dxa"/>
            </w:tcMar>
            <w:vAlign w:val="center"/>
          </w:tcPr>
          <w:p w14:paraId="01319290">
            <w:pPr>
              <w:pageBreakBefore w:val="0"/>
              <w:overflowPunct/>
              <w:bidi w:val="0"/>
              <w:spacing w:line="360" w:lineRule="auto"/>
              <w:jc w:val="center"/>
              <w:rPr>
                <w:rFonts w:hint="eastAsia" w:ascii="宋体" w:hAnsi="宋体" w:eastAsia="宋体" w:cs="宋体"/>
                <w:color w:val="auto"/>
                <w:kern w:val="0"/>
                <w:sz w:val="24"/>
                <w:szCs w:val="24"/>
              </w:rPr>
            </w:pPr>
          </w:p>
        </w:tc>
        <w:tc>
          <w:tcPr>
            <w:tcW w:w="1362" w:type="dxa"/>
            <w:vMerge w:val="continue"/>
            <w:noWrap w:val="0"/>
            <w:tcMar>
              <w:left w:w="57" w:type="dxa"/>
              <w:right w:w="57" w:type="dxa"/>
            </w:tcMar>
            <w:vAlign w:val="center"/>
          </w:tcPr>
          <w:p w14:paraId="2F6F9078">
            <w:pPr>
              <w:pageBreakBefore w:val="0"/>
              <w:overflowPunct/>
              <w:bidi w:val="0"/>
              <w:spacing w:line="360" w:lineRule="auto"/>
              <w:jc w:val="center"/>
              <w:rPr>
                <w:rFonts w:hint="eastAsia" w:ascii="宋体" w:hAnsi="宋体" w:eastAsia="宋体" w:cs="宋体"/>
                <w:color w:val="auto"/>
                <w:kern w:val="0"/>
                <w:sz w:val="24"/>
                <w:szCs w:val="24"/>
              </w:rPr>
            </w:pPr>
          </w:p>
        </w:tc>
        <w:tc>
          <w:tcPr>
            <w:tcW w:w="1914" w:type="dxa"/>
            <w:noWrap w:val="0"/>
            <w:tcMar>
              <w:left w:w="57" w:type="dxa"/>
              <w:right w:w="57" w:type="dxa"/>
            </w:tcMar>
            <w:vAlign w:val="center"/>
          </w:tcPr>
          <w:p w14:paraId="53D71120">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勘察设计质量保证措施(8分）</w:t>
            </w:r>
          </w:p>
        </w:tc>
        <w:tc>
          <w:tcPr>
            <w:tcW w:w="5701" w:type="dxa"/>
            <w:gridSpan w:val="2"/>
            <w:noWrap w:val="0"/>
            <w:tcMar>
              <w:left w:w="57" w:type="dxa"/>
              <w:right w:w="57" w:type="dxa"/>
            </w:tcMar>
            <w:vAlign w:val="center"/>
          </w:tcPr>
          <w:p w14:paraId="4B09C43A">
            <w:pPr>
              <w:spacing w:line="360" w:lineRule="exact"/>
              <w:rPr>
                <w:rFonts w:ascii="宋体" w:hAnsi="宋体" w:cs="宋体"/>
                <w:color w:val="auto"/>
                <w:sz w:val="24"/>
                <w:highlight w:val="none"/>
              </w:rPr>
            </w:pPr>
            <w:r>
              <w:rPr>
                <w:rFonts w:hint="eastAsia" w:ascii="宋体" w:hAnsi="宋体" w:cs="宋体"/>
                <w:color w:val="auto"/>
                <w:sz w:val="24"/>
                <w:highlight w:val="none"/>
              </w:rPr>
              <w:t>（1）设计质量承诺满足磋商文件要求且较好，质量保证措施完善、可行的得</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分；</w:t>
            </w:r>
          </w:p>
          <w:p w14:paraId="69DFF061">
            <w:pPr>
              <w:spacing w:line="360" w:lineRule="exact"/>
              <w:rPr>
                <w:rFonts w:ascii="宋体" w:hAnsi="宋体" w:cs="宋体"/>
                <w:color w:val="auto"/>
                <w:sz w:val="24"/>
                <w:highlight w:val="none"/>
              </w:rPr>
            </w:pPr>
            <w:r>
              <w:rPr>
                <w:rFonts w:hint="eastAsia" w:ascii="宋体" w:hAnsi="宋体" w:cs="宋体"/>
                <w:color w:val="auto"/>
                <w:sz w:val="24"/>
                <w:highlight w:val="none"/>
              </w:rPr>
              <w:t>（2）设计质量承诺满足磋商文件要求，但较一般，质量保证措施基本完善、基本可行的得</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w:t>
            </w:r>
            <w:r>
              <w:rPr>
                <w:rFonts w:hint="eastAsia" w:ascii="宋体" w:hAnsi="宋体" w:cs="Courier New"/>
                <w:color w:val="auto"/>
                <w:kern w:val="2"/>
                <w:sz w:val="24"/>
                <w:szCs w:val="24"/>
                <w:highlight w:val="none"/>
                <w:lang w:val="en-US" w:eastAsia="zh-CN"/>
              </w:rPr>
              <w:t>基础分</w:t>
            </w:r>
            <w:r>
              <w:rPr>
                <w:rFonts w:hint="eastAsia" w:ascii="宋体" w:hAnsi="宋体" w:cs="宋体"/>
                <w:color w:val="auto"/>
                <w:sz w:val="24"/>
                <w:highlight w:val="none"/>
              </w:rPr>
              <w:t>；</w:t>
            </w:r>
          </w:p>
          <w:p w14:paraId="21D150C8">
            <w:pPr>
              <w:spacing w:line="360" w:lineRule="exact"/>
              <w:rPr>
                <w:rFonts w:hint="eastAsia" w:ascii="宋体" w:hAnsi="宋体" w:cs="宋体"/>
                <w:color w:val="auto"/>
                <w:sz w:val="24"/>
                <w:highlight w:val="none"/>
              </w:rPr>
            </w:pPr>
            <w:r>
              <w:rPr>
                <w:rFonts w:hint="eastAsia" w:ascii="宋体" w:hAnsi="宋体" w:cs="宋体"/>
                <w:color w:val="auto"/>
                <w:sz w:val="24"/>
                <w:highlight w:val="none"/>
              </w:rPr>
              <w:t>（3）设计质量承诺满足磋商文件要求，但较差，质量保证措施不完善的得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p>
          <w:p w14:paraId="7EBCC39B">
            <w:pPr>
              <w:spacing w:line="360" w:lineRule="exact"/>
              <w:rPr>
                <w:rFonts w:hint="eastAsia" w:ascii="宋体" w:hAnsi="宋体" w:cs="Courier New"/>
                <w:color w:val="auto"/>
                <w:kern w:val="2"/>
                <w:sz w:val="24"/>
                <w:szCs w:val="24"/>
                <w:highlight w:val="none"/>
                <w:lang w:val="en-US" w:eastAsia="zh-CN"/>
              </w:rPr>
            </w:pPr>
            <w:r>
              <w:rPr>
                <w:rFonts w:hint="eastAsia" w:ascii="宋体" w:hAnsi="宋体" w:cs="Courier New"/>
                <w:color w:val="auto"/>
                <w:kern w:val="2"/>
                <w:sz w:val="24"/>
                <w:szCs w:val="24"/>
                <w:highlight w:val="none"/>
                <w:lang w:val="en-US" w:eastAsia="zh-CN"/>
              </w:rPr>
              <w:t>（4）</w:t>
            </w:r>
            <w:r>
              <w:rPr>
                <w:rFonts w:hint="eastAsia" w:ascii="宋体" w:hAnsi="宋体" w:cs="Courier New"/>
                <w:color w:val="auto"/>
                <w:kern w:val="2"/>
                <w:sz w:val="24"/>
                <w:szCs w:val="24"/>
                <w:highlight w:val="none"/>
                <w:lang w:eastAsia="zh-CN"/>
              </w:rPr>
              <w:t>没有本项描述的得0分。</w:t>
            </w:r>
          </w:p>
        </w:tc>
      </w:tr>
      <w:tr w14:paraId="2546D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49" w:type="dxa"/>
            <w:vMerge w:val="continue"/>
            <w:noWrap w:val="0"/>
            <w:tcMar>
              <w:left w:w="57" w:type="dxa"/>
              <w:right w:w="57" w:type="dxa"/>
            </w:tcMar>
            <w:vAlign w:val="center"/>
          </w:tcPr>
          <w:p w14:paraId="62A77405">
            <w:pPr>
              <w:pageBreakBefore w:val="0"/>
              <w:overflowPunct/>
              <w:bidi w:val="0"/>
              <w:spacing w:line="360" w:lineRule="auto"/>
              <w:jc w:val="center"/>
              <w:rPr>
                <w:rFonts w:hint="eastAsia" w:ascii="宋体" w:hAnsi="宋体" w:eastAsia="宋体" w:cs="宋体"/>
                <w:color w:val="auto"/>
                <w:kern w:val="0"/>
                <w:sz w:val="24"/>
                <w:szCs w:val="24"/>
              </w:rPr>
            </w:pPr>
          </w:p>
        </w:tc>
        <w:tc>
          <w:tcPr>
            <w:tcW w:w="1362" w:type="dxa"/>
            <w:vMerge w:val="continue"/>
            <w:noWrap w:val="0"/>
            <w:tcMar>
              <w:left w:w="57" w:type="dxa"/>
              <w:right w:w="57" w:type="dxa"/>
            </w:tcMar>
            <w:vAlign w:val="center"/>
          </w:tcPr>
          <w:p w14:paraId="79E292FA">
            <w:pPr>
              <w:pageBreakBefore w:val="0"/>
              <w:overflowPunct/>
              <w:bidi w:val="0"/>
              <w:spacing w:line="360" w:lineRule="auto"/>
              <w:jc w:val="center"/>
              <w:rPr>
                <w:rFonts w:hint="eastAsia" w:ascii="宋体" w:hAnsi="宋体" w:eastAsia="宋体" w:cs="宋体"/>
                <w:color w:val="auto"/>
                <w:kern w:val="0"/>
                <w:sz w:val="24"/>
                <w:szCs w:val="24"/>
              </w:rPr>
            </w:pPr>
          </w:p>
        </w:tc>
        <w:tc>
          <w:tcPr>
            <w:tcW w:w="1914" w:type="dxa"/>
            <w:noWrap w:val="0"/>
            <w:tcMar>
              <w:left w:w="57" w:type="dxa"/>
              <w:right w:w="57" w:type="dxa"/>
            </w:tcMar>
            <w:vAlign w:val="center"/>
          </w:tcPr>
          <w:p w14:paraId="041C696D">
            <w:pPr>
              <w:spacing w:line="360" w:lineRule="exact"/>
              <w:jc w:val="center"/>
              <w:rPr>
                <w:rFonts w:hint="eastAsia" w:ascii="宋体" w:hAnsi="宋体" w:eastAsia="宋体" w:cs="宋体"/>
                <w:color w:val="auto"/>
                <w:kern w:val="0"/>
                <w:sz w:val="24"/>
                <w:szCs w:val="24"/>
                <w:lang w:val="en-US" w:eastAsia="zh-CN" w:bidi="ar-SA"/>
              </w:rPr>
            </w:pPr>
            <w:r>
              <w:rPr>
                <w:rFonts w:hint="eastAsia" w:ascii="宋体" w:hAnsi="宋体" w:cs="宋体"/>
                <w:bCs/>
                <w:snapToGrid w:val="0"/>
                <w:color w:val="auto"/>
                <w:sz w:val="24"/>
                <w:highlight w:val="none"/>
              </w:rPr>
              <w:t>后续服务措施</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分）</w:t>
            </w:r>
          </w:p>
        </w:tc>
        <w:tc>
          <w:tcPr>
            <w:tcW w:w="5701" w:type="dxa"/>
            <w:gridSpan w:val="2"/>
            <w:noWrap w:val="0"/>
            <w:tcMar>
              <w:left w:w="57" w:type="dxa"/>
              <w:right w:w="57" w:type="dxa"/>
            </w:tcMar>
            <w:vAlign w:val="center"/>
          </w:tcPr>
          <w:p w14:paraId="04EAAF76">
            <w:pPr>
              <w:spacing w:line="400" w:lineRule="exact"/>
              <w:rPr>
                <w:rFonts w:ascii="宋体" w:hAnsi="宋体" w:cs="宋体"/>
                <w:color w:val="auto"/>
                <w:sz w:val="24"/>
                <w:highlight w:val="none"/>
              </w:rPr>
            </w:pPr>
            <w:r>
              <w:rPr>
                <w:rFonts w:hint="eastAsia" w:ascii="宋体" w:hAnsi="宋体" w:cs="宋体"/>
                <w:color w:val="auto"/>
                <w:sz w:val="24"/>
                <w:highlight w:val="none"/>
              </w:rPr>
              <w:t>（1）后续服务工作安排及承诺满足要求，保障有力，措施完善切实可靠的得</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分；</w:t>
            </w:r>
          </w:p>
          <w:p w14:paraId="6639D820">
            <w:pPr>
              <w:spacing w:line="400" w:lineRule="exact"/>
              <w:rPr>
                <w:rFonts w:ascii="宋体" w:hAnsi="宋体" w:cs="宋体"/>
                <w:color w:val="auto"/>
                <w:sz w:val="24"/>
                <w:highlight w:val="none"/>
              </w:rPr>
            </w:pPr>
            <w:r>
              <w:rPr>
                <w:rFonts w:hint="eastAsia" w:ascii="宋体" w:hAnsi="宋体" w:cs="宋体"/>
                <w:color w:val="auto"/>
                <w:sz w:val="24"/>
                <w:highlight w:val="none"/>
              </w:rPr>
              <w:t>（2）后续服务工作安排及承诺基本满足要求，保障措施基本完善的得</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w:t>
            </w:r>
            <w:r>
              <w:rPr>
                <w:rFonts w:hint="eastAsia" w:ascii="宋体" w:hAnsi="宋体" w:cs="Courier New"/>
                <w:color w:val="auto"/>
                <w:kern w:val="2"/>
                <w:sz w:val="24"/>
                <w:szCs w:val="24"/>
                <w:highlight w:val="none"/>
                <w:lang w:val="en-US" w:eastAsia="zh-CN"/>
              </w:rPr>
              <w:t>基础分</w:t>
            </w:r>
            <w:r>
              <w:rPr>
                <w:rFonts w:hint="eastAsia" w:ascii="宋体" w:hAnsi="宋体" w:cs="宋体"/>
                <w:color w:val="auto"/>
                <w:sz w:val="24"/>
                <w:highlight w:val="none"/>
              </w:rPr>
              <w:t>；</w:t>
            </w:r>
          </w:p>
          <w:p w14:paraId="371279DD">
            <w:pPr>
              <w:spacing w:line="400" w:lineRule="exact"/>
              <w:rPr>
                <w:rFonts w:hint="eastAsia" w:ascii="宋体" w:hAnsi="宋体" w:cs="宋体"/>
                <w:color w:val="auto"/>
                <w:sz w:val="24"/>
                <w:highlight w:val="none"/>
              </w:rPr>
            </w:pPr>
            <w:r>
              <w:rPr>
                <w:rFonts w:hint="eastAsia" w:ascii="宋体" w:hAnsi="宋体" w:cs="宋体"/>
                <w:color w:val="auto"/>
                <w:sz w:val="24"/>
                <w:highlight w:val="none"/>
              </w:rPr>
              <w:t>（3）后续服务工作安排及承诺不满足要求，保障措施不完善的得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p>
          <w:p w14:paraId="5E5960F2">
            <w:pPr>
              <w:spacing w:line="400" w:lineRule="exact"/>
              <w:rPr>
                <w:rFonts w:hint="eastAsia" w:ascii="宋体" w:hAnsi="宋体" w:eastAsia="宋体" w:cs="宋体"/>
                <w:color w:val="auto"/>
                <w:sz w:val="24"/>
                <w:szCs w:val="24"/>
                <w:lang w:val="en-US" w:eastAsia="zh-CN"/>
              </w:rPr>
            </w:pPr>
            <w:r>
              <w:rPr>
                <w:rFonts w:hint="eastAsia" w:ascii="宋体" w:hAnsi="宋体" w:cs="Courier New"/>
                <w:color w:val="auto"/>
                <w:kern w:val="2"/>
                <w:sz w:val="24"/>
                <w:szCs w:val="24"/>
                <w:highlight w:val="none"/>
                <w:lang w:val="en-US" w:eastAsia="zh-CN"/>
              </w:rPr>
              <w:t>（4）</w:t>
            </w:r>
            <w:r>
              <w:rPr>
                <w:rFonts w:hint="eastAsia" w:ascii="宋体" w:hAnsi="宋体" w:cs="Courier New"/>
                <w:color w:val="auto"/>
                <w:kern w:val="2"/>
                <w:sz w:val="24"/>
                <w:szCs w:val="24"/>
                <w:highlight w:val="none"/>
                <w:lang w:eastAsia="zh-CN"/>
              </w:rPr>
              <w:t>没有本项描述的得0分。</w:t>
            </w:r>
          </w:p>
        </w:tc>
      </w:tr>
      <w:tr w14:paraId="0003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vMerge w:val="continue"/>
            <w:noWrap w:val="0"/>
            <w:tcMar>
              <w:left w:w="57" w:type="dxa"/>
              <w:right w:w="57" w:type="dxa"/>
            </w:tcMar>
            <w:vAlign w:val="center"/>
          </w:tcPr>
          <w:p w14:paraId="3A3F1F63">
            <w:pPr>
              <w:pageBreakBefore w:val="0"/>
              <w:overflowPunct/>
              <w:bidi w:val="0"/>
              <w:spacing w:line="360" w:lineRule="auto"/>
              <w:jc w:val="center"/>
              <w:rPr>
                <w:rFonts w:hint="eastAsia" w:ascii="宋体" w:hAnsi="宋体" w:eastAsia="宋体" w:cs="宋体"/>
                <w:color w:val="auto"/>
                <w:kern w:val="0"/>
                <w:sz w:val="24"/>
                <w:szCs w:val="24"/>
              </w:rPr>
            </w:pPr>
          </w:p>
        </w:tc>
        <w:tc>
          <w:tcPr>
            <w:tcW w:w="1362" w:type="dxa"/>
            <w:vMerge w:val="continue"/>
            <w:noWrap w:val="0"/>
            <w:tcMar>
              <w:left w:w="57" w:type="dxa"/>
              <w:right w:w="57" w:type="dxa"/>
            </w:tcMar>
            <w:vAlign w:val="center"/>
          </w:tcPr>
          <w:p w14:paraId="0A2B4506">
            <w:pPr>
              <w:pageBreakBefore w:val="0"/>
              <w:overflowPunct/>
              <w:bidi w:val="0"/>
              <w:spacing w:line="360" w:lineRule="auto"/>
              <w:jc w:val="center"/>
              <w:rPr>
                <w:rFonts w:hint="eastAsia" w:ascii="宋体" w:hAnsi="宋体" w:eastAsia="宋体" w:cs="宋体"/>
                <w:color w:val="auto"/>
                <w:kern w:val="0"/>
                <w:sz w:val="24"/>
                <w:szCs w:val="24"/>
              </w:rPr>
            </w:pPr>
          </w:p>
        </w:tc>
        <w:tc>
          <w:tcPr>
            <w:tcW w:w="7615" w:type="dxa"/>
            <w:gridSpan w:val="3"/>
            <w:noWrap w:val="0"/>
            <w:tcMar>
              <w:left w:w="57" w:type="dxa"/>
              <w:right w:w="57" w:type="dxa"/>
            </w:tcMar>
            <w:vAlign w:val="center"/>
          </w:tcPr>
          <w:p w14:paraId="614404F9">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磋商小组</w:t>
            </w:r>
            <w:r>
              <w:rPr>
                <w:rFonts w:hint="eastAsia" w:ascii="宋体" w:hAnsi="宋体" w:eastAsia="宋体" w:cs="宋体"/>
                <w:color w:val="auto"/>
                <w:sz w:val="24"/>
                <w:szCs w:val="24"/>
                <w:lang w:val="en-US" w:eastAsia="zh-CN"/>
              </w:rPr>
              <w:t>将根据</w:t>
            </w:r>
            <w:r>
              <w:rPr>
                <w:rFonts w:hint="eastAsia" w:ascii="宋体" w:hAnsi="宋体" w:cs="宋体"/>
                <w:color w:val="auto"/>
                <w:sz w:val="24"/>
                <w:szCs w:val="24"/>
                <w:lang w:val="en-US" w:eastAsia="zh-CN"/>
              </w:rPr>
              <w:t>响应</w:t>
            </w:r>
            <w:r>
              <w:rPr>
                <w:rFonts w:hint="eastAsia" w:ascii="宋体" w:hAnsi="宋体" w:eastAsia="宋体" w:cs="宋体"/>
                <w:color w:val="auto"/>
                <w:sz w:val="24"/>
                <w:szCs w:val="24"/>
                <w:lang w:val="en-US" w:eastAsia="zh-CN"/>
              </w:rPr>
              <w:t>人技术部分编制水平，酌情给予打分。如有缺项，则该项按零分处理。</w:t>
            </w:r>
          </w:p>
        </w:tc>
      </w:tr>
      <w:tr w14:paraId="24FDD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49" w:type="dxa"/>
            <w:vMerge w:val="restart"/>
            <w:noWrap w:val="0"/>
            <w:tcMar>
              <w:left w:w="57" w:type="dxa"/>
              <w:right w:w="57" w:type="dxa"/>
            </w:tcMar>
            <w:vAlign w:val="center"/>
          </w:tcPr>
          <w:p w14:paraId="1392361D">
            <w:pPr>
              <w:pageBreakBefore w:val="0"/>
              <w:overflowPunct/>
              <w:bidi w:val="0"/>
              <w:spacing w:line="360" w:lineRule="auto"/>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2.2.</w:t>
            </w:r>
            <w:r>
              <w:rPr>
                <w:rFonts w:hint="eastAsia" w:ascii="宋体" w:hAnsi="宋体" w:eastAsia="宋体" w:cs="宋体"/>
                <w:color w:val="auto"/>
                <w:kern w:val="0"/>
                <w:sz w:val="24"/>
                <w:szCs w:val="24"/>
                <w:lang w:val="en-US" w:eastAsia="zh-CN"/>
              </w:rPr>
              <w:t>2</w:t>
            </w:r>
          </w:p>
          <w:p w14:paraId="685D01F3">
            <w:pPr>
              <w:pageBreakBefore w:val="0"/>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1362" w:type="dxa"/>
            <w:vMerge w:val="restart"/>
            <w:noWrap w:val="0"/>
            <w:tcMar>
              <w:left w:w="57" w:type="dxa"/>
              <w:right w:w="57" w:type="dxa"/>
            </w:tcMar>
            <w:vAlign w:val="center"/>
          </w:tcPr>
          <w:p w14:paraId="69CB509E">
            <w:pPr>
              <w:keepNext w:val="0"/>
              <w:keepLines w:val="0"/>
              <w:pageBreakBefore w:val="0"/>
              <w:kinsoku/>
              <w:wordWrap/>
              <w:overflowPunct/>
              <w:topLinePunct w:val="0"/>
              <w:autoSpaceDE/>
              <w:autoSpaceDN/>
              <w:bidi w:val="0"/>
              <w:adjustRightInd w:val="0"/>
              <w:snapToGrid w:val="0"/>
              <w:spacing w:beforeAutospacing="0"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商务</w:t>
            </w:r>
            <w:r>
              <w:rPr>
                <w:rFonts w:hint="eastAsia" w:ascii="宋体" w:hAnsi="宋体" w:eastAsia="宋体" w:cs="宋体"/>
                <w:color w:val="auto"/>
                <w:sz w:val="24"/>
                <w:szCs w:val="24"/>
              </w:rPr>
              <w:t>标评分</w:t>
            </w:r>
          </w:p>
          <w:p w14:paraId="4956E851">
            <w:pPr>
              <w:keepNext w:val="0"/>
              <w:keepLines w:val="0"/>
              <w:pageBreakBefore w:val="0"/>
              <w:kinsoku/>
              <w:wordWrap/>
              <w:overflowPunct/>
              <w:topLinePunct w:val="0"/>
              <w:autoSpaceDE/>
              <w:autoSpaceDN/>
              <w:bidi w:val="0"/>
              <w:adjustRightInd w:val="0"/>
              <w:snapToGrid w:val="0"/>
              <w:spacing w:beforeAutospacing="0"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分）</w:t>
            </w:r>
          </w:p>
        </w:tc>
        <w:tc>
          <w:tcPr>
            <w:tcW w:w="1914" w:type="dxa"/>
            <w:noWrap w:val="0"/>
            <w:tcMar>
              <w:left w:w="57" w:type="dxa"/>
              <w:right w:w="57" w:type="dxa"/>
            </w:tcMar>
            <w:vAlign w:val="center"/>
          </w:tcPr>
          <w:p w14:paraId="7364D321">
            <w:pPr>
              <w:spacing w:line="420" w:lineRule="exact"/>
              <w:rPr>
                <w:rFonts w:hint="default" w:ascii="宋体" w:hAnsi="宋体" w:eastAsia="宋体" w:cs="宋体"/>
                <w:color w:val="auto"/>
                <w:sz w:val="24"/>
                <w:szCs w:val="24"/>
                <w:highlight w:val="none"/>
                <w:lang w:val="en-US" w:eastAsia="zh-CN"/>
              </w:rPr>
            </w:pPr>
            <w:r>
              <w:rPr>
                <w:rFonts w:hint="eastAsia" w:ascii="宋体" w:hAnsi="宋体" w:cs="宋体"/>
                <w:color w:val="auto"/>
                <w:sz w:val="24"/>
                <w:lang w:val="en-US" w:eastAsia="zh-CN"/>
              </w:rPr>
              <w:t>企业业绩（9分）</w:t>
            </w:r>
          </w:p>
        </w:tc>
        <w:tc>
          <w:tcPr>
            <w:tcW w:w="5701" w:type="dxa"/>
            <w:gridSpan w:val="2"/>
            <w:noWrap w:val="0"/>
            <w:tcMar>
              <w:left w:w="57" w:type="dxa"/>
              <w:right w:w="57" w:type="dxa"/>
            </w:tcMar>
            <w:vAlign w:val="center"/>
          </w:tcPr>
          <w:p w14:paraId="5F4F08F0">
            <w:pPr>
              <w:wordWrap w:val="0"/>
              <w:spacing w:line="360" w:lineRule="auto"/>
              <w:rPr>
                <w:rFonts w:hint="eastAsia" w:ascii="宋体" w:hAnsi="宋体" w:cs="宋体"/>
                <w:color w:val="auto"/>
                <w:sz w:val="24"/>
                <w:lang w:val="en-US" w:eastAsia="zh-CN"/>
              </w:rPr>
            </w:pPr>
            <w:r>
              <w:rPr>
                <w:rFonts w:hint="eastAsia" w:ascii="宋体" w:hAnsi="宋体" w:cs="宋体"/>
                <w:color w:val="auto"/>
                <w:sz w:val="24"/>
                <w:lang w:val="en-US" w:eastAsia="zh-CN"/>
              </w:rPr>
              <w:t>供应商自2022年1月1日以来完成过类似项目业绩的，得3分基础分，每额外提供一项类似项目业绩，加3分，最多加6分。</w:t>
            </w:r>
          </w:p>
          <w:p w14:paraId="3CBF0B2F">
            <w:pPr>
              <w:wordWrap w:val="0"/>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lang w:val="en-US" w:eastAsia="zh-CN"/>
              </w:rPr>
              <w:t>注:须提供中标通知书或合同。</w:t>
            </w:r>
          </w:p>
        </w:tc>
      </w:tr>
      <w:tr w14:paraId="10F52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49" w:type="dxa"/>
            <w:vMerge w:val="continue"/>
            <w:noWrap w:val="0"/>
            <w:tcMar>
              <w:left w:w="57" w:type="dxa"/>
              <w:right w:w="57" w:type="dxa"/>
            </w:tcMar>
            <w:vAlign w:val="center"/>
          </w:tcPr>
          <w:p w14:paraId="524BEE61">
            <w:pPr>
              <w:pageBreakBefore w:val="0"/>
              <w:overflowPunct/>
              <w:bidi w:val="0"/>
              <w:spacing w:line="360" w:lineRule="auto"/>
              <w:jc w:val="center"/>
              <w:rPr>
                <w:rFonts w:hint="eastAsia" w:ascii="宋体" w:hAnsi="宋体" w:eastAsia="宋体" w:cs="宋体"/>
                <w:color w:val="auto"/>
                <w:kern w:val="0"/>
                <w:sz w:val="24"/>
                <w:szCs w:val="24"/>
              </w:rPr>
            </w:pPr>
          </w:p>
        </w:tc>
        <w:tc>
          <w:tcPr>
            <w:tcW w:w="1362" w:type="dxa"/>
            <w:vMerge w:val="continue"/>
            <w:noWrap w:val="0"/>
            <w:tcMar>
              <w:left w:w="57" w:type="dxa"/>
              <w:right w:w="57" w:type="dxa"/>
            </w:tcMar>
            <w:vAlign w:val="center"/>
          </w:tcPr>
          <w:p w14:paraId="6341F47F">
            <w:pPr>
              <w:pageBreakBefore w:val="0"/>
              <w:overflowPunct/>
              <w:bidi w:val="0"/>
              <w:spacing w:line="360" w:lineRule="auto"/>
              <w:jc w:val="center"/>
              <w:rPr>
                <w:rFonts w:hint="eastAsia" w:ascii="宋体" w:hAnsi="宋体" w:eastAsia="宋体" w:cs="宋体"/>
                <w:color w:val="auto"/>
                <w:sz w:val="24"/>
                <w:szCs w:val="24"/>
              </w:rPr>
            </w:pPr>
          </w:p>
        </w:tc>
        <w:tc>
          <w:tcPr>
            <w:tcW w:w="1914" w:type="dxa"/>
            <w:vMerge w:val="restart"/>
            <w:noWrap w:val="0"/>
            <w:tcMar>
              <w:left w:w="57" w:type="dxa"/>
              <w:right w:w="57" w:type="dxa"/>
            </w:tcMar>
            <w:vAlign w:val="center"/>
          </w:tcPr>
          <w:p w14:paraId="06AD03A4">
            <w:pPr>
              <w:wordWrap w:val="0"/>
              <w:spacing w:line="360" w:lineRule="auto"/>
              <w:rPr>
                <w:rFonts w:hint="eastAsia" w:ascii="宋体" w:hAnsi="宋体" w:cs="宋体"/>
                <w:color w:val="auto"/>
                <w:sz w:val="24"/>
                <w:lang w:val="en-US" w:eastAsia="zh-CN"/>
              </w:rPr>
            </w:pPr>
            <w:r>
              <w:rPr>
                <w:rFonts w:hint="eastAsia" w:ascii="宋体" w:hAnsi="宋体" w:cs="宋体"/>
                <w:color w:val="auto"/>
                <w:sz w:val="24"/>
                <w:lang w:val="en-US" w:eastAsia="zh-CN"/>
              </w:rPr>
              <w:t>综合实力</w:t>
            </w:r>
          </w:p>
          <w:p w14:paraId="0CA6030B">
            <w:pPr>
              <w:wordWrap w:val="0"/>
              <w:spacing w:line="360" w:lineRule="auto"/>
              <w:rPr>
                <w:rFonts w:hint="eastAsia" w:ascii="宋体" w:hAnsi="宋体" w:eastAsia="宋体" w:cs="宋体"/>
                <w:color w:val="auto"/>
                <w:sz w:val="24"/>
                <w:szCs w:val="24"/>
              </w:rPr>
            </w:pPr>
            <w:r>
              <w:rPr>
                <w:rFonts w:hint="eastAsia" w:ascii="宋体" w:hAnsi="宋体" w:eastAsia="宋体" w:cs="宋体"/>
                <w:color w:val="auto"/>
                <w:sz w:val="24"/>
                <w:lang w:val="en-US" w:eastAsia="zh-CN"/>
              </w:rPr>
              <w:t>（12分）</w:t>
            </w:r>
          </w:p>
        </w:tc>
        <w:tc>
          <w:tcPr>
            <w:tcW w:w="1021" w:type="dxa"/>
            <w:noWrap w:val="0"/>
            <w:tcMar>
              <w:left w:w="57" w:type="dxa"/>
              <w:right w:w="57" w:type="dxa"/>
            </w:tcMar>
            <w:vAlign w:val="center"/>
          </w:tcPr>
          <w:p w14:paraId="5F887B3D">
            <w:pPr>
              <w:wordWrap w:val="0"/>
              <w:spacing w:line="360" w:lineRule="auto"/>
              <w:rPr>
                <w:rFonts w:hint="eastAsia" w:ascii="宋体" w:hAnsi="宋体" w:eastAsia="宋体" w:cs="宋体"/>
                <w:color w:val="auto"/>
                <w:sz w:val="24"/>
                <w:szCs w:val="24"/>
              </w:rPr>
            </w:pPr>
            <w:r>
              <w:rPr>
                <w:rFonts w:hint="eastAsia" w:ascii="宋体" w:hAnsi="宋体" w:eastAsia="宋体" w:cs="宋体"/>
                <w:color w:val="auto"/>
                <w:sz w:val="24"/>
                <w:lang w:val="en-US" w:eastAsia="zh-CN"/>
              </w:rPr>
              <w:t>服务人员（</w:t>
            </w:r>
            <w:r>
              <w:rPr>
                <w:rFonts w:hint="eastAsia" w:ascii="宋体" w:hAnsi="宋体" w:cs="宋体"/>
                <w:color w:val="auto"/>
                <w:sz w:val="24"/>
                <w:lang w:val="en-US" w:eastAsia="zh-CN"/>
              </w:rPr>
              <w:t>4</w:t>
            </w:r>
            <w:r>
              <w:rPr>
                <w:rFonts w:hint="eastAsia" w:ascii="宋体" w:hAnsi="宋体" w:eastAsia="宋体" w:cs="宋体"/>
                <w:color w:val="auto"/>
                <w:sz w:val="24"/>
                <w:lang w:val="en-US" w:eastAsia="zh-CN"/>
              </w:rPr>
              <w:t>分）</w:t>
            </w:r>
          </w:p>
        </w:tc>
        <w:tc>
          <w:tcPr>
            <w:tcW w:w="4680" w:type="dxa"/>
            <w:noWrap w:val="0"/>
            <w:tcMar>
              <w:left w:w="57" w:type="dxa"/>
              <w:right w:w="57" w:type="dxa"/>
            </w:tcMar>
            <w:vAlign w:val="center"/>
          </w:tcPr>
          <w:p w14:paraId="1BEFB998">
            <w:pPr>
              <w:wordWrap w:val="0"/>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根据投入设计人员、专业和设备配置计划合理、可行情况进行打分；</w:t>
            </w:r>
          </w:p>
          <w:p w14:paraId="6BC0EAE0">
            <w:pPr>
              <w:numPr>
                <w:ilvl w:val="0"/>
                <w:numId w:val="1"/>
              </w:numPr>
              <w:wordWrap w:val="0"/>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设计人员、专业和设备配置计划合理、完全符合本项目要求的得</w:t>
            </w:r>
            <w:r>
              <w:rPr>
                <w:rFonts w:hint="eastAsia" w:ascii="宋体" w:hAnsi="宋体" w:cs="宋体"/>
                <w:color w:val="auto"/>
                <w:sz w:val="24"/>
                <w:lang w:val="en-US" w:eastAsia="zh-CN"/>
              </w:rPr>
              <w:t>4</w:t>
            </w:r>
            <w:r>
              <w:rPr>
                <w:rFonts w:hint="eastAsia" w:ascii="宋体" w:hAnsi="宋体" w:eastAsia="宋体" w:cs="宋体"/>
                <w:color w:val="auto"/>
                <w:sz w:val="24"/>
                <w:lang w:val="en-US" w:eastAsia="zh-CN"/>
              </w:rPr>
              <w:t>分；</w:t>
            </w:r>
          </w:p>
          <w:p w14:paraId="0097EE8F">
            <w:pPr>
              <w:numPr>
                <w:ilvl w:val="0"/>
                <w:numId w:val="1"/>
              </w:numPr>
              <w:wordWrap w:val="0"/>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设计人员、专业和设备配置计划基本合理、基本符合本项目要求的得</w:t>
            </w:r>
            <w:r>
              <w:rPr>
                <w:rFonts w:hint="eastAsia" w:ascii="宋体" w:hAnsi="宋体" w:cs="宋体"/>
                <w:color w:val="auto"/>
                <w:sz w:val="24"/>
                <w:lang w:val="en-US" w:eastAsia="zh-CN"/>
              </w:rPr>
              <w:t>2</w:t>
            </w:r>
            <w:r>
              <w:rPr>
                <w:rFonts w:hint="eastAsia" w:ascii="宋体" w:hAnsi="宋体" w:eastAsia="宋体" w:cs="宋体"/>
                <w:color w:val="auto"/>
                <w:sz w:val="24"/>
                <w:lang w:val="en-US" w:eastAsia="zh-CN"/>
              </w:rPr>
              <w:t>分</w:t>
            </w:r>
            <w:r>
              <w:rPr>
                <w:rFonts w:hint="eastAsia" w:ascii="宋体" w:hAnsi="宋体" w:cs="Courier New"/>
                <w:color w:val="auto"/>
                <w:kern w:val="2"/>
                <w:sz w:val="24"/>
                <w:szCs w:val="24"/>
                <w:highlight w:val="none"/>
                <w:lang w:val="en-US" w:eastAsia="zh-CN"/>
              </w:rPr>
              <w:t>基础分</w:t>
            </w:r>
            <w:r>
              <w:rPr>
                <w:rFonts w:hint="eastAsia" w:ascii="宋体" w:hAnsi="宋体" w:eastAsia="宋体" w:cs="宋体"/>
                <w:color w:val="auto"/>
                <w:sz w:val="24"/>
                <w:lang w:val="en-US" w:eastAsia="zh-CN"/>
              </w:rPr>
              <w:t>；</w:t>
            </w:r>
          </w:p>
          <w:p w14:paraId="1467ED68">
            <w:pPr>
              <w:numPr>
                <w:ilvl w:val="0"/>
                <w:numId w:val="1"/>
              </w:numPr>
              <w:wordWrap w:val="0"/>
              <w:spacing w:line="360" w:lineRule="auto"/>
              <w:rPr>
                <w:color w:val="auto"/>
              </w:rPr>
            </w:pPr>
            <w:r>
              <w:rPr>
                <w:rFonts w:hint="eastAsia" w:ascii="宋体" w:hAnsi="宋体" w:cs="Courier New"/>
                <w:color w:val="auto"/>
                <w:kern w:val="2"/>
                <w:sz w:val="24"/>
                <w:szCs w:val="24"/>
                <w:highlight w:val="none"/>
                <w:lang w:val="en-US" w:eastAsia="zh-CN"/>
              </w:rPr>
              <w:t>缺</w:t>
            </w:r>
            <w:r>
              <w:rPr>
                <w:rFonts w:hint="eastAsia" w:ascii="宋体" w:hAnsi="宋体" w:cs="Courier New"/>
                <w:color w:val="auto"/>
                <w:kern w:val="2"/>
                <w:sz w:val="24"/>
                <w:szCs w:val="24"/>
                <w:highlight w:val="none"/>
                <w:lang w:eastAsia="zh-CN"/>
              </w:rPr>
              <w:t>项</w:t>
            </w:r>
            <w:r>
              <w:rPr>
                <w:rFonts w:hint="eastAsia" w:ascii="宋体" w:hAnsi="宋体" w:cs="Courier New"/>
                <w:color w:val="auto"/>
                <w:kern w:val="2"/>
                <w:sz w:val="24"/>
                <w:szCs w:val="24"/>
                <w:highlight w:val="none"/>
                <w:lang w:val="en-US" w:eastAsia="zh-CN"/>
              </w:rPr>
              <w:t>的</w:t>
            </w:r>
            <w:r>
              <w:rPr>
                <w:rFonts w:hint="eastAsia" w:ascii="宋体" w:hAnsi="宋体" w:cs="Courier New"/>
                <w:color w:val="auto"/>
                <w:kern w:val="2"/>
                <w:sz w:val="24"/>
                <w:szCs w:val="24"/>
                <w:highlight w:val="none"/>
                <w:lang w:eastAsia="zh-CN"/>
              </w:rPr>
              <w:t>得0分；</w:t>
            </w:r>
          </w:p>
        </w:tc>
      </w:tr>
      <w:tr w14:paraId="191D7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49" w:type="dxa"/>
            <w:vMerge w:val="continue"/>
            <w:noWrap w:val="0"/>
            <w:tcMar>
              <w:left w:w="57" w:type="dxa"/>
              <w:right w:w="57" w:type="dxa"/>
            </w:tcMar>
            <w:vAlign w:val="center"/>
          </w:tcPr>
          <w:p w14:paraId="51F5EA5A">
            <w:pPr>
              <w:pageBreakBefore w:val="0"/>
              <w:overflowPunct/>
              <w:bidi w:val="0"/>
              <w:spacing w:line="360" w:lineRule="auto"/>
              <w:jc w:val="center"/>
              <w:rPr>
                <w:rFonts w:hint="eastAsia" w:ascii="宋体" w:hAnsi="宋体" w:eastAsia="宋体" w:cs="宋体"/>
                <w:color w:val="auto"/>
                <w:kern w:val="0"/>
                <w:sz w:val="24"/>
                <w:szCs w:val="24"/>
              </w:rPr>
            </w:pPr>
          </w:p>
        </w:tc>
        <w:tc>
          <w:tcPr>
            <w:tcW w:w="1362" w:type="dxa"/>
            <w:vMerge w:val="continue"/>
            <w:noWrap w:val="0"/>
            <w:tcMar>
              <w:left w:w="57" w:type="dxa"/>
              <w:right w:w="57" w:type="dxa"/>
            </w:tcMar>
            <w:vAlign w:val="center"/>
          </w:tcPr>
          <w:p w14:paraId="4CE1B310">
            <w:pPr>
              <w:pageBreakBefore w:val="0"/>
              <w:overflowPunct/>
              <w:bidi w:val="0"/>
              <w:spacing w:line="360" w:lineRule="auto"/>
              <w:jc w:val="center"/>
              <w:rPr>
                <w:rFonts w:hint="eastAsia" w:ascii="宋体" w:hAnsi="宋体" w:eastAsia="宋体" w:cs="宋体"/>
                <w:color w:val="auto"/>
                <w:sz w:val="24"/>
                <w:szCs w:val="24"/>
              </w:rPr>
            </w:pPr>
          </w:p>
        </w:tc>
        <w:tc>
          <w:tcPr>
            <w:tcW w:w="1914" w:type="dxa"/>
            <w:vMerge w:val="continue"/>
            <w:noWrap w:val="0"/>
            <w:tcMar>
              <w:left w:w="57" w:type="dxa"/>
              <w:right w:w="57" w:type="dxa"/>
            </w:tcMar>
            <w:vAlign w:val="center"/>
          </w:tcPr>
          <w:p w14:paraId="3AE35351">
            <w:pPr>
              <w:wordWrap w:val="0"/>
              <w:spacing w:line="360" w:lineRule="auto"/>
              <w:rPr>
                <w:rFonts w:hint="eastAsia" w:ascii="宋体" w:hAnsi="宋体" w:eastAsia="宋体" w:cs="宋体"/>
                <w:color w:val="auto"/>
                <w:sz w:val="24"/>
                <w:szCs w:val="24"/>
              </w:rPr>
            </w:pPr>
          </w:p>
        </w:tc>
        <w:tc>
          <w:tcPr>
            <w:tcW w:w="1021" w:type="dxa"/>
            <w:noWrap w:val="0"/>
            <w:tcMar>
              <w:left w:w="57" w:type="dxa"/>
              <w:right w:w="57" w:type="dxa"/>
            </w:tcMar>
            <w:vAlign w:val="center"/>
          </w:tcPr>
          <w:p w14:paraId="317E25E2">
            <w:pPr>
              <w:wordWrap w:val="0"/>
              <w:spacing w:line="360" w:lineRule="auto"/>
              <w:rPr>
                <w:rFonts w:hint="eastAsia" w:ascii="宋体" w:hAnsi="宋体" w:eastAsia="宋体" w:cs="宋体"/>
                <w:color w:val="auto"/>
                <w:sz w:val="24"/>
                <w:szCs w:val="24"/>
              </w:rPr>
            </w:pPr>
            <w:r>
              <w:rPr>
                <w:rFonts w:hint="eastAsia" w:ascii="宋体" w:hAnsi="宋体" w:eastAsia="宋体" w:cs="宋体"/>
                <w:color w:val="auto"/>
                <w:sz w:val="24"/>
                <w:lang w:val="en-US" w:eastAsia="zh-CN"/>
              </w:rPr>
              <w:t>组织机构（</w:t>
            </w:r>
            <w:r>
              <w:rPr>
                <w:rFonts w:hint="eastAsia" w:ascii="宋体" w:hAnsi="宋体" w:cs="宋体"/>
                <w:color w:val="auto"/>
                <w:sz w:val="24"/>
                <w:lang w:val="en-US" w:eastAsia="zh-CN"/>
              </w:rPr>
              <w:t>4</w:t>
            </w:r>
            <w:r>
              <w:rPr>
                <w:rFonts w:hint="eastAsia" w:ascii="宋体" w:hAnsi="宋体" w:eastAsia="宋体" w:cs="宋体"/>
                <w:color w:val="auto"/>
                <w:sz w:val="24"/>
                <w:lang w:val="en-US" w:eastAsia="zh-CN"/>
              </w:rPr>
              <w:t>分）</w:t>
            </w:r>
          </w:p>
        </w:tc>
        <w:tc>
          <w:tcPr>
            <w:tcW w:w="4680" w:type="dxa"/>
            <w:noWrap w:val="0"/>
            <w:tcMar>
              <w:left w:w="57" w:type="dxa"/>
              <w:right w:w="57" w:type="dxa"/>
            </w:tcMar>
            <w:vAlign w:val="center"/>
          </w:tcPr>
          <w:p w14:paraId="1EA0BC5A">
            <w:pPr>
              <w:wordWrap w:val="0"/>
              <w:spacing w:line="360" w:lineRule="auto"/>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供应商组织机构设置明确，分工合理，进行打分；</w:t>
            </w:r>
          </w:p>
          <w:p w14:paraId="4DBEC68D">
            <w:pPr>
              <w:wordWrap w:val="0"/>
              <w:spacing w:line="360" w:lineRule="auto"/>
              <w:rPr>
                <w:rFonts w:hint="eastAsia" w:ascii="宋体" w:hAnsi="宋体" w:eastAsia="宋体" w:cs="宋体"/>
                <w:color w:val="auto"/>
                <w:sz w:val="24"/>
                <w:lang w:val="en-US" w:eastAsia="zh-CN" w:bidi="ar-SA"/>
              </w:rPr>
            </w:pPr>
            <w:r>
              <w:rPr>
                <w:rFonts w:hint="eastAsia" w:ascii="宋体" w:hAnsi="宋体" w:cs="宋体"/>
                <w:color w:val="auto"/>
                <w:sz w:val="24"/>
                <w:lang w:val="en-US" w:eastAsia="zh-CN" w:bidi="ar-SA"/>
              </w:rPr>
              <w:t>1.</w:t>
            </w:r>
            <w:r>
              <w:rPr>
                <w:rFonts w:hint="eastAsia" w:ascii="宋体" w:hAnsi="宋体" w:eastAsia="宋体" w:cs="宋体"/>
                <w:color w:val="auto"/>
                <w:sz w:val="24"/>
                <w:lang w:val="en-US" w:eastAsia="zh-CN" w:bidi="ar-SA"/>
              </w:rPr>
              <w:t>组织机构设置明确，分工合理，完全符合本项目要求的得4分；</w:t>
            </w:r>
          </w:p>
          <w:p w14:paraId="1BACB795">
            <w:pPr>
              <w:wordWrap w:val="0"/>
              <w:spacing w:line="360" w:lineRule="auto"/>
              <w:rPr>
                <w:rFonts w:hint="eastAsia" w:ascii="宋体" w:hAnsi="宋体" w:eastAsia="宋体" w:cs="宋体"/>
                <w:color w:val="auto"/>
                <w:sz w:val="24"/>
                <w:lang w:val="en-US" w:eastAsia="zh-CN" w:bidi="ar-SA"/>
              </w:rPr>
            </w:pPr>
            <w:r>
              <w:rPr>
                <w:rFonts w:hint="eastAsia" w:ascii="宋体" w:hAnsi="宋体" w:cs="宋体"/>
                <w:color w:val="auto"/>
                <w:sz w:val="24"/>
                <w:lang w:val="en-US" w:eastAsia="zh-CN" w:bidi="ar-SA"/>
              </w:rPr>
              <w:t>2.</w:t>
            </w:r>
            <w:r>
              <w:rPr>
                <w:rFonts w:hint="eastAsia" w:ascii="宋体" w:hAnsi="宋体" w:eastAsia="宋体" w:cs="宋体"/>
                <w:color w:val="auto"/>
                <w:sz w:val="24"/>
                <w:lang w:val="en-US" w:eastAsia="zh-CN" w:bidi="ar-SA"/>
              </w:rPr>
              <w:t>组织机构设置明确，分工合理，基本符合本项目要求的得2分</w:t>
            </w:r>
            <w:r>
              <w:rPr>
                <w:rFonts w:hint="eastAsia" w:ascii="宋体" w:hAnsi="宋体" w:cs="Courier New"/>
                <w:color w:val="auto"/>
                <w:kern w:val="2"/>
                <w:sz w:val="24"/>
                <w:szCs w:val="24"/>
                <w:highlight w:val="none"/>
                <w:lang w:val="en-US" w:eastAsia="zh-CN"/>
              </w:rPr>
              <w:t>基础分</w:t>
            </w:r>
            <w:r>
              <w:rPr>
                <w:rFonts w:hint="eastAsia" w:ascii="宋体" w:hAnsi="宋体" w:eastAsia="宋体" w:cs="宋体"/>
                <w:color w:val="auto"/>
                <w:sz w:val="24"/>
                <w:lang w:val="en-US" w:eastAsia="zh-CN" w:bidi="ar-SA"/>
              </w:rPr>
              <w:t>；</w:t>
            </w:r>
          </w:p>
          <w:p w14:paraId="69608794">
            <w:pPr>
              <w:wordWrap w:val="0"/>
              <w:spacing w:line="360" w:lineRule="auto"/>
              <w:rPr>
                <w:color w:val="auto"/>
              </w:rPr>
            </w:pPr>
            <w:r>
              <w:rPr>
                <w:rFonts w:hint="eastAsia" w:ascii="宋体" w:hAnsi="宋体" w:cs="宋体"/>
                <w:color w:val="auto"/>
                <w:sz w:val="24"/>
                <w:lang w:val="en-US" w:eastAsia="zh-CN" w:bidi="ar-SA"/>
              </w:rPr>
              <w:t>3.</w:t>
            </w:r>
            <w:r>
              <w:rPr>
                <w:rFonts w:hint="eastAsia" w:ascii="宋体" w:hAnsi="宋体" w:eastAsia="宋体" w:cs="宋体"/>
                <w:color w:val="auto"/>
                <w:sz w:val="24"/>
                <w:lang w:val="en-US" w:eastAsia="zh-CN" w:bidi="ar-SA"/>
              </w:rPr>
              <w:t>缺项的得0分；</w:t>
            </w:r>
          </w:p>
        </w:tc>
      </w:tr>
      <w:tr w14:paraId="4EB89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49" w:type="dxa"/>
            <w:vMerge w:val="continue"/>
            <w:noWrap w:val="0"/>
            <w:tcMar>
              <w:left w:w="57" w:type="dxa"/>
              <w:right w:w="57" w:type="dxa"/>
            </w:tcMar>
            <w:vAlign w:val="center"/>
          </w:tcPr>
          <w:p w14:paraId="19DFF5A8">
            <w:pPr>
              <w:pageBreakBefore w:val="0"/>
              <w:overflowPunct/>
              <w:bidi w:val="0"/>
              <w:spacing w:line="360" w:lineRule="auto"/>
              <w:jc w:val="center"/>
              <w:rPr>
                <w:rFonts w:hint="eastAsia" w:ascii="宋体" w:hAnsi="宋体" w:eastAsia="宋体" w:cs="宋体"/>
                <w:color w:val="auto"/>
                <w:kern w:val="0"/>
                <w:sz w:val="24"/>
                <w:szCs w:val="24"/>
              </w:rPr>
            </w:pPr>
          </w:p>
        </w:tc>
        <w:tc>
          <w:tcPr>
            <w:tcW w:w="1362" w:type="dxa"/>
            <w:vMerge w:val="continue"/>
            <w:noWrap w:val="0"/>
            <w:tcMar>
              <w:left w:w="57" w:type="dxa"/>
              <w:right w:w="57" w:type="dxa"/>
            </w:tcMar>
            <w:vAlign w:val="center"/>
          </w:tcPr>
          <w:p w14:paraId="5CC47C75">
            <w:pPr>
              <w:pageBreakBefore w:val="0"/>
              <w:overflowPunct/>
              <w:bidi w:val="0"/>
              <w:spacing w:line="360" w:lineRule="auto"/>
              <w:jc w:val="center"/>
              <w:rPr>
                <w:rFonts w:hint="eastAsia" w:ascii="宋体" w:hAnsi="宋体" w:eastAsia="宋体" w:cs="宋体"/>
                <w:color w:val="auto"/>
                <w:sz w:val="24"/>
                <w:szCs w:val="24"/>
              </w:rPr>
            </w:pPr>
          </w:p>
        </w:tc>
        <w:tc>
          <w:tcPr>
            <w:tcW w:w="1914" w:type="dxa"/>
            <w:vMerge w:val="continue"/>
            <w:noWrap w:val="0"/>
            <w:tcMar>
              <w:left w:w="57" w:type="dxa"/>
              <w:right w:w="57" w:type="dxa"/>
            </w:tcMar>
            <w:vAlign w:val="center"/>
          </w:tcPr>
          <w:p w14:paraId="19260846">
            <w:pPr>
              <w:wordWrap w:val="0"/>
              <w:spacing w:line="360" w:lineRule="auto"/>
              <w:rPr>
                <w:rFonts w:hint="eastAsia" w:ascii="宋体" w:hAnsi="宋体" w:eastAsia="宋体" w:cs="宋体"/>
                <w:color w:val="auto"/>
                <w:sz w:val="24"/>
                <w:szCs w:val="24"/>
              </w:rPr>
            </w:pPr>
          </w:p>
        </w:tc>
        <w:tc>
          <w:tcPr>
            <w:tcW w:w="1021" w:type="dxa"/>
            <w:noWrap w:val="0"/>
            <w:tcMar>
              <w:left w:w="57" w:type="dxa"/>
              <w:right w:w="57" w:type="dxa"/>
            </w:tcMar>
            <w:vAlign w:val="center"/>
          </w:tcPr>
          <w:p w14:paraId="29E15BDC">
            <w:pPr>
              <w:wordWrap w:val="0"/>
              <w:spacing w:line="360" w:lineRule="auto"/>
              <w:rPr>
                <w:rFonts w:hint="eastAsia" w:ascii="宋体" w:hAnsi="宋体" w:eastAsia="宋体" w:cs="宋体"/>
                <w:color w:val="auto"/>
                <w:sz w:val="24"/>
                <w:szCs w:val="24"/>
              </w:rPr>
            </w:pPr>
            <w:r>
              <w:rPr>
                <w:rFonts w:hint="eastAsia" w:ascii="宋体" w:hAnsi="宋体" w:eastAsia="宋体" w:cs="宋体"/>
                <w:color w:val="auto"/>
                <w:sz w:val="24"/>
                <w:lang w:val="en-US" w:eastAsia="zh-CN" w:bidi="ar-SA"/>
              </w:rPr>
              <w:t>设备投入</w:t>
            </w:r>
            <w:r>
              <w:rPr>
                <w:rFonts w:hint="eastAsia" w:ascii="宋体" w:hAnsi="宋体" w:cs="宋体"/>
                <w:color w:val="auto"/>
                <w:sz w:val="24"/>
                <w:lang w:val="en-US" w:eastAsia="zh-CN" w:bidi="ar-SA"/>
              </w:rPr>
              <w:t>（4分）</w:t>
            </w:r>
          </w:p>
        </w:tc>
        <w:tc>
          <w:tcPr>
            <w:tcW w:w="4680" w:type="dxa"/>
            <w:noWrap w:val="0"/>
            <w:tcMar>
              <w:left w:w="57" w:type="dxa"/>
              <w:right w:w="57" w:type="dxa"/>
            </w:tcMar>
            <w:vAlign w:val="center"/>
          </w:tcPr>
          <w:p w14:paraId="1819A26F">
            <w:pPr>
              <w:wordWrap w:val="0"/>
              <w:spacing w:line="360" w:lineRule="auto"/>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根据供应商拟投入的物资、仪器、设备等是否科学、全面进行打分；</w:t>
            </w:r>
          </w:p>
          <w:p w14:paraId="7F1C6151">
            <w:pPr>
              <w:wordWrap w:val="0"/>
              <w:spacing w:line="360" w:lineRule="auto"/>
              <w:rPr>
                <w:rFonts w:hint="eastAsia" w:ascii="宋体" w:hAnsi="宋体" w:eastAsia="宋体" w:cs="宋体"/>
                <w:color w:val="auto"/>
                <w:sz w:val="24"/>
                <w:lang w:val="en-US" w:eastAsia="zh-CN" w:bidi="ar-SA"/>
              </w:rPr>
            </w:pPr>
            <w:r>
              <w:rPr>
                <w:rFonts w:hint="eastAsia" w:ascii="宋体" w:hAnsi="宋体" w:cs="宋体"/>
                <w:color w:val="auto"/>
                <w:sz w:val="24"/>
                <w:lang w:val="en-US" w:eastAsia="zh-CN" w:bidi="ar-SA"/>
              </w:rPr>
              <w:t>1.</w:t>
            </w:r>
            <w:r>
              <w:rPr>
                <w:rFonts w:hint="eastAsia" w:ascii="宋体" w:hAnsi="宋体" w:eastAsia="宋体" w:cs="宋体"/>
                <w:color w:val="auto"/>
                <w:sz w:val="24"/>
                <w:lang w:val="en-US" w:eastAsia="zh-CN" w:bidi="ar-SA"/>
              </w:rPr>
              <w:t>供应商拟投入的物资、仪器、设备等科学、合理、全面，完全满足本项目需求的得4分；</w:t>
            </w:r>
          </w:p>
          <w:p w14:paraId="27AF124A">
            <w:pPr>
              <w:wordWrap w:val="0"/>
              <w:spacing w:line="360" w:lineRule="auto"/>
              <w:rPr>
                <w:rFonts w:hint="default" w:ascii="宋体" w:hAnsi="宋体" w:eastAsia="宋体" w:cs="宋体"/>
                <w:color w:val="auto"/>
                <w:sz w:val="24"/>
                <w:lang w:val="en-US" w:eastAsia="zh-CN" w:bidi="ar-SA"/>
              </w:rPr>
            </w:pPr>
            <w:r>
              <w:rPr>
                <w:rFonts w:hint="eastAsia" w:ascii="宋体" w:hAnsi="宋体" w:cs="宋体"/>
                <w:color w:val="auto"/>
                <w:sz w:val="24"/>
                <w:lang w:val="en-US" w:eastAsia="zh-CN" w:bidi="ar-SA"/>
              </w:rPr>
              <w:t>2.</w:t>
            </w:r>
            <w:r>
              <w:rPr>
                <w:rFonts w:hint="eastAsia" w:ascii="宋体" w:hAnsi="宋体" w:eastAsia="宋体" w:cs="宋体"/>
                <w:color w:val="auto"/>
                <w:sz w:val="24"/>
                <w:lang w:val="en-US" w:eastAsia="zh-CN" w:bidi="ar-SA"/>
              </w:rPr>
              <w:t>供应商拟投入的物资、仪器、设备等基本合理，基本符合本项目需求的得2分</w:t>
            </w:r>
            <w:r>
              <w:rPr>
                <w:rFonts w:hint="eastAsia" w:ascii="宋体" w:hAnsi="宋体" w:cs="Courier New"/>
                <w:color w:val="auto"/>
                <w:kern w:val="2"/>
                <w:sz w:val="24"/>
                <w:szCs w:val="24"/>
                <w:highlight w:val="none"/>
                <w:lang w:val="en-US" w:eastAsia="zh-CN"/>
              </w:rPr>
              <w:t>基础分</w:t>
            </w:r>
            <w:r>
              <w:rPr>
                <w:rFonts w:hint="eastAsia" w:ascii="宋体" w:hAnsi="宋体" w:eastAsia="宋体" w:cs="宋体"/>
                <w:color w:val="auto"/>
                <w:sz w:val="24"/>
                <w:lang w:val="en-US" w:eastAsia="zh-CN" w:bidi="ar-SA"/>
              </w:rPr>
              <w:t>；</w:t>
            </w:r>
          </w:p>
          <w:p w14:paraId="0B481990">
            <w:pPr>
              <w:wordWrap w:val="0"/>
              <w:spacing w:line="360" w:lineRule="auto"/>
              <w:rPr>
                <w:color w:val="auto"/>
              </w:rPr>
            </w:pPr>
            <w:r>
              <w:rPr>
                <w:rFonts w:hint="eastAsia" w:ascii="宋体" w:hAnsi="宋体" w:eastAsia="宋体" w:cs="宋体"/>
                <w:color w:val="auto"/>
                <w:sz w:val="24"/>
                <w:lang w:val="en-US" w:eastAsia="zh-CN" w:bidi="ar-SA"/>
              </w:rPr>
              <w:t>3.</w:t>
            </w:r>
            <w:r>
              <w:rPr>
                <w:rFonts w:hint="default" w:ascii="宋体" w:hAnsi="宋体" w:eastAsia="宋体" w:cs="宋体"/>
                <w:color w:val="auto"/>
                <w:sz w:val="24"/>
                <w:lang w:val="en-US" w:eastAsia="zh-CN" w:bidi="ar-SA"/>
              </w:rPr>
              <w:t>缺项的得0分；</w:t>
            </w:r>
          </w:p>
        </w:tc>
      </w:tr>
      <w:tr w14:paraId="36DA8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49" w:type="dxa"/>
            <w:vMerge w:val="continue"/>
            <w:noWrap w:val="0"/>
            <w:tcMar>
              <w:left w:w="57" w:type="dxa"/>
              <w:right w:w="57" w:type="dxa"/>
            </w:tcMar>
            <w:vAlign w:val="center"/>
          </w:tcPr>
          <w:p w14:paraId="72F0F40C">
            <w:pPr>
              <w:pageBreakBefore w:val="0"/>
              <w:overflowPunct/>
              <w:bidi w:val="0"/>
              <w:spacing w:line="360" w:lineRule="auto"/>
              <w:jc w:val="center"/>
              <w:rPr>
                <w:rFonts w:hint="eastAsia" w:ascii="宋体" w:hAnsi="宋体" w:eastAsia="宋体" w:cs="宋体"/>
                <w:color w:val="auto"/>
                <w:kern w:val="0"/>
                <w:sz w:val="24"/>
                <w:szCs w:val="24"/>
              </w:rPr>
            </w:pPr>
          </w:p>
        </w:tc>
        <w:tc>
          <w:tcPr>
            <w:tcW w:w="1362" w:type="dxa"/>
            <w:vMerge w:val="continue"/>
            <w:noWrap w:val="0"/>
            <w:tcMar>
              <w:left w:w="57" w:type="dxa"/>
              <w:right w:w="57" w:type="dxa"/>
            </w:tcMar>
            <w:vAlign w:val="center"/>
          </w:tcPr>
          <w:p w14:paraId="2788A9FE">
            <w:pPr>
              <w:pageBreakBefore w:val="0"/>
              <w:overflowPunct/>
              <w:bidi w:val="0"/>
              <w:spacing w:line="360" w:lineRule="auto"/>
              <w:jc w:val="center"/>
              <w:rPr>
                <w:rFonts w:hint="eastAsia" w:ascii="宋体" w:hAnsi="宋体" w:eastAsia="宋体" w:cs="宋体"/>
                <w:color w:val="auto"/>
                <w:sz w:val="24"/>
                <w:szCs w:val="24"/>
              </w:rPr>
            </w:pPr>
          </w:p>
        </w:tc>
        <w:tc>
          <w:tcPr>
            <w:tcW w:w="1914" w:type="dxa"/>
            <w:noWrap w:val="0"/>
            <w:tcMar>
              <w:left w:w="57" w:type="dxa"/>
              <w:right w:w="57" w:type="dxa"/>
            </w:tcMar>
            <w:vAlign w:val="center"/>
          </w:tcPr>
          <w:p w14:paraId="1479251E">
            <w:pPr>
              <w:wordWrap w:val="0"/>
              <w:spacing w:line="360" w:lineRule="auto"/>
              <w:rPr>
                <w:rFonts w:hint="eastAsia" w:ascii="宋体" w:hAnsi="宋体" w:eastAsia="宋体" w:cs="宋体"/>
                <w:color w:val="auto"/>
                <w:sz w:val="24"/>
                <w:szCs w:val="24"/>
                <w:highlight w:val="none"/>
              </w:rPr>
            </w:pPr>
            <w:r>
              <w:rPr>
                <w:rFonts w:hint="default" w:ascii="宋体" w:hAnsi="宋体" w:eastAsia="宋体" w:cs="Courier New"/>
                <w:color w:val="auto"/>
                <w:kern w:val="2"/>
                <w:sz w:val="24"/>
                <w:szCs w:val="24"/>
                <w:highlight w:val="none"/>
                <w:lang w:val="en-US" w:eastAsia="zh-CN" w:bidi="ar-SA"/>
              </w:rPr>
              <w:t>服务承诺（3分）</w:t>
            </w:r>
          </w:p>
        </w:tc>
        <w:tc>
          <w:tcPr>
            <w:tcW w:w="5701" w:type="dxa"/>
            <w:gridSpan w:val="2"/>
            <w:noWrap w:val="0"/>
            <w:tcMar>
              <w:left w:w="57" w:type="dxa"/>
              <w:right w:w="57" w:type="dxa"/>
            </w:tcMar>
            <w:vAlign w:val="center"/>
          </w:tcPr>
          <w:p w14:paraId="50D1FC4D">
            <w:pPr>
              <w:wordWrap w:val="0"/>
              <w:spacing w:line="360" w:lineRule="auto"/>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针对本项目的服务内容、形式、时间、服务安排、服务措施的合理性及其他优惠措施等进行打分，</w:t>
            </w:r>
          </w:p>
          <w:p w14:paraId="465C2462">
            <w:pPr>
              <w:wordWrap w:val="0"/>
              <w:spacing w:line="360" w:lineRule="auto"/>
              <w:rPr>
                <w:rFonts w:hint="eastAsia" w:ascii="宋体" w:hAnsi="宋体" w:eastAsia="宋体" w:cs="Courier New"/>
                <w:color w:val="auto"/>
                <w:kern w:val="2"/>
                <w:sz w:val="24"/>
                <w:szCs w:val="24"/>
                <w:highlight w:val="none"/>
                <w:lang w:val="en-US" w:eastAsia="zh-CN" w:bidi="ar-SA"/>
              </w:rPr>
            </w:pPr>
            <w:r>
              <w:rPr>
                <w:rFonts w:hint="eastAsia" w:ascii="宋体" w:hAnsi="宋体" w:cs="Courier New"/>
                <w:color w:val="auto"/>
                <w:kern w:val="2"/>
                <w:sz w:val="24"/>
                <w:szCs w:val="24"/>
                <w:highlight w:val="none"/>
                <w:lang w:val="en-US" w:eastAsia="zh-CN" w:bidi="ar-SA"/>
              </w:rPr>
              <w:t>1.</w:t>
            </w:r>
            <w:r>
              <w:rPr>
                <w:rFonts w:hint="eastAsia" w:ascii="宋体" w:hAnsi="宋体" w:eastAsia="宋体" w:cs="Courier New"/>
                <w:color w:val="auto"/>
                <w:kern w:val="2"/>
                <w:sz w:val="24"/>
                <w:szCs w:val="24"/>
                <w:highlight w:val="none"/>
                <w:lang w:val="en-US" w:eastAsia="zh-CN" w:bidi="ar-SA"/>
              </w:rPr>
              <w:t>承诺合理、详实、可行，得3分；</w:t>
            </w:r>
          </w:p>
          <w:p w14:paraId="0621F1CA">
            <w:pPr>
              <w:wordWrap w:val="0"/>
              <w:spacing w:line="360" w:lineRule="auto"/>
              <w:rPr>
                <w:rFonts w:hint="eastAsia" w:ascii="宋体" w:hAnsi="宋体" w:eastAsia="宋体" w:cs="Courier New"/>
                <w:color w:val="auto"/>
                <w:kern w:val="2"/>
                <w:sz w:val="24"/>
                <w:szCs w:val="24"/>
                <w:highlight w:val="none"/>
                <w:lang w:val="en-US" w:eastAsia="zh-CN" w:bidi="ar-SA"/>
              </w:rPr>
            </w:pPr>
            <w:r>
              <w:rPr>
                <w:rFonts w:hint="eastAsia" w:ascii="宋体" w:hAnsi="宋体" w:cs="Courier New"/>
                <w:color w:val="auto"/>
                <w:kern w:val="2"/>
                <w:sz w:val="24"/>
                <w:szCs w:val="24"/>
                <w:highlight w:val="none"/>
                <w:lang w:val="en-US" w:eastAsia="zh-CN" w:bidi="ar-SA"/>
              </w:rPr>
              <w:t>2.</w:t>
            </w:r>
            <w:r>
              <w:rPr>
                <w:rFonts w:hint="eastAsia" w:ascii="宋体" w:hAnsi="宋体" w:eastAsia="宋体" w:cs="Courier New"/>
                <w:color w:val="auto"/>
                <w:kern w:val="2"/>
                <w:sz w:val="24"/>
                <w:szCs w:val="24"/>
                <w:highlight w:val="none"/>
                <w:lang w:val="en-US" w:eastAsia="zh-CN" w:bidi="ar-SA"/>
              </w:rPr>
              <w:t>承诺基本合理、</w:t>
            </w:r>
            <w:r>
              <w:rPr>
                <w:rFonts w:hint="eastAsia" w:ascii="宋体" w:hAnsi="宋体" w:cs="Courier New"/>
                <w:color w:val="auto"/>
                <w:kern w:val="2"/>
                <w:sz w:val="24"/>
                <w:szCs w:val="24"/>
                <w:highlight w:val="none"/>
                <w:lang w:val="en-US" w:eastAsia="zh-CN" w:bidi="ar-SA"/>
              </w:rPr>
              <w:t>基本</w:t>
            </w:r>
            <w:r>
              <w:rPr>
                <w:rFonts w:hint="eastAsia" w:ascii="宋体" w:hAnsi="宋体" w:eastAsia="宋体" w:cs="Courier New"/>
                <w:color w:val="auto"/>
                <w:kern w:val="2"/>
                <w:sz w:val="24"/>
                <w:szCs w:val="24"/>
                <w:highlight w:val="none"/>
                <w:lang w:val="en-US" w:eastAsia="zh-CN" w:bidi="ar-SA"/>
              </w:rPr>
              <w:t>可行，得1分</w:t>
            </w:r>
            <w:r>
              <w:rPr>
                <w:rFonts w:hint="eastAsia" w:ascii="宋体" w:hAnsi="宋体" w:cs="Courier New"/>
                <w:color w:val="auto"/>
                <w:kern w:val="2"/>
                <w:sz w:val="24"/>
                <w:szCs w:val="24"/>
                <w:highlight w:val="none"/>
                <w:lang w:val="en-US" w:eastAsia="zh-CN"/>
              </w:rPr>
              <w:t>基础分</w:t>
            </w:r>
            <w:r>
              <w:rPr>
                <w:rFonts w:hint="eastAsia" w:ascii="宋体" w:hAnsi="宋体" w:eastAsia="宋体" w:cs="Courier New"/>
                <w:color w:val="auto"/>
                <w:kern w:val="2"/>
                <w:sz w:val="24"/>
                <w:szCs w:val="24"/>
                <w:highlight w:val="none"/>
                <w:lang w:val="en-US" w:eastAsia="zh-CN" w:bidi="ar-SA"/>
              </w:rPr>
              <w:t>；</w:t>
            </w:r>
          </w:p>
          <w:p w14:paraId="17C5C7EC">
            <w:pPr>
              <w:wordWrap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cs="Courier New"/>
                <w:color w:val="auto"/>
                <w:kern w:val="2"/>
                <w:sz w:val="24"/>
                <w:szCs w:val="24"/>
                <w:highlight w:val="none"/>
                <w:lang w:val="en-US" w:eastAsia="zh-CN" w:bidi="ar-SA"/>
              </w:rPr>
              <w:t>3.</w:t>
            </w:r>
            <w:r>
              <w:rPr>
                <w:rFonts w:hint="eastAsia" w:ascii="宋体" w:hAnsi="宋体" w:eastAsia="宋体" w:cs="Courier New"/>
                <w:color w:val="auto"/>
                <w:kern w:val="2"/>
                <w:sz w:val="24"/>
                <w:szCs w:val="24"/>
                <w:highlight w:val="none"/>
                <w:lang w:val="en-US" w:eastAsia="zh-CN" w:bidi="ar-SA"/>
              </w:rPr>
              <w:t>未提供者不得分；</w:t>
            </w:r>
          </w:p>
        </w:tc>
      </w:tr>
      <w:tr w14:paraId="022D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49" w:type="dxa"/>
            <w:vMerge w:val="continue"/>
            <w:noWrap w:val="0"/>
            <w:tcMar>
              <w:left w:w="57" w:type="dxa"/>
              <w:right w:w="57" w:type="dxa"/>
            </w:tcMar>
            <w:vAlign w:val="center"/>
          </w:tcPr>
          <w:p w14:paraId="7E5C19DB">
            <w:pPr>
              <w:pageBreakBefore w:val="0"/>
              <w:overflowPunct/>
              <w:bidi w:val="0"/>
              <w:spacing w:line="360" w:lineRule="auto"/>
              <w:jc w:val="center"/>
              <w:rPr>
                <w:rFonts w:hint="eastAsia" w:ascii="宋体" w:hAnsi="宋体" w:eastAsia="宋体" w:cs="宋体"/>
                <w:color w:val="auto"/>
                <w:kern w:val="0"/>
                <w:sz w:val="24"/>
                <w:szCs w:val="24"/>
              </w:rPr>
            </w:pPr>
          </w:p>
        </w:tc>
        <w:tc>
          <w:tcPr>
            <w:tcW w:w="1362" w:type="dxa"/>
            <w:vMerge w:val="continue"/>
            <w:noWrap w:val="0"/>
            <w:tcMar>
              <w:left w:w="57" w:type="dxa"/>
              <w:right w:w="57" w:type="dxa"/>
            </w:tcMar>
            <w:vAlign w:val="center"/>
          </w:tcPr>
          <w:p w14:paraId="35FE3EDF">
            <w:pPr>
              <w:pageBreakBefore w:val="0"/>
              <w:overflowPunct/>
              <w:bidi w:val="0"/>
              <w:spacing w:line="360" w:lineRule="auto"/>
              <w:jc w:val="center"/>
              <w:rPr>
                <w:rFonts w:hint="eastAsia" w:ascii="宋体" w:hAnsi="宋体" w:eastAsia="宋体" w:cs="宋体"/>
                <w:color w:val="auto"/>
                <w:sz w:val="24"/>
                <w:szCs w:val="24"/>
              </w:rPr>
            </w:pPr>
          </w:p>
        </w:tc>
        <w:tc>
          <w:tcPr>
            <w:tcW w:w="1914" w:type="dxa"/>
            <w:noWrap w:val="0"/>
            <w:tcMar>
              <w:left w:w="57" w:type="dxa"/>
              <w:right w:w="57" w:type="dxa"/>
            </w:tcMar>
            <w:vAlign w:val="center"/>
          </w:tcPr>
          <w:p w14:paraId="7FD94F8D">
            <w:pPr>
              <w:wordWrap w:val="0"/>
              <w:spacing w:line="360" w:lineRule="auto"/>
              <w:rPr>
                <w:rFonts w:hint="default" w:ascii="宋体" w:hAnsi="宋体" w:eastAsia="宋体" w:cs="宋体"/>
                <w:color w:val="auto"/>
                <w:sz w:val="24"/>
                <w:szCs w:val="24"/>
                <w:highlight w:val="none"/>
                <w:lang w:val="en-US" w:eastAsia="zh-CN"/>
              </w:rPr>
            </w:pPr>
            <w:r>
              <w:rPr>
                <w:rFonts w:hint="eastAsia" w:ascii="宋体" w:hAnsi="宋体" w:cs="Courier New"/>
                <w:color w:val="auto"/>
                <w:kern w:val="2"/>
                <w:sz w:val="24"/>
                <w:szCs w:val="24"/>
                <w:highlight w:val="none"/>
                <w:lang w:val="en-US" w:eastAsia="zh-CN" w:bidi="ar-SA"/>
              </w:rPr>
              <w:t>履约信誉（6分）</w:t>
            </w:r>
          </w:p>
        </w:tc>
        <w:tc>
          <w:tcPr>
            <w:tcW w:w="5701" w:type="dxa"/>
            <w:gridSpan w:val="2"/>
            <w:noWrap w:val="0"/>
            <w:tcMar>
              <w:left w:w="57" w:type="dxa"/>
              <w:right w:w="57" w:type="dxa"/>
            </w:tcMar>
            <w:vAlign w:val="center"/>
          </w:tcPr>
          <w:p w14:paraId="2E066663">
            <w:pPr>
              <w:spacing w:line="360" w:lineRule="auto"/>
              <w:textAlignment w:val="baseline"/>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履职尽责承诺：具有全面、详实、可行、合法有效的书面保证技术措施落实到位的承诺和落实不到位的处理承诺，其中包括各关键岗位人员的在岗、更换等履职尽责承诺，提供供应商履约保证。</w:t>
            </w:r>
          </w:p>
          <w:p w14:paraId="7BF8E198">
            <w:pPr>
              <w:spacing w:line="360" w:lineRule="auto"/>
              <w:textAlignment w:val="baseline"/>
              <w:rPr>
                <w:rFonts w:hint="eastAsia" w:ascii="宋体" w:hAnsi="宋体" w:eastAsia="宋体" w:cs="Courier New"/>
                <w:color w:val="auto"/>
                <w:kern w:val="2"/>
                <w:sz w:val="24"/>
                <w:szCs w:val="24"/>
                <w:highlight w:val="none"/>
                <w:lang w:val="en-US" w:eastAsia="zh-CN" w:bidi="ar-SA"/>
              </w:rPr>
            </w:pPr>
            <w:r>
              <w:rPr>
                <w:rFonts w:hint="eastAsia" w:ascii="宋体" w:hAnsi="宋体" w:cs="Courier New"/>
                <w:color w:val="auto"/>
                <w:kern w:val="2"/>
                <w:sz w:val="24"/>
                <w:szCs w:val="24"/>
                <w:highlight w:val="none"/>
                <w:lang w:val="en-US" w:eastAsia="zh-CN" w:bidi="ar-SA"/>
              </w:rPr>
              <w:t>1.</w:t>
            </w:r>
            <w:r>
              <w:rPr>
                <w:rFonts w:hint="eastAsia" w:ascii="宋体" w:hAnsi="宋体" w:eastAsia="宋体" w:cs="Courier New"/>
                <w:color w:val="auto"/>
                <w:kern w:val="2"/>
                <w:sz w:val="24"/>
                <w:szCs w:val="24"/>
                <w:highlight w:val="none"/>
                <w:lang w:val="en-US" w:eastAsia="zh-CN" w:bidi="ar-SA"/>
              </w:rPr>
              <w:t>承诺合理、详实、可行，得6分；</w:t>
            </w:r>
          </w:p>
          <w:p w14:paraId="195AF77C">
            <w:pPr>
              <w:spacing w:line="360" w:lineRule="auto"/>
              <w:textAlignment w:val="baseline"/>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2.承诺基本合理、基本可行，得3分</w:t>
            </w:r>
            <w:r>
              <w:rPr>
                <w:rFonts w:hint="eastAsia" w:ascii="宋体" w:hAnsi="宋体" w:cs="Courier New"/>
                <w:color w:val="auto"/>
                <w:kern w:val="2"/>
                <w:sz w:val="24"/>
                <w:szCs w:val="24"/>
                <w:highlight w:val="none"/>
                <w:lang w:val="en-US" w:eastAsia="zh-CN"/>
              </w:rPr>
              <w:t>基础分</w:t>
            </w:r>
            <w:r>
              <w:rPr>
                <w:rFonts w:hint="eastAsia" w:ascii="宋体" w:hAnsi="宋体" w:eastAsia="宋体" w:cs="Courier New"/>
                <w:color w:val="auto"/>
                <w:kern w:val="2"/>
                <w:sz w:val="24"/>
                <w:szCs w:val="24"/>
                <w:highlight w:val="none"/>
                <w:lang w:val="en-US" w:eastAsia="zh-CN" w:bidi="ar-SA"/>
              </w:rPr>
              <w:t>；</w:t>
            </w:r>
          </w:p>
          <w:p w14:paraId="7DA56757">
            <w:pPr>
              <w:spacing w:line="360" w:lineRule="auto"/>
              <w:textAlignment w:val="baseline"/>
              <w:rPr>
                <w:rFonts w:hint="default"/>
                <w:color w:val="auto"/>
                <w:lang w:val="en-US" w:eastAsia="zh-CN"/>
              </w:rPr>
            </w:pPr>
            <w:r>
              <w:rPr>
                <w:rFonts w:hint="eastAsia" w:ascii="宋体" w:hAnsi="宋体" w:eastAsia="宋体" w:cs="Courier New"/>
                <w:color w:val="auto"/>
                <w:kern w:val="2"/>
                <w:sz w:val="24"/>
                <w:szCs w:val="24"/>
                <w:highlight w:val="none"/>
                <w:lang w:val="en-US" w:eastAsia="zh-CN" w:bidi="ar-SA"/>
              </w:rPr>
              <w:t>3.承诺可行性一般的，得1分</w:t>
            </w:r>
          </w:p>
          <w:p w14:paraId="09B30C02">
            <w:pPr>
              <w:spacing w:line="360" w:lineRule="auto"/>
              <w:textAlignment w:val="baseline"/>
              <w:rPr>
                <w:rFonts w:hint="eastAsia" w:ascii="宋体" w:hAnsi="宋体" w:eastAsia="宋体" w:cs="宋体"/>
                <w:color w:val="auto"/>
                <w:kern w:val="2"/>
                <w:sz w:val="24"/>
                <w:szCs w:val="24"/>
                <w:highlight w:val="none"/>
                <w:lang w:val="zh-CN" w:eastAsia="zh-CN" w:bidi="ar-SA"/>
              </w:rPr>
            </w:pPr>
            <w:r>
              <w:rPr>
                <w:rFonts w:hint="eastAsia" w:ascii="宋体" w:hAnsi="宋体" w:cs="Courier New"/>
                <w:color w:val="auto"/>
                <w:kern w:val="2"/>
                <w:sz w:val="24"/>
                <w:szCs w:val="24"/>
                <w:highlight w:val="none"/>
                <w:lang w:val="en-US" w:eastAsia="zh-CN" w:bidi="ar-SA"/>
              </w:rPr>
              <w:t>4.</w:t>
            </w:r>
            <w:r>
              <w:rPr>
                <w:rFonts w:hint="eastAsia" w:ascii="宋体" w:hAnsi="宋体" w:eastAsia="宋体" w:cs="Courier New"/>
                <w:color w:val="auto"/>
                <w:kern w:val="2"/>
                <w:sz w:val="24"/>
                <w:szCs w:val="24"/>
                <w:highlight w:val="none"/>
                <w:lang w:val="en-US" w:eastAsia="zh-CN" w:bidi="ar-SA"/>
              </w:rPr>
              <w:t>未提供者不得分；</w:t>
            </w:r>
          </w:p>
        </w:tc>
      </w:tr>
    </w:tbl>
    <w:p w14:paraId="6A064980">
      <w:pPr>
        <w:widowControl/>
        <w:kinsoku w:val="0"/>
        <w:autoSpaceDE w:val="0"/>
        <w:autoSpaceDN w:val="0"/>
        <w:adjustRightInd w:val="0"/>
        <w:snapToGrid w:val="0"/>
        <w:spacing w:line="500" w:lineRule="exact"/>
        <w:ind w:right="79"/>
        <w:jc w:val="left"/>
        <w:textAlignment w:val="baseline"/>
        <w:rPr>
          <w:rFonts w:hint="eastAsia" w:ascii="宋体" w:hAnsi="宋体" w:eastAsia="宋体" w:cs="宋体"/>
          <w:color w:val="auto"/>
          <w:spacing w:val="-1"/>
          <w:sz w:val="24"/>
          <w:szCs w:val="24"/>
        </w:rPr>
      </w:pPr>
    </w:p>
    <w:p w14:paraId="45CE7626">
      <w:pPr>
        <w:keepNext w:val="0"/>
        <w:keepLines w:val="0"/>
        <w:pageBreakBefore w:val="0"/>
        <w:widowControl/>
        <w:kinsoku/>
        <w:wordWrap/>
        <w:overflowPunct/>
        <w:topLinePunct w:val="0"/>
        <w:autoSpaceDE/>
        <w:autoSpaceDN/>
        <w:bidi w:val="0"/>
        <w:adjustRightInd/>
        <w:spacing w:line="400" w:lineRule="exact"/>
        <w:ind w:firstLine="482" w:firstLineChars="200"/>
        <w:jc w:val="left"/>
        <w:textAlignment w:val="baseline"/>
        <w:rPr>
          <w:rStyle w:val="34"/>
          <w:rFonts w:hint="eastAsia" w:ascii="宋体" w:hAnsi="宋体" w:eastAsia="宋体" w:cs="宋体"/>
          <w:b/>
          <w:bCs w:val="0"/>
          <w:color w:val="auto"/>
          <w:kern w:val="0"/>
          <w:sz w:val="24"/>
          <w:szCs w:val="24"/>
          <w:lang w:val="en-US" w:eastAsia="zh-CN" w:bidi="ar-SA"/>
        </w:rPr>
      </w:pPr>
      <w:bookmarkStart w:id="8" w:name="_Toc29118"/>
      <w:r>
        <w:rPr>
          <w:rStyle w:val="34"/>
          <w:rFonts w:hint="eastAsia" w:ascii="宋体" w:hAnsi="宋体" w:eastAsia="宋体" w:cs="宋体"/>
          <w:b/>
          <w:bCs w:val="0"/>
          <w:color w:val="auto"/>
          <w:kern w:val="0"/>
          <w:sz w:val="24"/>
          <w:szCs w:val="24"/>
          <w:lang w:val="en-US" w:eastAsia="zh-CN" w:bidi="ar-SA"/>
        </w:rPr>
        <w:t>备注：</w:t>
      </w:r>
    </w:p>
    <w:p w14:paraId="7DF9C197">
      <w:pPr>
        <w:keepNext w:val="0"/>
        <w:keepLines w:val="0"/>
        <w:pageBreakBefore w:val="0"/>
        <w:widowControl/>
        <w:kinsoku/>
        <w:wordWrap/>
        <w:overflowPunct/>
        <w:topLinePunct w:val="0"/>
        <w:autoSpaceDE/>
        <w:autoSpaceDN/>
        <w:bidi w:val="0"/>
        <w:adjustRightInd/>
        <w:spacing w:line="440" w:lineRule="exact"/>
        <w:ind w:firstLine="482" w:firstLineChars="200"/>
        <w:jc w:val="left"/>
        <w:textAlignment w:val="baseline"/>
        <w:rPr>
          <w:rStyle w:val="34"/>
          <w:rFonts w:hint="eastAsia" w:ascii="宋体" w:hAnsi="宋体" w:eastAsia="宋体" w:cs="宋体"/>
          <w:b/>
          <w:bCs w:val="0"/>
          <w:color w:val="auto"/>
          <w:kern w:val="0"/>
          <w:sz w:val="24"/>
          <w:szCs w:val="24"/>
          <w:highlight w:val="cyan"/>
          <w:lang w:val="en-US" w:eastAsia="zh-CN" w:bidi="ar-SA"/>
        </w:rPr>
      </w:pPr>
      <w:r>
        <w:rPr>
          <w:rStyle w:val="34"/>
          <w:rFonts w:hint="eastAsia" w:ascii="宋体" w:hAnsi="宋体" w:eastAsia="宋体" w:cs="宋体"/>
          <w:b/>
          <w:bCs w:val="0"/>
          <w:color w:val="auto"/>
          <w:kern w:val="0"/>
          <w:sz w:val="24"/>
          <w:szCs w:val="24"/>
          <w:lang w:val="en-US" w:eastAsia="zh-CN" w:bidi="ar-SA"/>
        </w:rPr>
        <w:t>1、评委可以根据各磋商响应文件编制的内容在各分项区间进行打分；以上</w:t>
      </w:r>
      <w:r>
        <w:rPr>
          <w:rStyle w:val="34"/>
          <w:rFonts w:hint="eastAsia" w:ascii="宋体" w:hAnsi="宋体" w:eastAsia="宋体" w:cs="宋体"/>
          <w:b/>
          <w:bCs w:val="0"/>
          <w:color w:val="auto"/>
          <w:kern w:val="0"/>
          <w:sz w:val="24"/>
          <w:szCs w:val="24"/>
          <w:highlight w:val="none"/>
          <w:lang w:val="en-US" w:eastAsia="zh-CN" w:bidi="ar-SA"/>
        </w:rPr>
        <w:t>项目若有缺项，该项为0分。供应商得分＝报价部分得分+</w:t>
      </w:r>
      <w:r>
        <w:rPr>
          <w:rStyle w:val="34"/>
          <w:rFonts w:hint="eastAsia" w:ascii="宋体" w:hAnsi="宋体" w:cs="宋体"/>
          <w:b/>
          <w:bCs w:val="0"/>
          <w:color w:val="auto"/>
          <w:kern w:val="0"/>
          <w:sz w:val="24"/>
          <w:szCs w:val="24"/>
          <w:highlight w:val="none"/>
          <w:lang w:val="en-US" w:eastAsia="zh-CN" w:bidi="ar-SA"/>
        </w:rPr>
        <w:t>商务部分</w:t>
      </w:r>
      <w:r>
        <w:rPr>
          <w:rStyle w:val="34"/>
          <w:rFonts w:hint="eastAsia" w:ascii="宋体" w:hAnsi="宋体" w:eastAsia="宋体" w:cs="宋体"/>
          <w:b/>
          <w:bCs w:val="0"/>
          <w:color w:val="auto"/>
          <w:kern w:val="0"/>
          <w:sz w:val="24"/>
          <w:szCs w:val="24"/>
          <w:highlight w:val="none"/>
          <w:lang w:val="en-US" w:eastAsia="zh-CN" w:bidi="ar-SA"/>
        </w:rPr>
        <w:t>得分+技术部分得分。</w:t>
      </w:r>
    </w:p>
    <w:p w14:paraId="5BE48289">
      <w:pPr>
        <w:keepNext w:val="0"/>
        <w:keepLines w:val="0"/>
        <w:pageBreakBefore w:val="0"/>
        <w:widowControl/>
        <w:kinsoku/>
        <w:wordWrap/>
        <w:overflowPunct/>
        <w:topLinePunct w:val="0"/>
        <w:autoSpaceDE/>
        <w:autoSpaceDN/>
        <w:bidi w:val="0"/>
        <w:adjustRightInd/>
        <w:spacing w:line="440" w:lineRule="exact"/>
        <w:ind w:firstLine="482" w:firstLineChars="200"/>
        <w:jc w:val="left"/>
        <w:textAlignment w:val="baseline"/>
        <w:rPr>
          <w:rStyle w:val="34"/>
          <w:rFonts w:hint="eastAsia" w:ascii="宋体" w:hAnsi="宋体" w:eastAsia="宋体" w:cs="宋体"/>
          <w:b/>
          <w:bCs w:val="0"/>
          <w:color w:val="auto"/>
          <w:kern w:val="0"/>
          <w:sz w:val="24"/>
          <w:szCs w:val="24"/>
          <w:lang w:val="en-US" w:eastAsia="zh-CN" w:bidi="ar-SA"/>
        </w:rPr>
      </w:pPr>
      <w:r>
        <w:rPr>
          <w:rStyle w:val="34"/>
          <w:rFonts w:hint="eastAsia" w:ascii="宋体" w:hAnsi="宋体" w:eastAsia="宋体" w:cs="宋体"/>
          <w:b/>
          <w:bCs w:val="0"/>
          <w:color w:val="auto"/>
          <w:kern w:val="0"/>
          <w:sz w:val="24"/>
          <w:szCs w:val="24"/>
          <w:lang w:val="en-US" w:eastAsia="zh-CN" w:bidi="ar-SA"/>
        </w:rPr>
        <w:t>2、潜在供应商提供资料必须真实、有效，一经发现有造假的，取消其</w:t>
      </w:r>
      <w:r>
        <w:rPr>
          <w:rStyle w:val="34"/>
          <w:rFonts w:hint="eastAsia" w:ascii="宋体" w:hAnsi="宋体" w:cs="宋体"/>
          <w:b/>
          <w:bCs w:val="0"/>
          <w:color w:val="auto"/>
          <w:kern w:val="0"/>
          <w:sz w:val="24"/>
          <w:szCs w:val="24"/>
          <w:lang w:val="en-US" w:eastAsia="zh-CN" w:bidi="ar-SA"/>
        </w:rPr>
        <w:t>成交</w:t>
      </w:r>
      <w:r>
        <w:rPr>
          <w:rStyle w:val="34"/>
          <w:rFonts w:hint="eastAsia" w:ascii="宋体" w:hAnsi="宋体" w:eastAsia="宋体" w:cs="宋体"/>
          <w:b/>
          <w:bCs w:val="0"/>
          <w:color w:val="auto"/>
          <w:kern w:val="0"/>
          <w:sz w:val="24"/>
          <w:szCs w:val="24"/>
          <w:lang w:val="en-US" w:eastAsia="zh-CN" w:bidi="ar-SA"/>
        </w:rPr>
        <w:t>资格。</w:t>
      </w:r>
    </w:p>
    <w:p w14:paraId="10B02B47">
      <w:pPr>
        <w:keepNext w:val="0"/>
        <w:keepLines w:val="0"/>
        <w:pageBreakBefore w:val="0"/>
        <w:widowControl/>
        <w:kinsoku/>
        <w:wordWrap/>
        <w:overflowPunct/>
        <w:topLinePunct w:val="0"/>
        <w:autoSpaceDE/>
        <w:autoSpaceDN/>
        <w:bidi w:val="0"/>
        <w:adjustRightInd/>
        <w:snapToGrid w:val="0"/>
        <w:spacing w:line="480" w:lineRule="exact"/>
        <w:ind w:right="31" w:rightChars="15" w:firstLine="482" w:firstLineChars="200"/>
        <w:textAlignment w:val="baseline"/>
        <w:rPr>
          <w:rFonts w:hint="eastAsia" w:ascii="宋体" w:hAnsi="宋体" w:eastAsia="宋体" w:cs="宋体"/>
          <w:b/>
          <w:color w:val="auto"/>
          <w:sz w:val="24"/>
        </w:rPr>
      </w:pPr>
      <w:r>
        <w:rPr>
          <w:rFonts w:hint="eastAsia" w:ascii="宋体" w:hAnsi="宋体" w:eastAsia="宋体" w:cs="宋体"/>
          <w:b/>
          <w:color w:val="auto"/>
          <w:sz w:val="24"/>
        </w:rPr>
        <w:t>1.评</w:t>
      </w:r>
      <w:r>
        <w:rPr>
          <w:rFonts w:hint="eastAsia" w:ascii="宋体" w:hAnsi="宋体" w:eastAsia="宋体" w:cs="宋体"/>
          <w:b/>
          <w:color w:val="auto"/>
          <w:sz w:val="24"/>
          <w:lang w:val="en-US" w:eastAsia="zh-CN"/>
        </w:rPr>
        <w:t>审</w:t>
      </w:r>
      <w:r>
        <w:rPr>
          <w:rFonts w:hint="eastAsia" w:ascii="宋体" w:hAnsi="宋体" w:eastAsia="宋体" w:cs="宋体"/>
          <w:b/>
          <w:color w:val="auto"/>
          <w:sz w:val="24"/>
        </w:rPr>
        <w:t>方法</w:t>
      </w:r>
    </w:p>
    <w:p w14:paraId="584CF79F">
      <w:pPr>
        <w:spacing w:line="360" w:lineRule="auto"/>
        <w:ind w:firstLine="480" w:firstLineChars="200"/>
        <w:rPr>
          <w:rFonts w:hint="eastAsia" w:ascii="宋体" w:hAnsi="宋体" w:eastAsia="宋体" w:cs="宋体"/>
          <w:color w:val="auto"/>
          <w:sz w:val="24"/>
        </w:rPr>
      </w:pPr>
      <w:bookmarkStart w:id="9" w:name="_Toc449367501"/>
      <w:r>
        <w:rPr>
          <w:rFonts w:hint="eastAsia" w:ascii="宋体" w:hAnsi="宋体" w:eastAsia="宋体" w:cs="宋体"/>
          <w:color w:val="auto"/>
          <w:sz w:val="24"/>
        </w:rPr>
        <w:t>本项目采用综合评分法进行评审，即在最大限度地满足竞争性磋商文件全部实质性要求且按评审因素的量化指标评审得分最高的供应商为成交候选供应商的评审方法。</w:t>
      </w:r>
    </w:p>
    <w:p w14:paraId="5C503534">
      <w:pPr>
        <w:keepNext w:val="0"/>
        <w:keepLines w:val="0"/>
        <w:pageBreakBefore w:val="0"/>
        <w:widowControl/>
        <w:kinsoku/>
        <w:wordWrap/>
        <w:overflowPunct/>
        <w:topLinePunct w:val="0"/>
        <w:autoSpaceDE/>
        <w:autoSpaceDN/>
        <w:bidi w:val="0"/>
        <w:adjustRightInd/>
        <w:snapToGrid w:val="0"/>
        <w:spacing w:line="480" w:lineRule="exact"/>
        <w:ind w:right="31" w:rightChars="15" w:firstLine="482" w:firstLineChars="200"/>
        <w:textAlignment w:val="baseline"/>
        <w:rPr>
          <w:rFonts w:hint="eastAsia" w:ascii="宋体" w:hAnsi="宋体" w:eastAsia="宋体" w:cs="宋体"/>
          <w:b/>
          <w:color w:val="auto"/>
          <w:sz w:val="24"/>
        </w:rPr>
      </w:pPr>
      <w:r>
        <w:rPr>
          <w:rFonts w:hint="eastAsia" w:ascii="宋体" w:hAnsi="宋体" w:eastAsia="宋体" w:cs="宋体"/>
          <w:b/>
          <w:color w:val="auto"/>
          <w:sz w:val="24"/>
        </w:rPr>
        <w:t>2.评审标准</w:t>
      </w:r>
      <w:bookmarkEnd w:id="9"/>
    </w:p>
    <w:p w14:paraId="4E126EB3">
      <w:pPr>
        <w:keepNext w:val="0"/>
        <w:keepLines w:val="0"/>
        <w:pageBreakBefore w:val="0"/>
        <w:widowControl/>
        <w:kinsoku/>
        <w:wordWrap/>
        <w:overflowPunct/>
        <w:topLinePunct w:val="0"/>
        <w:autoSpaceDE/>
        <w:autoSpaceDN/>
        <w:bidi w:val="0"/>
        <w:adjustRightInd/>
        <w:spacing w:line="480" w:lineRule="exact"/>
        <w:ind w:firstLine="482" w:firstLineChars="200"/>
        <w:jc w:val="left"/>
        <w:textAlignment w:val="baseline"/>
        <w:rPr>
          <w:rFonts w:hint="eastAsia" w:ascii="宋体" w:hAnsi="宋体" w:eastAsia="宋体" w:cs="宋体"/>
          <w:color w:val="auto"/>
        </w:rPr>
      </w:pPr>
      <w:r>
        <w:rPr>
          <w:rFonts w:hint="eastAsia" w:ascii="宋体" w:hAnsi="宋体" w:eastAsia="宋体" w:cs="宋体"/>
          <w:b/>
          <w:color w:val="auto"/>
          <w:sz w:val="24"/>
        </w:rPr>
        <w:t>2.1初步评审标准</w:t>
      </w:r>
    </w:p>
    <w:p w14:paraId="6B5B2841">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rPr>
        <w:t>2.1.1</w:t>
      </w:r>
      <w:r>
        <w:rPr>
          <w:rFonts w:hint="eastAsia" w:ascii="宋体" w:hAnsi="宋体" w:eastAsia="宋体" w:cs="宋体"/>
          <w:color w:val="auto"/>
          <w:sz w:val="24"/>
          <w:lang w:eastAsia="zh-CN"/>
        </w:rPr>
        <w:t>符合性</w:t>
      </w:r>
      <w:r>
        <w:rPr>
          <w:rFonts w:hint="eastAsia" w:ascii="宋体" w:hAnsi="宋体" w:eastAsia="宋体" w:cs="宋体"/>
          <w:color w:val="auto"/>
          <w:sz w:val="24"/>
        </w:rPr>
        <w:t>评审标准：见</w:t>
      </w:r>
      <w:r>
        <w:rPr>
          <w:rFonts w:hint="eastAsia" w:ascii="宋体" w:hAnsi="宋体" w:cs="宋体"/>
          <w:color w:val="auto"/>
          <w:sz w:val="24"/>
          <w:lang w:eastAsia="zh-CN"/>
        </w:rPr>
        <w:t>评审办法</w:t>
      </w:r>
      <w:r>
        <w:rPr>
          <w:rFonts w:hint="eastAsia" w:ascii="宋体" w:hAnsi="宋体" w:eastAsia="宋体" w:cs="宋体"/>
          <w:color w:val="auto"/>
          <w:sz w:val="24"/>
        </w:rPr>
        <w:t>前附表。</w:t>
      </w:r>
    </w:p>
    <w:p w14:paraId="0B066256">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rPr>
        <w:t>2.1.2资格评审标准：见</w:t>
      </w:r>
      <w:r>
        <w:rPr>
          <w:rFonts w:hint="eastAsia" w:ascii="宋体" w:hAnsi="宋体" w:cs="宋体"/>
          <w:color w:val="auto"/>
          <w:sz w:val="24"/>
          <w:lang w:eastAsia="zh-CN"/>
        </w:rPr>
        <w:t>评审办法</w:t>
      </w:r>
      <w:r>
        <w:rPr>
          <w:rFonts w:hint="eastAsia" w:ascii="宋体" w:hAnsi="宋体" w:eastAsia="宋体" w:cs="宋体"/>
          <w:color w:val="auto"/>
          <w:sz w:val="24"/>
        </w:rPr>
        <w:t>前附表。</w:t>
      </w:r>
    </w:p>
    <w:p w14:paraId="34C22509">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rPr>
        <w:t>2.1.3响应性评审标准：见</w:t>
      </w:r>
      <w:r>
        <w:rPr>
          <w:rFonts w:hint="eastAsia" w:ascii="宋体" w:hAnsi="宋体" w:cs="宋体"/>
          <w:color w:val="auto"/>
          <w:sz w:val="24"/>
          <w:lang w:eastAsia="zh-CN"/>
        </w:rPr>
        <w:t>评审办法</w:t>
      </w:r>
      <w:r>
        <w:rPr>
          <w:rFonts w:hint="eastAsia" w:ascii="宋体" w:hAnsi="宋体" w:eastAsia="宋体" w:cs="宋体"/>
          <w:color w:val="auto"/>
          <w:sz w:val="24"/>
        </w:rPr>
        <w:t>前附表。</w:t>
      </w:r>
    </w:p>
    <w:p w14:paraId="23B01256">
      <w:pPr>
        <w:keepNext w:val="0"/>
        <w:keepLines w:val="0"/>
        <w:pageBreakBefore w:val="0"/>
        <w:widowControl/>
        <w:kinsoku/>
        <w:wordWrap/>
        <w:overflowPunct/>
        <w:topLinePunct w:val="0"/>
        <w:autoSpaceDE/>
        <w:autoSpaceDN/>
        <w:bidi w:val="0"/>
        <w:adjustRightInd/>
        <w:snapToGrid w:val="0"/>
        <w:spacing w:line="480" w:lineRule="exact"/>
        <w:ind w:right="31" w:rightChars="15" w:firstLine="482" w:firstLineChars="200"/>
        <w:textAlignment w:val="baseline"/>
        <w:rPr>
          <w:rFonts w:hint="eastAsia" w:ascii="宋体" w:hAnsi="宋体" w:eastAsia="宋体" w:cs="宋体"/>
          <w:b/>
          <w:color w:val="auto"/>
          <w:sz w:val="24"/>
        </w:rPr>
      </w:pPr>
      <w:r>
        <w:rPr>
          <w:rFonts w:hint="eastAsia" w:ascii="宋体" w:hAnsi="宋体" w:eastAsia="宋体" w:cs="宋体"/>
          <w:b/>
          <w:color w:val="auto"/>
          <w:sz w:val="24"/>
        </w:rPr>
        <w:t>2.2分值构成与评分标准</w:t>
      </w:r>
    </w:p>
    <w:p w14:paraId="733C9B93">
      <w:pPr>
        <w:keepNext w:val="0"/>
        <w:keepLines w:val="0"/>
        <w:pageBreakBefore w:val="0"/>
        <w:widowControl/>
        <w:kinsoku/>
        <w:wordWrap/>
        <w:overflowPunct/>
        <w:topLinePunct w:val="0"/>
        <w:autoSpaceDE/>
        <w:autoSpaceDN/>
        <w:bidi w:val="0"/>
        <w:adjustRightInd/>
        <w:snapToGrid w:val="0"/>
        <w:spacing w:line="480" w:lineRule="exact"/>
        <w:ind w:right="31" w:rightChars="15" w:firstLine="482" w:firstLineChars="200"/>
        <w:textAlignment w:val="baseline"/>
        <w:rPr>
          <w:rFonts w:hint="eastAsia" w:ascii="宋体" w:hAnsi="宋体" w:eastAsia="宋体" w:cs="宋体"/>
          <w:b/>
          <w:color w:val="auto"/>
          <w:sz w:val="24"/>
        </w:rPr>
      </w:pPr>
      <w:r>
        <w:rPr>
          <w:rFonts w:hint="eastAsia" w:ascii="宋体" w:hAnsi="宋体" w:eastAsia="宋体" w:cs="宋体"/>
          <w:b/>
          <w:color w:val="auto"/>
          <w:sz w:val="24"/>
        </w:rPr>
        <w:t>2.2.1分值构成</w:t>
      </w:r>
    </w:p>
    <w:p w14:paraId="1F0C0994">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rPr>
        <w:t>（1）</w:t>
      </w:r>
      <w:r>
        <w:rPr>
          <w:rFonts w:hint="eastAsia" w:ascii="宋体" w:hAnsi="宋体" w:eastAsia="宋体" w:cs="宋体"/>
          <w:color w:val="auto"/>
          <w:sz w:val="24"/>
          <w:lang w:val="en-US" w:eastAsia="zh-CN"/>
        </w:rPr>
        <w:t>报价得分：</w:t>
      </w:r>
      <w:r>
        <w:rPr>
          <w:rFonts w:hint="eastAsia" w:ascii="宋体" w:hAnsi="宋体" w:cs="宋体"/>
          <w:color w:val="auto"/>
          <w:sz w:val="24"/>
          <w:lang w:val="en-US" w:eastAsia="zh-CN"/>
        </w:rPr>
        <w:t>30</w:t>
      </w:r>
      <w:r>
        <w:rPr>
          <w:rFonts w:hint="eastAsia" w:ascii="宋体" w:hAnsi="宋体" w:eastAsia="宋体" w:cs="宋体"/>
          <w:color w:val="auto"/>
          <w:sz w:val="24"/>
          <w:lang w:val="en-US" w:eastAsia="zh-CN"/>
        </w:rPr>
        <w:t>分</w:t>
      </w:r>
    </w:p>
    <w:p w14:paraId="7327C482">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color w:val="auto"/>
          <w:sz w:val="24"/>
          <w:lang w:val="en-US"/>
        </w:rPr>
      </w:pPr>
      <w:r>
        <w:rPr>
          <w:rFonts w:hint="eastAsia" w:ascii="宋体" w:hAnsi="宋体" w:eastAsia="宋体" w:cs="宋体"/>
          <w:color w:val="auto"/>
          <w:sz w:val="24"/>
        </w:rPr>
        <w:t>（2）技术</w:t>
      </w:r>
      <w:r>
        <w:rPr>
          <w:rFonts w:hint="eastAsia" w:ascii="宋体" w:hAnsi="宋体" w:eastAsia="宋体" w:cs="宋体"/>
          <w:color w:val="auto"/>
          <w:sz w:val="24"/>
          <w:lang w:val="en-US" w:eastAsia="zh-CN"/>
        </w:rPr>
        <w:t>得分：</w:t>
      </w:r>
      <w:r>
        <w:rPr>
          <w:rFonts w:hint="eastAsia" w:ascii="宋体" w:hAnsi="宋体" w:cs="宋体"/>
          <w:color w:val="auto"/>
          <w:sz w:val="24"/>
          <w:lang w:val="en-US" w:eastAsia="zh-CN"/>
        </w:rPr>
        <w:t>40</w:t>
      </w:r>
      <w:r>
        <w:rPr>
          <w:rFonts w:hint="eastAsia" w:ascii="宋体" w:hAnsi="宋体" w:eastAsia="宋体" w:cs="宋体"/>
          <w:color w:val="auto"/>
          <w:sz w:val="24"/>
          <w:lang w:val="en-US" w:eastAsia="zh-CN"/>
        </w:rPr>
        <w:t>分</w:t>
      </w:r>
    </w:p>
    <w:p w14:paraId="5B1040BB">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rPr>
        <w:t>（3）</w:t>
      </w:r>
      <w:r>
        <w:rPr>
          <w:rFonts w:hint="eastAsia" w:ascii="宋体" w:hAnsi="宋体" w:eastAsia="宋体" w:cs="宋体"/>
          <w:color w:val="auto"/>
          <w:sz w:val="24"/>
          <w:highlight w:val="none"/>
        </w:rPr>
        <w:t>综合</w:t>
      </w:r>
      <w:r>
        <w:rPr>
          <w:rFonts w:hint="eastAsia" w:ascii="宋体" w:hAnsi="宋体" w:eastAsia="宋体" w:cs="宋体"/>
          <w:color w:val="auto"/>
          <w:sz w:val="24"/>
          <w:highlight w:val="none"/>
          <w:lang w:val="en-US" w:eastAsia="zh-CN"/>
        </w:rPr>
        <w:t>得分：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lang w:val="en-US" w:eastAsia="zh-CN"/>
        </w:rPr>
        <w:t>分</w:t>
      </w:r>
    </w:p>
    <w:p w14:paraId="213A5E4B">
      <w:pPr>
        <w:keepNext w:val="0"/>
        <w:keepLines w:val="0"/>
        <w:pageBreakBefore w:val="0"/>
        <w:widowControl/>
        <w:kinsoku/>
        <w:wordWrap/>
        <w:overflowPunct/>
        <w:topLinePunct w:val="0"/>
        <w:autoSpaceDE/>
        <w:autoSpaceDN/>
        <w:bidi w:val="0"/>
        <w:adjustRightInd/>
        <w:snapToGrid w:val="0"/>
        <w:spacing w:line="480" w:lineRule="exact"/>
        <w:ind w:right="31" w:rightChars="15" w:firstLine="482" w:firstLineChars="200"/>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评分标准</w:t>
      </w:r>
    </w:p>
    <w:p w14:paraId="0C2201F2">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（1）报价部分：见</w:t>
      </w:r>
      <w:r>
        <w:rPr>
          <w:rFonts w:hint="eastAsia" w:ascii="宋体" w:hAnsi="宋体" w:cs="宋体"/>
          <w:color w:val="auto"/>
          <w:sz w:val="24"/>
          <w:highlight w:val="none"/>
          <w:lang w:eastAsia="zh-CN"/>
        </w:rPr>
        <w:t>评审办法</w:t>
      </w:r>
      <w:r>
        <w:rPr>
          <w:rFonts w:hint="eastAsia" w:ascii="宋体" w:hAnsi="宋体" w:eastAsia="宋体" w:cs="宋体"/>
          <w:color w:val="auto"/>
          <w:sz w:val="24"/>
          <w:highlight w:val="none"/>
        </w:rPr>
        <w:t>前附表；</w:t>
      </w:r>
    </w:p>
    <w:p w14:paraId="374BC4B5">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（2）技术部分：见</w:t>
      </w:r>
      <w:r>
        <w:rPr>
          <w:rFonts w:hint="eastAsia" w:ascii="宋体" w:hAnsi="宋体" w:cs="宋体"/>
          <w:color w:val="auto"/>
          <w:sz w:val="24"/>
          <w:highlight w:val="none"/>
          <w:lang w:eastAsia="zh-CN"/>
        </w:rPr>
        <w:t>评审办法</w:t>
      </w:r>
      <w:r>
        <w:rPr>
          <w:rFonts w:hint="eastAsia" w:ascii="宋体" w:hAnsi="宋体" w:eastAsia="宋体" w:cs="宋体"/>
          <w:color w:val="auto"/>
          <w:sz w:val="24"/>
          <w:highlight w:val="none"/>
        </w:rPr>
        <w:t>前附表；</w:t>
      </w:r>
    </w:p>
    <w:p w14:paraId="6710CCF4">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商务部分</w:t>
      </w:r>
      <w:r>
        <w:rPr>
          <w:rFonts w:hint="eastAsia" w:ascii="宋体" w:hAnsi="宋体" w:eastAsia="宋体" w:cs="宋体"/>
          <w:color w:val="auto"/>
          <w:sz w:val="24"/>
          <w:highlight w:val="none"/>
        </w:rPr>
        <w:t>：见</w:t>
      </w:r>
      <w:r>
        <w:rPr>
          <w:rFonts w:hint="eastAsia" w:ascii="宋体" w:hAnsi="宋体" w:cs="宋体"/>
          <w:color w:val="auto"/>
          <w:sz w:val="24"/>
          <w:highlight w:val="none"/>
          <w:lang w:eastAsia="zh-CN"/>
        </w:rPr>
        <w:t>评</w:t>
      </w:r>
      <w:r>
        <w:rPr>
          <w:rFonts w:hint="eastAsia" w:ascii="宋体" w:hAnsi="宋体" w:cs="宋体"/>
          <w:color w:val="auto"/>
          <w:sz w:val="24"/>
          <w:lang w:eastAsia="zh-CN"/>
        </w:rPr>
        <w:t>审办法</w:t>
      </w:r>
      <w:r>
        <w:rPr>
          <w:rFonts w:hint="eastAsia" w:ascii="宋体" w:hAnsi="宋体" w:eastAsia="宋体" w:cs="宋体"/>
          <w:color w:val="auto"/>
          <w:sz w:val="24"/>
        </w:rPr>
        <w:t>前附表；</w:t>
      </w:r>
    </w:p>
    <w:p w14:paraId="1B5C69F3">
      <w:pPr>
        <w:keepNext w:val="0"/>
        <w:keepLines w:val="0"/>
        <w:pageBreakBefore w:val="0"/>
        <w:widowControl/>
        <w:kinsoku/>
        <w:wordWrap/>
        <w:overflowPunct/>
        <w:topLinePunct w:val="0"/>
        <w:autoSpaceDE/>
        <w:autoSpaceDN/>
        <w:bidi w:val="0"/>
        <w:adjustRightInd/>
        <w:snapToGrid w:val="0"/>
        <w:spacing w:line="480" w:lineRule="exact"/>
        <w:ind w:right="31" w:rightChars="15" w:firstLine="482" w:firstLineChars="200"/>
        <w:textAlignment w:val="baseline"/>
        <w:rPr>
          <w:rFonts w:hint="eastAsia" w:ascii="宋体" w:hAnsi="宋体" w:eastAsia="宋体" w:cs="宋体"/>
          <w:b/>
          <w:color w:val="auto"/>
          <w:sz w:val="24"/>
        </w:rPr>
      </w:pPr>
      <w:bookmarkStart w:id="10" w:name="_Toc449367502"/>
      <w:r>
        <w:rPr>
          <w:rFonts w:hint="eastAsia" w:ascii="宋体" w:hAnsi="宋体" w:eastAsia="宋体" w:cs="宋体"/>
          <w:b/>
          <w:color w:val="auto"/>
          <w:sz w:val="24"/>
        </w:rPr>
        <w:t>3.评标程序</w:t>
      </w:r>
      <w:bookmarkEnd w:id="10"/>
    </w:p>
    <w:p w14:paraId="344A840B">
      <w:pPr>
        <w:keepNext w:val="0"/>
        <w:keepLines w:val="0"/>
        <w:pageBreakBefore w:val="0"/>
        <w:widowControl/>
        <w:kinsoku/>
        <w:wordWrap/>
        <w:overflowPunct/>
        <w:topLinePunct w:val="0"/>
        <w:autoSpaceDE/>
        <w:autoSpaceDN/>
        <w:bidi w:val="0"/>
        <w:adjustRightInd/>
        <w:snapToGrid w:val="0"/>
        <w:spacing w:line="480" w:lineRule="exact"/>
        <w:ind w:right="31" w:rightChars="15" w:firstLine="482" w:firstLineChars="200"/>
        <w:textAlignment w:val="baseline"/>
        <w:rPr>
          <w:rFonts w:hint="eastAsia" w:ascii="宋体" w:hAnsi="宋体" w:eastAsia="宋体" w:cs="宋体"/>
          <w:b/>
          <w:color w:val="auto"/>
          <w:sz w:val="24"/>
        </w:rPr>
      </w:pPr>
      <w:r>
        <w:rPr>
          <w:rFonts w:hint="eastAsia" w:ascii="宋体" w:hAnsi="宋体" w:eastAsia="宋体" w:cs="宋体"/>
          <w:b/>
          <w:color w:val="auto"/>
          <w:sz w:val="24"/>
        </w:rPr>
        <w:t>3.1初步评审</w:t>
      </w:r>
    </w:p>
    <w:p w14:paraId="43858442">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rPr>
        <w:t>3.1.1磋商小组依据本章第2.1项规定的评审标准对磋商响应文件进行初步评审。有一项不符合评审标准的，作废标处理。</w:t>
      </w:r>
    </w:p>
    <w:p w14:paraId="059054F1">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color w:val="auto"/>
        </w:rPr>
      </w:pPr>
      <w:r>
        <w:rPr>
          <w:rFonts w:hint="eastAsia" w:ascii="宋体" w:hAnsi="宋体" w:eastAsia="宋体" w:cs="宋体"/>
          <w:color w:val="auto"/>
          <w:sz w:val="24"/>
        </w:rPr>
        <w:t>3.1.2供应商有以下情形之一的，磋商小组应当否决其磋商响应文件：</w:t>
      </w:r>
    </w:p>
    <w:p w14:paraId="56F56CD0">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rPr>
        <w:t>（1）未按磋商文件规定要求签署、盖章的；</w:t>
      </w:r>
    </w:p>
    <w:p w14:paraId="7ABE061B">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rPr>
        <w:t>（2）供应商不按要求参加磋商的；</w:t>
      </w:r>
    </w:p>
    <w:p w14:paraId="747DC48A">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rPr>
        <w:t>（3）有弄虚作假、串通、行贿等违法行为的；</w:t>
      </w:r>
    </w:p>
    <w:p w14:paraId="1526E6EE">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rPr>
        <w:t>（4）响应内容与采购需求及采购项目要求有实质性偏离的；</w:t>
      </w:r>
    </w:p>
    <w:p w14:paraId="1ECF5FC1">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rPr>
        <w:t>（5）同一供应商提交两个以上不同报价的；</w:t>
      </w:r>
    </w:p>
    <w:p w14:paraId="79E9BFDB">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rPr>
        <w:t>（6）恶意提高（压低）报价或报价超过预算控制金额的；</w:t>
      </w:r>
    </w:p>
    <w:p w14:paraId="3F5BB958">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rPr>
        <w:t>（7）</w:t>
      </w:r>
      <w:r>
        <w:rPr>
          <w:rFonts w:hint="eastAsia" w:ascii="宋体" w:hAnsi="宋体" w:eastAsia="宋体" w:cs="宋体"/>
          <w:color w:val="auto"/>
          <w:kern w:val="0"/>
          <w:sz w:val="24"/>
          <w:szCs w:val="24"/>
          <w:highlight w:val="none"/>
        </w:rPr>
        <w:t>服务周期</w:t>
      </w:r>
      <w:r>
        <w:rPr>
          <w:rFonts w:hint="eastAsia" w:ascii="宋体" w:hAnsi="宋体" w:eastAsia="宋体" w:cs="宋体"/>
          <w:color w:val="auto"/>
          <w:kern w:val="0"/>
          <w:sz w:val="24"/>
          <w:szCs w:val="24"/>
          <w:highlight w:val="none"/>
          <w:lang w:val="en-US" w:eastAsia="zh-CN"/>
        </w:rPr>
        <w:t>、质量要求</w:t>
      </w:r>
      <w:r>
        <w:rPr>
          <w:rFonts w:hint="eastAsia" w:ascii="宋体" w:hAnsi="宋体" w:eastAsia="宋体" w:cs="宋体"/>
          <w:color w:val="auto"/>
          <w:sz w:val="24"/>
        </w:rPr>
        <w:t>不满足磋商文件要求的；</w:t>
      </w:r>
    </w:p>
    <w:p w14:paraId="16C39550">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rPr>
        <w:t>（8）资格证明不全或者不具备磋商文件中规定的供应商资格要求的；</w:t>
      </w:r>
    </w:p>
    <w:p w14:paraId="1C371426">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rPr>
        <w:t>（9）不符合法律、法规和磋商文件中规定的其他实质性要求的。</w:t>
      </w:r>
    </w:p>
    <w:p w14:paraId="1154B204">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rPr>
        <w:t>3.1.3</w:t>
      </w:r>
      <w:r>
        <w:rPr>
          <w:rFonts w:hint="eastAsia" w:ascii="宋体" w:hAnsi="宋体" w:cs="宋体"/>
          <w:color w:val="auto"/>
          <w:sz w:val="24"/>
          <w:lang w:eastAsia="zh-CN"/>
        </w:rPr>
        <w:t>磋商报价</w:t>
      </w:r>
      <w:r>
        <w:rPr>
          <w:rFonts w:hint="eastAsia" w:ascii="宋体" w:hAnsi="宋体" w:eastAsia="宋体" w:cs="宋体"/>
          <w:color w:val="auto"/>
          <w:sz w:val="24"/>
        </w:rPr>
        <w:t>有算术错误的，磋商小组按以下原则对报价进行修正，修正的价格经供应商书面确认后具有约束力。供应商不接受修正价格的，其</w:t>
      </w:r>
      <w:r>
        <w:rPr>
          <w:rFonts w:hint="eastAsia" w:ascii="宋体" w:hAnsi="宋体" w:cs="宋体"/>
          <w:color w:val="auto"/>
          <w:sz w:val="24"/>
          <w:lang w:eastAsia="zh-CN"/>
        </w:rPr>
        <w:t>响应</w:t>
      </w:r>
      <w:r>
        <w:rPr>
          <w:rFonts w:hint="eastAsia" w:ascii="宋体" w:hAnsi="宋体" w:eastAsia="宋体" w:cs="宋体"/>
          <w:color w:val="auto"/>
          <w:sz w:val="24"/>
        </w:rPr>
        <w:t>作废标处理。</w:t>
      </w:r>
    </w:p>
    <w:p w14:paraId="21F67A99">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rPr>
        <w:t>（2）大写金额和小写金额不一致的，以大写金额为准；</w:t>
      </w:r>
    </w:p>
    <w:p w14:paraId="29F257BB">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color w:val="auto"/>
          <w:sz w:val="24"/>
          <w:lang w:eastAsia="zh-CN"/>
        </w:rPr>
      </w:pPr>
      <w:r>
        <w:rPr>
          <w:rFonts w:hint="eastAsia" w:ascii="宋体" w:hAnsi="宋体" w:eastAsia="宋体" w:cs="宋体"/>
          <w:color w:val="auto"/>
          <w:sz w:val="24"/>
        </w:rPr>
        <w:t>（3）单价金额小数点或者百分比有明显错位的，以报价一览表的总价为准，并修改单价；</w:t>
      </w:r>
    </w:p>
    <w:p w14:paraId="5AF39CCF">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color w:val="auto"/>
          <w:sz w:val="24"/>
          <w:lang w:eastAsia="zh-CN"/>
        </w:rPr>
      </w:pPr>
      <w:r>
        <w:rPr>
          <w:rFonts w:hint="eastAsia" w:ascii="宋体" w:hAnsi="宋体" w:eastAsia="宋体" w:cs="宋体"/>
          <w:color w:val="auto"/>
          <w:sz w:val="24"/>
        </w:rPr>
        <w:t>（4）总价金额与按单价汇总金额不一致的，以单价金额计算结果为准。</w:t>
      </w:r>
    </w:p>
    <w:p w14:paraId="31FBFD0D">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rPr>
        <w:t>同时出现两种以上不一致的，按照前款规定的顺序修正。</w:t>
      </w:r>
    </w:p>
    <w:p w14:paraId="7CF77B00">
      <w:pPr>
        <w:keepNext w:val="0"/>
        <w:keepLines w:val="0"/>
        <w:pageBreakBefore w:val="0"/>
        <w:widowControl/>
        <w:kinsoku/>
        <w:wordWrap/>
        <w:overflowPunct/>
        <w:topLinePunct w:val="0"/>
        <w:autoSpaceDE/>
        <w:autoSpaceDN/>
        <w:bidi w:val="0"/>
        <w:adjustRightInd/>
        <w:snapToGrid w:val="0"/>
        <w:spacing w:line="480" w:lineRule="exact"/>
        <w:ind w:right="31" w:rightChars="15" w:firstLine="482" w:firstLineChars="200"/>
        <w:textAlignment w:val="baseline"/>
        <w:rPr>
          <w:rFonts w:hint="eastAsia" w:ascii="宋体" w:hAnsi="宋体" w:eastAsia="宋体" w:cs="宋体"/>
          <w:b/>
          <w:color w:val="auto"/>
          <w:sz w:val="24"/>
          <w:lang w:eastAsia="zh-CN"/>
        </w:rPr>
      </w:pPr>
      <w:r>
        <w:rPr>
          <w:rFonts w:hint="eastAsia" w:ascii="宋体" w:hAnsi="宋体" w:eastAsia="宋体" w:cs="宋体"/>
          <w:b/>
          <w:color w:val="auto"/>
          <w:sz w:val="24"/>
        </w:rPr>
        <w:t>3.2详细评审</w:t>
      </w:r>
    </w:p>
    <w:p w14:paraId="671164A2">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rPr>
        <w:t>3.2.1磋商小组按本章第2.2款规定的量化因素和分值进行打分，并计算出综合评估得分。</w:t>
      </w:r>
      <w:r>
        <w:rPr>
          <w:rFonts w:hint="eastAsia" w:ascii="宋体" w:hAnsi="宋体" w:eastAsia="宋体" w:cs="宋体"/>
          <w:b/>
          <w:color w:val="auto"/>
          <w:sz w:val="24"/>
        </w:rPr>
        <w:t>每个供应商最终得分为各评委打分的算术平均值。</w:t>
      </w:r>
    </w:p>
    <w:p w14:paraId="25B19B5E">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rPr>
        <w:t>3.2.2评分分值计算保留小数点后两位，小数点后第三位“四舍五入”。</w:t>
      </w:r>
    </w:p>
    <w:p w14:paraId="57F3D334">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rPr>
        <w:t>3.2.3磋商小组汇总供应商的各项得分，相加后为供应商最终得分。</w:t>
      </w:r>
    </w:p>
    <w:p w14:paraId="21A6CDA9">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lang w:val="en-US" w:eastAsia="zh-CN"/>
        </w:rPr>
        <w:t>3.2.4本项目有</w:t>
      </w:r>
      <w:r>
        <w:rPr>
          <w:rFonts w:hint="eastAsia" w:ascii="宋体" w:hAnsi="宋体" w:eastAsia="宋体" w:cs="宋体"/>
          <w:color w:val="auto"/>
          <w:sz w:val="24"/>
        </w:rPr>
        <w:t>最后报价（</w:t>
      </w:r>
      <w:r>
        <w:rPr>
          <w:rFonts w:hint="eastAsia" w:ascii="宋体" w:hAnsi="宋体" w:eastAsia="宋体" w:cs="宋体"/>
          <w:color w:val="auto"/>
          <w:sz w:val="24"/>
          <w:lang w:val="en-US" w:eastAsia="zh-CN"/>
        </w:rPr>
        <w:t>第</w:t>
      </w:r>
      <w:r>
        <w:rPr>
          <w:rFonts w:hint="eastAsia" w:ascii="宋体" w:hAnsi="宋体" w:eastAsia="宋体" w:cs="宋体"/>
          <w:color w:val="auto"/>
          <w:sz w:val="24"/>
        </w:rPr>
        <w:t>二轮报价）</w:t>
      </w:r>
      <w:r>
        <w:rPr>
          <w:rFonts w:hint="eastAsia" w:ascii="宋体" w:hAnsi="宋体" w:eastAsia="宋体" w:cs="宋体"/>
          <w:color w:val="auto"/>
          <w:sz w:val="24"/>
          <w:lang w:eastAsia="zh-CN"/>
        </w:rPr>
        <w:t>，</w:t>
      </w:r>
      <w:r>
        <w:rPr>
          <w:rFonts w:hint="eastAsia" w:ascii="宋体" w:hAnsi="宋体" w:eastAsia="宋体" w:cs="宋体"/>
          <w:color w:val="auto"/>
          <w:sz w:val="24"/>
        </w:rPr>
        <w:t>最后报价（</w:t>
      </w:r>
      <w:r>
        <w:rPr>
          <w:rFonts w:hint="eastAsia" w:ascii="宋体" w:hAnsi="宋体" w:eastAsia="宋体" w:cs="宋体"/>
          <w:color w:val="auto"/>
          <w:sz w:val="24"/>
          <w:lang w:val="en-US" w:eastAsia="zh-CN"/>
        </w:rPr>
        <w:t>第</w:t>
      </w:r>
      <w:r>
        <w:rPr>
          <w:rFonts w:hint="eastAsia" w:ascii="宋体" w:hAnsi="宋体" w:eastAsia="宋体" w:cs="宋体"/>
          <w:color w:val="auto"/>
          <w:sz w:val="24"/>
        </w:rPr>
        <w:t>二轮报价）是供应商响应文件的有效组成部分。</w:t>
      </w:r>
    </w:p>
    <w:p w14:paraId="69834E56">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color w:val="auto"/>
        </w:rPr>
      </w:pPr>
      <w:r>
        <w:rPr>
          <w:rFonts w:hint="eastAsia" w:ascii="宋体" w:hAnsi="宋体" w:eastAsia="宋体" w:cs="宋体"/>
          <w:color w:val="auto"/>
          <w:sz w:val="24"/>
        </w:rPr>
        <w:t>3.2.</w:t>
      </w:r>
      <w:r>
        <w:rPr>
          <w:rFonts w:hint="eastAsia" w:ascii="宋体" w:hAnsi="宋体" w:cs="宋体"/>
          <w:color w:val="auto"/>
          <w:sz w:val="24"/>
          <w:lang w:val="en-US" w:eastAsia="zh-CN"/>
        </w:rPr>
        <w:t>5</w:t>
      </w:r>
      <w:r>
        <w:rPr>
          <w:rFonts w:hint="eastAsia" w:ascii="宋体" w:hAnsi="宋体" w:eastAsia="宋体" w:cs="宋体"/>
          <w:color w:val="auto"/>
          <w:sz w:val="24"/>
        </w:rPr>
        <w:t>若磋商小组认为供应商的报价明显低于其他通过符合性审查供应商的报价，有可能影响产品质量或者不能诚信履约的，应当要求其在合理的时间内提供书面说明，必要时提交相关证明材料；供应商不能证明其报价合理性的，磋商小组应当将其作为无效磋商响应文件处理。</w:t>
      </w:r>
    </w:p>
    <w:p w14:paraId="255EC738">
      <w:pPr>
        <w:keepNext w:val="0"/>
        <w:keepLines w:val="0"/>
        <w:pageBreakBefore w:val="0"/>
        <w:widowControl/>
        <w:kinsoku/>
        <w:wordWrap/>
        <w:overflowPunct/>
        <w:topLinePunct w:val="0"/>
        <w:autoSpaceDE/>
        <w:autoSpaceDN/>
        <w:bidi w:val="0"/>
        <w:adjustRightInd/>
        <w:snapToGrid w:val="0"/>
        <w:spacing w:line="480" w:lineRule="exact"/>
        <w:ind w:right="31" w:rightChars="15" w:firstLine="482" w:firstLineChars="200"/>
        <w:textAlignment w:val="baseline"/>
        <w:rPr>
          <w:rFonts w:hint="eastAsia" w:ascii="宋体" w:hAnsi="宋体" w:eastAsia="宋体" w:cs="宋体"/>
          <w:b/>
          <w:color w:val="auto"/>
          <w:sz w:val="24"/>
        </w:rPr>
      </w:pPr>
      <w:r>
        <w:rPr>
          <w:rFonts w:hint="eastAsia" w:ascii="宋体" w:hAnsi="宋体" w:eastAsia="宋体" w:cs="宋体"/>
          <w:b/>
          <w:color w:val="auto"/>
          <w:sz w:val="24"/>
        </w:rPr>
        <w:t>3.3磋商响应文件的澄清和补正</w:t>
      </w:r>
    </w:p>
    <w:p w14:paraId="542A618D">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rPr>
        <w:t>3.3.1在评标过程中，磋商小组可以书面形式要求供应商对所提交磋商响应文件中不明确的内容进行书面澄清或说明，或者对细微偏差进行补正。磋商小组不接受供应商主动提出的澄清、说明或补正。</w:t>
      </w:r>
    </w:p>
    <w:p w14:paraId="7ED801F8">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rPr>
        <w:t>3.3.2澄清、说明和补正不得改变磋商响应文件的实质性内容（算术性错误修正的除外）。供应商的书面澄清、说明和补正属于磋商响应文件的组成部分。</w:t>
      </w:r>
    </w:p>
    <w:p w14:paraId="307036C8">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rPr>
        <w:t>3.3.3磋商小组对供应商提交的澄清、说明或补正有疑问的，可以要求供应商进一步澄清、说明或补正，直至满足磋商小组的要求。</w:t>
      </w:r>
    </w:p>
    <w:p w14:paraId="0D25BA6F">
      <w:pPr>
        <w:keepNext w:val="0"/>
        <w:keepLines w:val="0"/>
        <w:pageBreakBefore w:val="0"/>
        <w:widowControl/>
        <w:kinsoku/>
        <w:wordWrap/>
        <w:overflowPunct/>
        <w:topLinePunct w:val="0"/>
        <w:autoSpaceDE/>
        <w:autoSpaceDN/>
        <w:bidi w:val="0"/>
        <w:adjustRightInd/>
        <w:snapToGrid w:val="0"/>
        <w:spacing w:line="480" w:lineRule="exact"/>
        <w:ind w:right="31" w:rightChars="15" w:firstLine="482" w:firstLineChars="200"/>
        <w:textAlignment w:val="baseline"/>
        <w:rPr>
          <w:rFonts w:hint="eastAsia" w:ascii="宋体" w:hAnsi="宋体" w:eastAsia="宋体" w:cs="宋体"/>
          <w:b/>
          <w:color w:val="auto"/>
          <w:sz w:val="24"/>
        </w:rPr>
      </w:pPr>
      <w:r>
        <w:rPr>
          <w:rFonts w:hint="eastAsia" w:ascii="宋体" w:hAnsi="宋体" w:eastAsia="宋体" w:cs="宋体"/>
          <w:b/>
          <w:color w:val="auto"/>
          <w:sz w:val="24"/>
        </w:rPr>
        <w:t>3.4定标办法</w:t>
      </w:r>
    </w:p>
    <w:p w14:paraId="183EF1C5">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rPr>
        <w:t>3.4.1磋商小组按照上述办法打分，最后按照各供应商最终得分从高到低排序。</w:t>
      </w:r>
    </w:p>
    <w:p w14:paraId="35D6AA8E">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rPr>
        <w:t>3.4.2磋商小组完成评标后，应当向采购人提交书面评</w:t>
      </w:r>
      <w:r>
        <w:rPr>
          <w:rFonts w:hint="eastAsia" w:ascii="宋体" w:hAnsi="宋体" w:eastAsia="宋体" w:cs="宋体"/>
          <w:color w:val="auto"/>
          <w:sz w:val="24"/>
          <w:lang w:val="en-US" w:eastAsia="zh-CN"/>
        </w:rPr>
        <w:t>审</w:t>
      </w:r>
      <w:r>
        <w:rPr>
          <w:rFonts w:hint="eastAsia" w:ascii="宋体" w:hAnsi="宋体" w:eastAsia="宋体" w:cs="宋体"/>
          <w:color w:val="auto"/>
          <w:sz w:val="24"/>
        </w:rPr>
        <w:t>报告。向采购人推荐</w:t>
      </w:r>
      <w:r>
        <w:rPr>
          <w:rFonts w:hint="eastAsia" w:ascii="宋体" w:hAnsi="宋体" w:eastAsia="宋体" w:cs="宋体"/>
          <w:color w:val="auto"/>
          <w:sz w:val="24"/>
          <w:lang w:val="en-US" w:eastAsia="zh-CN"/>
        </w:rPr>
        <w:t>1</w:t>
      </w:r>
      <w:r>
        <w:rPr>
          <w:rFonts w:hint="eastAsia" w:ascii="宋体" w:hAnsi="宋体" w:cs="宋体"/>
          <w:color w:val="auto"/>
          <w:sz w:val="24"/>
          <w:lang w:val="en-US" w:eastAsia="zh-CN"/>
        </w:rPr>
        <w:t>-</w:t>
      </w:r>
      <w:r>
        <w:rPr>
          <w:rFonts w:hint="eastAsia" w:ascii="宋体" w:hAnsi="宋体" w:eastAsia="宋体" w:cs="宋体"/>
          <w:color w:val="auto"/>
          <w:sz w:val="24"/>
        </w:rPr>
        <w:t>3家成交候选人，得分最高的供应商为第一成交候选人，得分第二的供应商为第二成交候选人。</w:t>
      </w:r>
    </w:p>
    <w:p w14:paraId="105CE058">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rPr>
        <w:t>3.4.3按供应商得分由高到低排序，采购人应当确定排名第一的成交候选人为成交人。排名第一的成交候选人放弃</w:t>
      </w:r>
      <w:r>
        <w:rPr>
          <w:rFonts w:hint="eastAsia" w:ascii="宋体" w:hAnsi="宋体" w:cs="宋体"/>
          <w:color w:val="auto"/>
          <w:sz w:val="24"/>
          <w:lang w:eastAsia="zh-CN"/>
        </w:rPr>
        <w:t>成交</w:t>
      </w:r>
      <w:r>
        <w:rPr>
          <w:rFonts w:hint="eastAsia" w:ascii="宋体" w:hAnsi="宋体" w:eastAsia="宋体" w:cs="宋体"/>
          <w:color w:val="auto"/>
          <w:sz w:val="24"/>
        </w:rPr>
        <w:t>、因不可抗力不能履行合同，或者被查实存在影响成交结果的违法行为等情形，不符合成交条件的，采购人可以按照磋商小组提出的成交候选人名单排序依次确定其他成交候选人为成交供应商，也可以重新</w:t>
      </w:r>
      <w:r>
        <w:rPr>
          <w:rFonts w:hint="eastAsia" w:ascii="宋体" w:hAnsi="宋体" w:cs="宋体"/>
          <w:color w:val="auto"/>
          <w:sz w:val="24"/>
          <w:lang w:eastAsia="zh-CN"/>
        </w:rPr>
        <w:t>磋商</w:t>
      </w:r>
      <w:r>
        <w:rPr>
          <w:rFonts w:hint="eastAsia" w:ascii="宋体" w:hAnsi="宋体" w:eastAsia="宋体" w:cs="宋体"/>
          <w:color w:val="auto"/>
          <w:sz w:val="24"/>
        </w:rPr>
        <w:t>。</w:t>
      </w:r>
    </w:p>
    <w:p w14:paraId="305F7A84">
      <w:pPr>
        <w:keepNext w:val="0"/>
        <w:keepLines w:val="0"/>
        <w:pageBreakBefore w:val="0"/>
        <w:widowControl/>
        <w:kinsoku/>
        <w:wordWrap/>
        <w:overflowPunct/>
        <w:topLinePunct w:val="0"/>
        <w:autoSpaceDE/>
        <w:autoSpaceDN/>
        <w:bidi w:val="0"/>
        <w:adjustRightInd/>
        <w:snapToGrid w:val="0"/>
        <w:spacing w:line="480" w:lineRule="exact"/>
        <w:ind w:right="31" w:rightChars="15" w:firstLine="482" w:firstLineChars="200"/>
        <w:textAlignment w:val="baseline"/>
        <w:rPr>
          <w:rFonts w:hint="eastAsia" w:ascii="宋体" w:hAnsi="宋体" w:eastAsia="宋体" w:cs="宋体"/>
          <w:color w:val="auto"/>
          <w:sz w:val="24"/>
        </w:rPr>
      </w:pPr>
      <w:bookmarkStart w:id="11" w:name="_Toc449367503"/>
      <w:r>
        <w:rPr>
          <w:rFonts w:hint="eastAsia" w:ascii="宋体" w:hAnsi="宋体" w:eastAsia="宋体" w:cs="宋体"/>
          <w:b/>
          <w:color w:val="auto"/>
          <w:sz w:val="24"/>
        </w:rPr>
        <w:t>4.评标报告</w:t>
      </w:r>
      <w:bookmarkEnd w:id="11"/>
    </w:p>
    <w:p w14:paraId="44E0229F">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rPr>
        <w:t>磋商小组根据供应商须知前附表的规定向采购人提交评标报告。评标报告应当由磋商小组</w:t>
      </w:r>
      <w:r>
        <w:rPr>
          <w:rFonts w:hint="eastAsia" w:ascii="宋体" w:hAnsi="宋体" w:eastAsia="宋体" w:cs="宋体"/>
          <w:color w:val="auto"/>
          <w:sz w:val="24"/>
          <w:lang w:val="en-US" w:eastAsia="zh-CN"/>
        </w:rPr>
        <w:t>全体</w:t>
      </w:r>
      <w:r>
        <w:rPr>
          <w:rFonts w:hint="eastAsia" w:ascii="宋体" w:hAnsi="宋体" w:eastAsia="宋体" w:cs="宋体"/>
          <w:color w:val="auto"/>
          <w:sz w:val="24"/>
        </w:rPr>
        <w:t>成员签字，并于</w:t>
      </w:r>
      <w:r>
        <w:rPr>
          <w:rFonts w:hint="eastAsia" w:ascii="宋体" w:hAnsi="宋体" w:eastAsia="宋体" w:cs="宋体"/>
          <w:color w:val="auto"/>
          <w:sz w:val="24"/>
          <w:lang w:val="en-US" w:eastAsia="zh-CN"/>
        </w:rPr>
        <w:t>评审</w:t>
      </w:r>
      <w:r>
        <w:rPr>
          <w:rFonts w:hint="eastAsia" w:ascii="宋体" w:hAnsi="宋体" w:eastAsia="宋体" w:cs="宋体"/>
          <w:color w:val="auto"/>
          <w:sz w:val="24"/>
        </w:rPr>
        <w:t>结束后抄送有关行政监督部门。</w:t>
      </w:r>
    </w:p>
    <w:p w14:paraId="1E0E7933">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color w:val="auto"/>
          <w:sz w:val="24"/>
          <w:lang w:eastAsia="zh-CN"/>
        </w:rPr>
      </w:pPr>
      <w:r>
        <w:rPr>
          <w:rFonts w:hint="eastAsia" w:ascii="宋体" w:hAnsi="宋体" w:eastAsia="宋体" w:cs="宋体"/>
          <w:color w:val="auto"/>
          <w:sz w:val="24"/>
        </w:rPr>
        <w:t>对评标结论具有异议的，磋商小组成员可以书面方式阐述其不同意见和理由。磋商小组成员拒绝在评标报告上签字且不陈述其不同意见和理由的，视为同意评标结论。磋商小组应当对此作出书面说明并记录在案。</w:t>
      </w:r>
    </w:p>
    <w:p w14:paraId="1F0EF89E">
      <w:pPr>
        <w:rPr>
          <w:rFonts w:hint="eastAsia" w:ascii="宋体" w:hAnsi="宋体" w:eastAsia="宋体" w:cs="宋体"/>
          <w:color w:val="auto"/>
          <w:sz w:val="40"/>
          <w:szCs w:val="40"/>
        </w:rPr>
      </w:pPr>
      <w:bookmarkStart w:id="12" w:name="_Toc31439"/>
      <w:r>
        <w:rPr>
          <w:rFonts w:hint="eastAsia" w:ascii="宋体" w:hAnsi="宋体" w:eastAsia="宋体" w:cs="宋体"/>
          <w:color w:val="auto"/>
          <w:sz w:val="40"/>
          <w:szCs w:val="40"/>
        </w:rPr>
        <w:br w:type="page"/>
      </w:r>
    </w:p>
    <w:p w14:paraId="658B8AE9">
      <w:pPr>
        <w:pStyle w:val="2"/>
        <w:keepNext w:val="0"/>
        <w:keepLines w:val="0"/>
        <w:spacing w:before="0" w:after="0" w:line="500" w:lineRule="exact"/>
        <w:jc w:val="center"/>
        <w:rPr>
          <w:rFonts w:hint="eastAsia" w:ascii="宋体" w:hAnsi="宋体" w:eastAsia="宋体" w:cs="宋体"/>
          <w:color w:val="auto"/>
          <w:sz w:val="40"/>
          <w:szCs w:val="40"/>
        </w:rPr>
      </w:pPr>
      <w:r>
        <w:rPr>
          <w:rFonts w:hint="eastAsia" w:ascii="宋体" w:hAnsi="宋体" w:eastAsia="宋体" w:cs="宋体"/>
          <w:color w:val="auto"/>
          <w:sz w:val="40"/>
          <w:szCs w:val="40"/>
        </w:rPr>
        <w:t>第五章</w:t>
      </w:r>
      <w:bookmarkStart w:id="13" w:name="_Toc269828236"/>
      <w:r>
        <w:rPr>
          <w:rFonts w:hint="eastAsia" w:ascii="宋体" w:hAnsi="宋体" w:eastAsia="宋体" w:cs="宋体"/>
          <w:color w:val="auto"/>
          <w:sz w:val="40"/>
          <w:szCs w:val="40"/>
        </w:rPr>
        <w:t xml:space="preserve"> 合同主要条款</w:t>
      </w:r>
      <w:bookmarkEnd w:id="13"/>
      <w:r>
        <w:rPr>
          <w:rFonts w:hint="eastAsia" w:ascii="宋体" w:hAnsi="宋体" w:eastAsia="宋体" w:cs="宋体"/>
          <w:color w:val="auto"/>
          <w:sz w:val="40"/>
          <w:szCs w:val="40"/>
        </w:rPr>
        <w:t>及格式</w:t>
      </w:r>
      <w:bookmarkEnd w:id="8"/>
      <w:bookmarkEnd w:id="12"/>
    </w:p>
    <w:p w14:paraId="43164426">
      <w:pPr>
        <w:spacing w:line="360" w:lineRule="auto"/>
        <w:jc w:val="center"/>
        <w:textAlignment w:val="baseline"/>
        <w:rPr>
          <w:rFonts w:hint="eastAsia" w:ascii="宋体" w:hAnsi="宋体" w:eastAsia="宋体" w:cs="宋体"/>
          <w:b/>
          <w:bCs/>
          <w:color w:val="auto"/>
          <w:kern w:val="0"/>
          <w:sz w:val="24"/>
          <w:szCs w:val="24"/>
        </w:rPr>
      </w:pPr>
    </w:p>
    <w:p w14:paraId="7463EBEC">
      <w:pPr>
        <w:spacing w:line="360" w:lineRule="auto"/>
        <w:jc w:val="center"/>
        <w:textAlignment w:val="baseline"/>
        <w:rPr>
          <w:rFonts w:hint="eastAsia" w:ascii="宋体" w:hAnsi="宋体" w:eastAsia="宋体" w:cs="宋体"/>
          <w:b/>
          <w:bCs/>
          <w:color w:val="auto"/>
          <w:kern w:val="0"/>
          <w:sz w:val="24"/>
          <w:szCs w:val="24"/>
        </w:rPr>
      </w:pPr>
    </w:p>
    <w:p w14:paraId="121C15C4">
      <w:pPr>
        <w:pStyle w:val="10"/>
        <w:numPr>
          <w:ilvl w:val="0"/>
          <w:numId w:val="0"/>
        </w:numPr>
        <w:ind w:leftChars="0"/>
        <w:jc w:val="center"/>
        <w:rPr>
          <w:rFonts w:hint="eastAsia" w:ascii="宋体" w:hAnsi="宋体" w:eastAsia="宋体" w:cs="宋体"/>
          <w:color w:val="auto"/>
          <w:lang w:eastAsia="zh-CN"/>
        </w:rPr>
      </w:pPr>
      <w:r>
        <w:rPr>
          <w:rFonts w:hint="eastAsia" w:ascii="宋体" w:hAnsi="宋体" w:eastAsia="宋体" w:cs="宋体"/>
          <w:color w:val="auto"/>
          <w:lang w:val="en-US" w:eastAsia="zh-CN"/>
        </w:rPr>
        <w:t>以实际签订合同为准</w:t>
      </w:r>
    </w:p>
    <w:p w14:paraId="38F94A67">
      <w:pPr>
        <w:rPr>
          <w:rFonts w:hint="eastAsia" w:ascii="宋体" w:hAnsi="宋体" w:eastAsia="宋体" w:cs="宋体"/>
          <w:b/>
          <w:bCs/>
          <w:color w:val="auto"/>
          <w:sz w:val="40"/>
          <w:szCs w:val="40"/>
        </w:rPr>
      </w:pPr>
      <w:r>
        <w:rPr>
          <w:rFonts w:hint="eastAsia" w:ascii="宋体" w:hAnsi="宋体" w:eastAsia="宋体" w:cs="宋体"/>
          <w:b/>
          <w:bCs/>
          <w:color w:val="auto"/>
          <w:sz w:val="40"/>
          <w:szCs w:val="40"/>
        </w:rPr>
        <w:br w:type="page"/>
      </w:r>
    </w:p>
    <w:p w14:paraId="1D44F845">
      <w:pPr>
        <w:spacing w:line="360" w:lineRule="auto"/>
        <w:jc w:val="center"/>
        <w:textAlignment w:val="baseline"/>
        <w:outlineLvl w:val="0"/>
        <w:rPr>
          <w:rFonts w:hint="eastAsia" w:ascii="宋体" w:hAnsi="宋体" w:eastAsia="宋体" w:cs="宋体"/>
          <w:b/>
          <w:bCs/>
          <w:color w:val="auto"/>
          <w:sz w:val="40"/>
          <w:szCs w:val="40"/>
        </w:rPr>
      </w:pPr>
      <w:bookmarkStart w:id="14" w:name="_Toc21640"/>
      <w:r>
        <w:rPr>
          <w:rFonts w:hint="eastAsia" w:ascii="宋体" w:hAnsi="宋体" w:eastAsia="宋体" w:cs="宋体"/>
          <w:b/>
          <w:bCs/>
          <w:color w:val="auto"/>
          <w:sz w:val="40"/>
          <w:szCs w:val="40"/>
        </w:rPr>
        <w:t xml:space="preserve">第六章 </w:t>
      </w:r>
      <w:r>
        <w:rPr>
          <w:rFonts w:hint="eastAsia" w:ascii="宋体" w:hAnsi="宋体" w:eastAsia="宋体" w:cs="宋体"/>
          <w:b/>
          <w:bCs/>
          <w:color w:val="auto"/>
          <w:sz w:val="40"/>
          <w:szCs w:val="40"/>
          <w:lang w:val="en-US" w:eastAsia="zh-CN"/>
        </w:rPr>
        <w:t>响应</w:t>
      </w:r>
      <w:r>
        <w:rPr>
          <w:rFonts w:hint="eastAsia" w:ascii="宋体" w:hAnsi="宋体" w:eastAsia="宋体" w:cs="宋体"/>
          <w:b/>
          <w:bCs/>
          <w:color w:val="auto"/>
          <w:sz w:val="40"/>
          <w:szCs w:val="40"/>
        </w:rPr>
        <w:t>文件格式</w:t>
      </w:r>
      <w:bookmarkEnd w:id="14"/>
    </w:p>
    <w:p w14:paraId="5D115FDB">
      <w:pPr>
        <w:pStyle w:val="3"/>
        <w:ind w:left="0" w:leftChars="0" w:firstLine="0" w:firstLineChars="0"/>
        <w:outlineLvl w:val="9"/>
        <w:rPr>
          <w:rFonts w:hint="eastAsia" w:ascii="宋体" w:hAnsi="宋体" w:eastAsia="宋体" w:cs="宋体"/>
          <w:color w:val="auto"/>
        </w:rPr>
      </w:pPr>
    </w:p>
    <w:p w14:paraId="6C19F528">
      <w:pPr>
        <w:widowControl/>
        <w:spacing w:line="360" w:lineRule="auto"/>
        <w:jc w:val="center"/>
        <w:rPr>
          <w:rFonts w:hint="eastAsia" w:ascii="宋体" w:hAnsi="宋体" w:eastAsia="宋体" w:cs="宋体"/>
          <w:b/>
          <w:bCs/>
          <w:color w:val="auto"/>
          <w:sz w:val="36"/>
          <w:szCs w:val="36"/>
          <w:u w:val="none"/>
          <w:lang w:val="en-US"/>
        </w:rPr>
      </w:pPr>
      <w:r>
        <w:rPr>
          <w:rFonts w:hint="eastAsia" w:ascii="宋体" w:hAnsi="宋体" w:eastAsia="宋体" w:cs="宋体"/>
          <w:b/>
          <w:bCs/>
          <w:color w:val="auto"/>
          <w:spacing w:val="0"/>
          <w:w w:val="100"/>
          <w:kern w:val="2"/>
          <w:sz w:val="36"/>
          <w:szCs w:val="36"/>
          <w:u w:val="single"/>
          <w:lang w:val="en-US" w:eastAsia="zh-CN"/>
        </w:rPr>
        <w:t xml:space="preserve">                    </w:t>
      </w:r>
      <w:r>
        <w:rPr>
          <w:rFonts w:hint="eastAsia" w:ascii="宋体" w:hAnsi="宋体" w:eastAsia="宋体" w:cs="宋体"/>
          <w:b/>
          <w:bCs/>
          <w:color w:val="auto"/>
          <w:spacing w:val="0"/>
          <w:w w:val="100"/>
          <w:kern w:val="2"/>
          <w:sz w:val="36"/>
          <w:szCs w:val="36"/>
          <w:u w:val="none"/>
          <w:lang w:val="en-US" w:eastAsia="zh-CN"/>
        </w:rPr>
        <w:t>（项目名称）</w:t>
      </w:r>
    </w:p>
    <w:p w14:paraId="52AC8A0C">
      <w:pPr>
        <w:pStyle w:val="18"/>
        <w:ind w:firstLine="210"/>
        <w:rPr>
          <w:rFonts w:hint="eastAsia" w:ascii="宋体" w:hAnsi="宋体" w:eastAsia="宋体" w:cs="宋体"/>
          <w:color w:val="auto"/>
        </w:rPr>
      </w:pPr>
    </w:p>
    <w:p w14:paraId="71CFFC85">
      <w:pPr>
        <w:widowControl/>
        <w:spacing w:line="360" w:lineRule="auto"/>
        <w:jc w:val="center"/>
        <w:rPr>
          <w:rFonts w:hint="eastAsia" w:ascii="宋体" w:hAnsi="宋体" w:eastAsia="宋体" w:cs="宋体"/>
          <w:b/>
          <w:bCs/>
          <w:color w:val="auto"/>
          <w:kern w:val="0"/>
          <w:sz w:val="84"/>
          <w:szCs w:val="84"/>
          <w:lang w:val="en-US" w:eastAsia="zh-CN"/>
        </w:rPr>
      </w:pPr>
    </w:p>
    <w:p w14:paraId="4991F3B0">
      <w:pPr>
        <w:widowControl/>
        <w:spacing w:line="360" w:lineRule="auto"/>
        <w:jc w:val="center"/>
        <w:rPr>
          <w:rFonts w:hint="eastAsia" w:ascii="宋体" w:hAnsi="宋体" w:eastAsia="宋体" w:cs="宋体"/>
          <w:b/>
          <w:bCs/>
          <w:color w:val="auto"/>
          <w:kern w:val="0"/>
          <w:sz w:val="84"/>
          <w:szCs w:val="84"/>
        </w:rPr>
      </w:pPr>
      <w:r>
        <w:rPr>
          <w:rFonts w:hint="eastAsia" w:ascii="宋体" w:hAnsi="宋体" w:eastAsia="宋体" w:cs="宋体"/>
          <w:b/>
          <w:bCs/>
          <w:color w:val="auto"/>
          <w:kern w:val="0"/>
          <w:sz w:val="84"/>
          <w:szCs w:val="84"/>
          <w:lang w:val="en-US" w:eastAsia="zh-CN"/>
        </w:rPr>
        <w:t>响 应</w:t>
      </w:r>
      <w:r>
        <w:rPr>
          <w:rFonts w:hint="eastAsia" w:ascii="宋体" w:hAnsi="宋体" w:eastAsia="宋体" w:cs="宋体"/>
          <w:b/>
          <w:bCs/>
          <w:color w:val="auto"/>
          <w:kern w:val="0"/>
          <w:sz w:val="84"/>
          <w:szCs w:val="84"/>
        </w:rPr>
        <w:t xml:space="preserve"> 文 件</w:t>
      </w:r>
    </w:p>
    <w:p w14:paraId="38E7148E">
      <w:pPr>
        <w:spacing w:line="360" w:lineRule="auto"/>
        <w:rPr>
          <w:rFonts w:hint="eastAsia" w:ascii="宋体" w:hAnsi="宋体" w:eastAsia="宋体" w:cs="宋体"/>
          <w:b/>
          <w:bCs/>
          <w:color w:val="auto"/>
          <w:sz w:val="32"/>
          <w:szCs w:val="32"/>
        </w:rPr>
      </w:pPr>
    </w:p>
    <w:p w14:paraId="71909D2E">
      <w:pPr>
        <w:ind w:firstLine="2891" w:firstLineChars="900"/>
        <w:rPr>
          <w:rFonts w:hint="default" w:ascii="宋体" w:hAnsi="宋体" w:eastAsia="宋体" w:cs="宋体"/>
          <w:bCs/>
          <w:color w:val="auto"/>
          <w:sz w:val="30"/>
          <w:szCs w:val="30"/>
          <w:u w:val="single"/>
          <w:lang w:val="en-US" w:eastAsia="zh-CN"/>
        </w:rPr>
      </w:pPr>
      <w:r>
        <w:rPr>
          <w:rFonts w:hint="eastAsia" w:ascii="宋体" w:hAnsi="宋体" w:eastAsia="宋体" w:cs="宋体"/>
          <w:b/>
          <w:bCs/>
          <w:color w:val="auto"/>
          <w:sz w:val="32"/>
          <w:szCs w:val="32"/>
        </w:rPr>
        <w:t>项目编号:</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u w:val="single"/>
          <w:lang w:val="en-US" w:eastAsia="zh-CN"/>
        </w:rPr>
        <w:t xml:space="preserve">            </w:t>
      </w:r>
    </w:p>
    <w:p w14:paraId="54CE6B7B">
      <w:pPr>
        <w:ind w:firstLine="1807" w:firstLineChars="600"/>
        <w:rPr>
          <w:rFonts w:hint="eastAsia" w:ascii="宋体" w:hAnsi="宋体" w:eastAsia="宋体" w:cs="宋体"/>
          <w:b/>
          <w:bCs/>
          <w:color w:val="auto"/>
          <w:sz w:val="32"/>
          <w:szCs w:val="32"/>
        </w:rPr>
      </w:pPr>
      <w:r>
        <w:rPr>
          <w:rFonts w:hint="eastAsia" w:ascii="宋体" w:hAnsi="宋体" w:eastAsia="宋体" w:cs="宋体"/>
          <w:b/>
          <w:bCs/>
          <w:color w:val="auto"/>
          <w:sz w:val="30"/>
          <w:szCs w:val="30"/>
          <w:lang w:eastAsia="zh-CN"/>
        </w:rPr>
        <w:t xml:space="preserve">    </w:t>
      </w:r>
    </w:p>
    <w:p w14:paraId="2DDE17F2">
      <w:pPr>
        <w:spacing w:line="480" w:lineRule="auto"/>
        <w:rPr>
          <w:rFonts w:hint="eastAsia" w:ascii="宋体" w:hAnsi="宋体" w:eastAsia="宋体" w:cs="宋体"/>
          <w:b/>
          <w:bCs/>
          <w:color w:val="auto"/>
          <w:sz w:val="28"/>
          <w:szCs w:val="28"/>
        </w:rPr>
      </w:pPr>
    </w:p>
    <w:p w14:paraId="162AA538">
      <w:pPr>
        <w:pStyle w:val="18"/>
        <w:ind w:firstLine="210"/>
        <w:rPr>
          <w:rFonts w:hint="eastAsia" w:ascii="宋体" w:hAnsi="宋体" w:eastAsia="宋体" w:cs="宋体"/>
          <w:color w:val="auto"/>
        </w:rPr>
      </w:pPr>
    </w:p>
    <w:p w14:paraId="6CD87999">
      <w:pPr>
        <w:pStyle w:val="18"/>
        <w:ind w:firstLine="0" w:firstLineChars="0"/>
        <w:rPr>
          <w:rFonts w:hint="eastAsia" w:ascii="宋体" w:hAnsi="宋体" w:eastAsia="宋体" w:cs="宋体"/>
          <w:color w:val="auto"/>
        </w:rPr>
      </w:pPr>
    </w:p>
    <w:p w14:paraId="032E273D">
      <w:pPr>
        <w:spacing w:line="480" w:lineRule="auto"/>
        <w:rPr>
          <w:rFonts w:hint="eastAsia" w:ascii="宋体" w:hAnsi="宋体" w:eastAsia="宋体" w:cs="宋体"/>
          <w:color w:val="auto"/>
          <w:sz w:val="28"/>
          <w:szCs w:val="28"/>
        </w:rPr>
      </w:pPr>
    </w:p>
    <w:p w14:paraId="249746E9">
      <w:pPr>
        <w:pStyle w:val="18"/>
        <w:ind w:firstLine="210"/>
        <w:rPr>
          <w:rFonts w:hint="eastAsia" w:ascii="宋体" w:hAnsi="宋体" w:eastAsia="宋体" w:cs="宋体"/>
          <w:color w:val="auto"/>
        </w:rPr>
      </w:pPr>
    </w:p>
    <w:p w14:paraId="56B43B47">
      <w:pPr>
        <w:pStyle w:val="3"/>
        <w:ind w:left="0" w:leftChars="0" w:firstLine="0" w:firstLineChars="0"/>
        <w:outlineLvl w:val="9"/>
        <w:rPr>
          <w:rFonts w:hint="eastAsia" w:ascii="宋体" w:hAnsi="宋体" w:eastAsia="宋体" w:cs="宋体"/>
          <w:color w:val="auto"/>
        </w:rPr>
      </w:pPr>
    </w:p>
    <w:p w14:paraId="1F9C0CC3">
      <w:pPr>
        <w:spacing w:line="360" w:lineRule="auto"/>
        <w:ind w:firstLine="1280" w:firstLineChars="400"/>
        <w:jc w:val="both"/>
        <w:rPr>
          <w:rFonts w:hint="eastAsia" w:ascii="宋体" w:hAnsi="宋体" w:eastAsia="宋体" w:cs="宋体"/>
          <w:color w:val="auto"/>
          <w:sz w:val="32"/>
          <w:szCs w:val="32"/>
        </w:rPr>
      </w:pPr>
      <w:r>
        <w:rPr>
          <w:rFonts w:hint="eastAsia" w:ascii="宋体" w:hAnsi="宋体" w:eastAsia="宋体" w:cs="宋体"/>
          <w:color w:val="auto"/>
          <w:sz w:val="32"/>
          <w:szCs w:val="32"/>
        </w:rPr>
        <w:t>供应商名称 ：</w:t>
      </w:r>
      <w:r>
        <w:rPr>
          <w:rFonts w:hint="eastAsia" w:ascii="宋体" w:hAnsi="宋体" w:eastAsia="宋体" w:cs="宋体"/>
          <w:color w:val="auto"/>
          <w:sz w:val="32"/>
          <w:szCs w:val="32"/>
          <w:u w:val="single"/>
          <w:lang w:val="en-US" w:eastAsia="zh-CN"/>
        </w:rPr>
        <w:t xml:space="preserve">             </w:t>
      </w:r>
      <w:r>
        <w:rPr>
          <w:rFonts w:hint="eastAsia" w:ascii="宋体" w:hAnsi="宋体" w:eastAsia="宋体" w:cs="宋体"/>
          <w:color w:val="auto"/>
          <w:sz w:val="32"/>
          <w:szCs w:val="32"/>
        </w:rPr>
        <w:t>（盖章）</w:t>
      </w:r>
    </w:p>
    <w:p w14:paraId="5FF90D94">
      <w:pPr>
        <w:spacing w:line="360"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rPr>
        <w:t>法定代表人：</w:t>
      </w:r>
      <w:r>
        <w:rPr>
          <w:rFonts w:hint="eastAsia" w:ascii="宋体" w:hAnsi="宋体" w:eastAsia="宋体" w:cs="宋体"/>
          <w:color w:val="auto"/>
          <w:sz w:val="32"/>
          <w:szCs w:val="32"/>
          <w:u w:val="single"/>
          <w:lang w:val="en-US" w:eastAsia="zh-CN"/>
        </w:rPr>
        <w:t xml:space="preserve">                 </w:t>
      </w:r>
      <w:r>
        <w:rPr>
          <w:rFonts w:hint="eastAsia" w:ascii="宋体" w:hAnsi="宋体" w:eastAsia="宋体" w:cs="宋体"/>
          <w:color w:val="auto"/>
          <w:sz w:val="32"/>
          <w:szCs w:val="32"/>
          <w:u w:val="none"/>
        </w:rPr>
        <w:t>（</w:t>
      </w:r>
      <w:r>
        <w:rPr>
          <w:rFonts w:hint="eastAsia" w:ascii="宋体" w:hAnsi="宋体" w:eastAsia="宋体" w:cs="宋体"/>
          <w:color w:val="auto"/>
          <w:sz w:val="32"/>
          <w:szCs w:val="32"/>
        </w:rPr>
        <w:t>签字或盖章）</w:t>
      </w:r>
    </w:p>
    <w:p w14:paraId="7EF3ED21">
      <w:pPr>
        <w:jc w:val="center"/>
        <w:rPr>
          <w:rFonts w:hint="eastAsia" w:ascii="宋体" w:hAnsi="宋体" w:eastAsia="宋体" w:cs="宋体"/>
          <w:color w:val="auto"/>
          <w:sz w:val="32"/>
          <w:szCs w:val="32"/>
        </w:rPr>
      </w:pPr>
      <w:r>
        <w:rPr>
          <w:rFonts w:hint="eastAsia" w:ascii="宋体" w:hAnsi="宋体" w:eastAsia="宋体" w:cs="宋体"/>
          <w:color w:val="auto"/>
          <w:sz w:val="32"/>
          <w:szCs w:val="32"/>
        </w:rPr>
        <w:t>年  月  日</w:t>
      </w:r>
    </w:p>
    <w:p w14:paraId="6F72F1F6">
      <w:pPr>
        <w:rPr>
          <w:rFonts w:hint="eastAsia" w:ascii="宋体" w:hAnsi="宋体" w:eastAsia="宋体" w:cs="宋体"/>
          <w:color w:val="auto"/>
        </w:rPr>
      </w:pPr>
    </w:p>
    <w:p w14:paraId="547F319D">
      <w:pPr>
        <w:spacing w:line="360" w:lineRule="auto"/>
        <w:ind w:firstLine="1066" w:firstLineChars="295"/>
        <w:jc w:val="center"/>
        <w:rPr>
          <w:rFonts w:hint="eastAsia" w:ascii="宋体" w:hAnsi="宋体" w:eastAsia="宋体" w:cs="宋体"/>
          <w:b/>
          <w:bCs/>
          <w:color w:val="auto"/>
          <w:sz w:val="36"/>
          <w:szCs w:val="36"/>
        </w:rPr>
      </w:pPr>
    </w:p>
    <w:p w14:paraId="457ABEBA">
      <w:pPr>
        <w:spacing w:line="360" w:lineRule="auto"/>
        <w:jc w:val="center"/>
        <w:rPr>
          <w:rFonts w:hint="eastAsia" w:ascii="宋体" w:hAnsi="宋体" w:eastAsia="宋体" w:cs="宋体"/>
          <w:b/>
          <w:bCs/>
          <w:color w:val="auto"/>
          <w:sz w:val="36"/>
          <w:szCs w:val="36"/>
        </w:rPr>
      </w:pPr>
    </w:p>
    <w:p w14:paraId="0E8A05A1">
      <w:pPr>
        <w:rPr>
          <w:rFonts w:hint="eastAsia" w:ascii="宋体" w:hAnsi="宋体" w:eastAsia="宋体" w:cs="宋体"/>
          <w:b/>
          <w:bCs/>
          <w:color w:val="auto"/>
          <w:sz w:val="36"/>
          <w:szCs w:val="36"/>
        </w:rPr>
      </w:pPr>
      <w:r>
        <w:rPr>
          <w:rFonts w:hint="eastAsia" w:ascii="宋体" w:hAnsi="宋体" w:eastAsia="宋体" w:cs="宋体"/>
          <w:b/>
          <w:bCs/>
          <w:color w:val="auto"/>
          <w:sz w:val="36"/>
          <w:szCs w:val="36"/>
        </w:rPr>
        <w:br w:type="page"/>
      </w:r>
    </w:p>
    <w:p w14:paraId="6FE1B650">
      <w:pPr>
        <w:spacing w:line="360" w:lineRule="auto"/>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目录</w:t>
      </w:r>
    </w:p>
    <w:p w14:paraId="1AC995E3">
      <w:pPr>
        <w:spacing w:line="360" w:lineRule="auto"/>
        <w:rPr>
          <w:rFonts w:hint="eastAsia" w:ascii="宋体" w:hAnsi="宋体" w:eastAsia="宋体" w:cs="宋体"/>
          <w:bCs/>
          <w:color w:val="auto"/>
          <w:sz w:val="24"/>
          <w:szCs w:val="24"/>
        </w:rPr>
      </w:pPr>
    </w:p>
    <w:p w14:paraId="456165DE">
      <w:pPr>
        <w:spacing w:beforeLines="100" w:line="510" w:lineRule="exact"/>
        <w:ind w:left="1260" w:leftChars="600"/>
        <w:rPr>
          <w:rFonts w:hint="eastAsia" w:ascii="宋体" w:hAnsi="宋体" w:eastAsia="宋体" w:cs="宋体"/>
          <w:color w:val="auto"/>
          <w:sz w:val="24"/>
          <w:lang w:val="zh-CN"/>
        </w:rPr>
      </w:pPr>
      <w:r>
        <w:rPr>
          <w:rFonts w:hint="eastAsia" w:ascii="宋体" w:hAnsi="宋体" w:eastAsia="宋体" w:cs="宋体"/>
          <w:color w:val="auto"/>
          <w:sz w:val="24"/>
          <w:lang w:val="zh-CN"/>
        </w:rPr>
        <w:t>一、响应函及响应函附录</w:t>
      </w:r>
    </w:p>
    <w:p w14:paraId="636CD175">
      <w:pPr>
        <w:spacing w:beforeLines="100" w:line="510" w:lineRule="exact"/>
        <w:ind w:left="1260" w:leftChars="600"/>
        <w:rPr>
          <w:rFonts w:hint="eastAsia" w:ascii="宋体" w:hAnsi="宋体" w:eastAsia="宋体" w:cs="宋体"/>
          <w:color w:val="auto"/>
          <w:sz w:val="24"/>
          <w:lang w:val="zh-CN"/>
        </w:rPr>
      </w:pPr>
      <w:r>
        <w:rPr>
          <w:rFonts w:hint="eastAsia" w:ascii="宋体" w:hAnsi="宋体" w:eastAsia="宋体" w:cs="宋体"/>
          <w:color w:val="auto"/>
          <w:sz w:val="24"/>
          <w:lang w:val="zh-CN"/>
        </w:rPr>
        <w:t>二、法定代表人身份证明</w:t>
      </w:r>
    </w:p>
    <w:p w14:paraId="01CD80E3">
      <w:pPr>
        <w:spacing w:beforeLines="100" w:line="510" w:lineRule="exact"/>
        <w:ind w:left="1260" w:leftChars="600"/>
        <w:rPr>
          <w:rFonts w:hint="eastAsia" w:ascii="宋体" w:hAnsi="宋体" w:eastAsia="宋体" w:cs="宋体"/>
          <w:color w:val="auto"/>
          <w:sz w:val="24"/>
          <w:lang w:val="zh-CN"/>
        </w:rPr>
      </w:pPr>
      <w:r>
        <w:rPr>
          <w:rFonts w:hint="eastAsia" w:ascii="宋体" w:hAnsi="宋体" w:eastAsia="宋体" w:cs="宋体"/>
          <w:color w:val="auto"/>
          <w:sz w:val="24"/>
          <w:lang w:val="zh-CN"/>
        </w:rPr>
        <w:t>三、授权委托书</w:t>
      </w:r>
    </w:p>
    <w:p w14:paraId="1C488BC6">
      <w:pPr>
        <w:spacing w:beforeLines="100" w:line="510" w:lineRule="exact"/>
        <w:ind w:left="1260" w:leftChars="600"/>
        <w:rPr>
          <w:rFonts w:hint="eastAsia" w:ascii="宋体" w:hAnsi="宋体" w:eastAsia="宋体" w:cs="宋体"/>
          <w:color w:val="auto"/>
          <w:sz w:val="24"/>
        </w:rPr>
      </w:pPr>
      <w:r>
        <w:rPr>
          <w:rFonts w:hint="eastAsia" w:ascii="宋体" w:hAnsi="宋体" w:eastAsia="宋体" w:cs="宋体"/>
          <w:color w:val="auto"/>
          <w:sz w:val="24"/>
          <w:lang w:val="zh-CN"/>
        </w:rPr>
        <w:t>四、</w:t>
      </w:r>
      <w:r>
        <w:rPr>
          <w:rFonts w:hint="eastAsia" w:ascii="宋体" w:hAnsi="宋体" w:eastAsia="宋体" w:cs="宋体"/>
          <w:color w:val="auto"/>
          <w:sz w:val="24"/>
        </w:rPr>
        <w:t>资格审查</w:t>
      </w:r>
    </w:p>
    <w:p w14:paraId="64EA0422">
      <w:pPr>
        <w:spacing w:beforeLines="100" w:line="510" w:lineRule="exact"/>
        <w:ind w:left="1260" w:leftChars="600"/>
        <w:rPr>
          <w:rFonts w:hint="eastAsia" w:ascii="宋体" w:hAnsi="宋体" w:eastAsia="宋体" w:cs="宋体"/>
          <w:color w:val="auto"/>
          <w:sz w:val="24"/>
          <w:lang w:val="zh-CN"/>
        </w:rPr>
      </w:pPr>
      <w:r>
        <w:rPr>
          <w:rFonts w:hint="eastAsia" w:ascii="宋体" w:hAnsi="宋体" w:eastAsia="宋体" w:cs="宋体"/>
          <w:color w:val="auto"/>
          <w:sz w:val="24"/>
          <w:lang w:val="zh-CN"/>
        </w:rPr>
        <w:t>五、供应商基本情况表</w:t>
      </w:r>
    </w:p>
    <w:p w14:paraId="31228A66">
      <w:pPr>
        <w:spacing w:beforeLines="100" w:line="510" w:lineRule="exact"/>
        <w:ind w:left="1260" w:leftChars="600"/>
        <w:rPr>
          <w:rFonts w:hint="eastAsia" w:ascii="宋体" w:hAnsi="宋体" w:eastAsia="宋体" w:cs="宋体"/>
          <w:color w:val="auto"/>
          <w:sz w:val="24"/>
        </w:rPr>
      </w:pPr>
      <w:r>
        <w:rPr>
          <w:rFonts w:hint="eastAsia" w:ascii="宋体" w:hAnsi="宋体" w:eastAsia="宋体" w:cs="宋体"/>
          <w:color w:val="auto"/>
          <w:sz w:val="24"/>
        </w:rPr>
        <w:t>六</w:t>
      </w:r>
      <w:r>
        <w:rPr>
          <w:rFonts w:hint="eastAsia" w:ascii="宋体" w:hAnsi="宋体" w:eastAsia="宋体" w:cs="宋体"/>
          <w:color w:val="auto"/>
          <w:sz w:val="24"/>
          <w:lang w:val="zh-CN"/>
        </w:rPr>
        <w:t>、</w:t>
      </w:r>
      <w:r>
        <w:rPr>
          <w:rFonts w:hint="eastAsia" w:ascii="宋体" w:hAnsi="宋体" w:eastAsia="宋体" w:cs="宋体"/>
          <w:color w:val="auto"/>
          <w:sz w:val="24"/>
        </w:rPr>
        <w:t>技术部分</w:t>
      </w:r>
    </w:p>
    <w:p w14:paraId="25058B38">
      <w:pPr>
        <w:spacing w:beforeLines="100" w:line="510" w:lineRule="exact"/>
        <w:ind w:left="1260" w:leftChars="600"/>
        <w:rPr>
          <w:rFonts w:hint="eastAsia" w:ascii="宋体" w:hAnsi="宋体" w:eastAsia="宋体" w:cs="宋体"/>
          <w:color w:val="auto"/>
          <w:sz w:val="24"/>
          <w:lang w:val="zh-CN"/>
        </w:rPr>
      </w:pPr>
      <w:r>
        <w:rPr>
          <w:rFonts w:hint="eastAsia" w:ascii="宋体" w:hAnsi="宋体" w:eastAsia="宋体" w:cs="宋体"/>
          <w:color w:val="auto"/>
          <w:sz w:val="24"/>
        </w:rPr>
        <w:t>七</w:t>
      </w:r>
      <w:r>
        <w:rPr>
          <w:rFonts w:hint="eastAsia" w:ascii="宋体" w:hAnsi="宋体" w:eastAsia="宋体" w:cs="宋体"/>
          <w:color w:val="auto"/>
          <w:sz w:val="24"/>
          <w:lang w:val="zh-CN"/>
        </w:rPr>
        <w:t>、</w:t>
      </w:r>
      <w:r>
        <w:rPr>
          <w:rFonts w:hint="eastAsia" w:ascii="宋体" w:hAnsi="宋体" w:eastAsia="宋体" w:cs="宋体"/>
          <w:color w:val="auto"/>
          <w:sz w:val="24"/>
        </w:rPr>
        <w:t>商务部分</w:t>
      </w:r>
    </w:p>
    <w:p w14:paraId="4EEF6407">
      <w:pPr>
        <w:spacing w:beforeLines="100" w:line="510" w:lineRule="exact"/>
        <w:ind w:left="1260" w:leftChars="600"/>
        <w:rPr>
          <w:rFonts w:hint="eastAsia" w:ascii="宋体" w:hAnsi="宋体" w:eastAsia="宋体" w:cs="宋体"/>
          <w:color w:val="auto"/>
          <w:sz w:val="24"/>
        </w:rPr>
      </w:pPr>
      <w:r>
        <w:rPr>
          <w:rFonts w:hint="eastAsia" w:ascii="宋体" w:hAnsi="宋体" w:eastAsia="宋体" w:cs="宋体"/>
          <w:color w:val="auto"/>
          <w:sz w:val="24"/>
        </w:rPr>
        <w:t>八</w:t>
      </w:r>
      <w:r>
        <w:rPr>
          <w:rFonts w:hint="eastAsia" w:ascii="宋体" w:hAnsi="宋体" w:eastAsia="宋体" w:cs="宋体"/>
          <w:color w:val="auto"/>
          <w:sz w:val="24"/>
          <w:lang w:val="zh-CN"/>
        </w:rPr>
        <w:t>、其他内容</w:t>
      </w:r>
    </w:p>
    <w:p w14:paraId="6D891448">
      <w:pPr>
        <w:spacing w:beforeLines="100" w:line="510" w:lineRule="exact"/>
        <w:rPr>
          <w:rFonts w:hint="eastAsia" w:ascii="宋体" w:hAnsi="宋体" w:eastAsia="宋体" w:cs="宋体"/>
          <w:color w:val="auto"/>
          <w:sz w:val="24"/>
        </w:rPr>
      </w:pPr>
    </w:p>
    <w:p w14:paraId="7C2EA436">
      <w:pPr>
        <w:spacing w:beforeLines="100" w:line="510" w:lineRule="exact"/>
        <w:rPr>
          <w:rFonts w:hint="eastAsia" w:ascii="宋体" w:hAnsi="宋体" w:eastAsia="宋体" w:cs="宋体"/>
          <w:color w:val="auto"/>
          <w:sz w:val="24"/>
        </w:rPr>
      </w:pPr>
    </w:p>
    <w:p w14:paraId="6E01BF64">
      <w:pPr>
        <w:spacing w:beforeLines="100" w:line="510" w:lineRule="exact"/>
        <w:rPr>
          <w:rFonts w:hint="eastAsia" w:ascii="宋体" w:hAnsi="宋体" w:eastAsia="宋体" w:cs="宋体"/>
          <w:color w:val="auto"/>
          <w:sz w:val="24"/>
        </w:rPr>
      </w:pPr>
    </w:p>
    <w:p w14:paraId="18FDACF3">
      <w:pPr>
        <w:spacing w:beforeLines="100" w:line="510" w:lineRule="exact"/>
        <w:rPr>
          <w:rFonts w:hint="eastAsia" w:ascii="宋体" w:hAnsi="宋体" w:eastAsia="宋体" w:cs="宋体"/>
          <w:color w:val="auto"/>
          <w:sz w:val="24"/>
        </w:rPr>
      </w:pPr>
    </w:p>
    <w:p w14:paraId="11247053">
      <w:pPr>
        <w:spacing w:beforeLines="100" w:line="510" w:lineRule="exact"/>
        <w:rPr>
          <w:rFonts w:hint="eastAsia" w:ascii="宋体" w:hAnsi="宋体" w:eastAsia="宋体" w:cs="宋体"/>
          <w:color w:val="auto"/>
          <w:sz w:val="24"/>
        </w:rPr>
      </w:pPr>
      <w:r>
        <w:rPr>
          <w:rFonts w:hint="eastAsia" w:ascii="宋体" w:hAnsi="宋体" w:eastAsia="宋体" w:cs="宋体"/>
          <w:color w:val="auto"/>
          <w:sz w:val="24"/>
        </w:rPr>
        <w:br w:type="page"/>
      </w:r>
    </w:p>
    <w:p w14:paraId="00399DD9">
      <w:pPr>
        <w:pStyle w:val="3"/>
        <w:pageBreakBefore w:val="0"/>
        <w:widowControl w:val="0"/>
        <w:kinsoku/>
        <w:overflowPunct/>
        <w:autoSpaceDE/>
        <w:autoSpaceDN/>
        <w:bidi w:val="0"/>
        <w:adjustRightInd/>
        <w:spacing w:before="0" w:beforeAutospacing="0" w:after="0" w:afterAutospacing="0" w:line="480" w:lineRule="auto"/>
        <w:rPr>
          <w:rFonts w:hint="eastAsia"/>
          <w:color w:val="auto"/>
          <w:lang w:val="en-US" w:eastAsia="zh-CN"/>
        </w:rPr>
      </w:pPr>
      <w:bookmarkStart w:id="15" w:name="_Toc375041763"/>
      <w:bookmarkStart w:id="16" w:name="_Toc374947247"/>
      <w:bookmarkStart w:id="17" w:name="_Toc375041320"/>
      <w:bookmarkStart w:id="18" w:name="_Toc375041569"/>
      <w:bookmarkStart w:id="19" w:name="_Toc375040623"/>
      <w:bookmarkStart w:id="20" w:name="_Toc375040687"/>
      <w:bookmarkStart w:id="21" w:name="_Toc384309419"/>
      <w:r>
        <w:rPr>
          <w:rFonts w:hint="eastAsia"/>
          <w:color w:val="auto"/>
          <w:lang w:val="en-US" w:eastAsia="zh-CN"/>
        </w:rPr>
        <w:t>一、响应函及</w:t>
      </w:r>
      <w:bookmarkEnd w:id="15"/>
      <w:bookmarkEnd w:id="16"/>
      <w:bookmarkEnd w:id="17"/>
      <w:bookmarkEnd w:id="18"/>
      <w:bookmarkEnd w:id="19"/>
      <w:bookmarkEnd w:id="20"/>
      <w:bookmarkEnd w:id="21"/>
      <w:r>
        <w:rPr>
          <w:rFonts w:hint="eastAsia"/>
          <w:color w:val="auto"/>
          <w:lang w:val="en-US" w:eastAsia="zh-CN"/>
        </w:rPr>
        <w:t>响应函附录</w:t>
      </w:r>
    </w:p>
    <w:p w14:paraId="53633F02">
      <w:pPr>
        <w:pageBreakBefore w:val="0"/>
        <w:widowControl w:val="0"/>
        <w:kinsoku/>
        <w:overflowPunct/>
        <w:autoSpaceDE/>
        <w:autoSpaceDN/>
        <w:bidi w:val="0"/>
        <w:adjustRightInd/>
        <w:spacing w:beforeAutospacing="0" w:afterAutospacing="0" w:line="480" w:lineRule="auto"/>
        <w:jc w:val="center"/>
        <w:rPr>
          <w:rFonts w:hint="eastAsia" w:ascii="宋体" w:hAnsi="宋体" w:eastAsia="宋体" w:cs="宋体"/>
          <w:b/>
          <w:color w:val="auto"/>
          <w:sz w:val="24"/>
        </w:rPr>
      </w:pPr>
      <w:bookmarkStart w:id="22" w:name="_Toc375041570"/>
      <w:bookmarkStart w:id="23" w:name="_Toc375041321"/>
      <w:r>
        <w:rPr>
          <w:rFonts w:hint="eastAsia" w:ascii="宋体" w:hAnsi="宋体" w:eastAsia="宋体" w:cs="宋体"/>
          <w:b/>
          <w:color w:val="auto"/>
          <w:sz w:val="24"/>
        </w:rPr>
        <w:t>（一）响应函</w:t>
      </w:r>
      <w:bookmarkEnd w:id="22"/>
      <w:bookmarkEnd w:id="23"/>
    </w:p>
    <w:p w14:paraId="20139CF7">
      <w:pPr>
        <w:pageBreakBefore w:val="0"/>
        <w:widowControl w:val="0"/>
        <w:kinsoku/>
        <w:overflowPunct/>
        <w:autoSpaceDE/>
        <w:autoSpaceDN/>
        <w:bidi w:val="0"/>
        <w:adjustRightInd/>
        <w:spacing w:beforeAutospacing="0" w:afterAutospacing="0" w:line="480" w:lineRule="auto"/>
        <w:rPr>
          <w:rFonts w:hint="eastAsia" w:ascii="宋体" w:hAnsi="宋体" w:eastAsia="宋体" w:cs="宋体"/>
          <w:color w:val="auto"/>
          <w:sz w:val="24"/>
          <w:szCs w:val="24"/>
          <w:u w:val="single"/>
          <w:lang w:bidi="zh-CN"/>
        </w:rPr>
      </w:pPr>
      <w:r>
        <w:rPr>
          <w:rFonts w:hint="eastAsia" w:ascii="宋体" w:hAnsi="宋体" w:eastAsia="宋体" w:cs="宋体"/>
          <w:color w:val="auto"/>
          <w:sz w:val="24"/>
          <w:szCs w:val="24"/>
          <w:u w:val="single"/>
          <w:lang w:bidi="zh-CN"/>
        </w:rPr>
        <w:t>致：</w:t>
      </w:r>
      <w:r>
        <w:rPr>
          <w:rFonts w:hint="eastAsia" w:ascii="宋体" w:hAnsi="宋体" w:eastAsia="宋体" w:cs="宋体"/>
          <w:color w:val="auto"/>
          <w:sz w:val="24"/>
          <w:szCs w:val="24"/>
          <w:u w:val="single"/>
          <w:lang w:val="en-US" w:bidi="zh-CN"/>
        </w:rPr>
        <w:t xml:space="preserve">          </w:t>
      </w:r>
      <w:r>
        <w:rPr>
          <w:rFonts w:hint="eastAsia" w:ascii="宋体" w:hAnsi="宋体" w:eastAsia="宋体" w:cs="宋体"/>
          <w:color w:val="auto"/>
          <w:sz w:val="24"/>
          <w:szCs w:val="24"/>
          <w:u w:val="single"/>
          <w:lang w:bidi="zh-CN"/>
        </w:rPr>
        <w:t>（采购人名称）：</w:t>
      </w:r>
    </w:p>
    <w:p w14:paraId="678AE868">
      <w:pPr>
        <w:pageBreakBefore w:val="0"/>
        <w:widowControl w:val="0"/>
        <w:numPr>
          <w:ilvl w:val="0"/>
          <w:numId w:val="2"/>
        </w:numPr>
        <w:kinsoku/>
        <w:wordWrap w:val="0"/>
        <w:overflowPunct/>
        <w:topLinePunct/>
        <w:autoSpaceDE/>
        <w:autoSpaceDN/>
        <w:bidi w:val="0"/>
        <w:adjustRightInd/>
        <w:snapToGrid w:val="0"/>
        <w:spacing w:beforeAutospacing="0" w:afterAutospacing="0" w:line="48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bidi="zh-CN"/>
        </w:rPr>
        <w:t>我方已仔细研究了</w:t>
      </w:r>
      <w:r>
        <w:rPr>
          <w:rFonts w:hint="eastAsia" w:ascii="宋体" w:hAnsi="宋体" w:eastAsia="宋体" w:cs="宋体"/>
          <w:color w:val="auto"/>
          <w:sz w:val="24"/>
          <w:szCs w:val="24"/>
          <w:u w:val="single"/>
          <w:lang w:bidi="zh-CN"/>
        </w:rPr>
        <w:t xml:space="preserve"> </w:t>
      </w:r>
      <w:r>
        <w:rPr>
          <w:rFonts w:hint="eastAsia" w:ascii="宋体" w:hAnsi="宋体" w:eastAsia="宋体" w:cs="宋体"/>
          <w:color w:val="auto"/>
          <w:sz w:val="24"/>
          <w:szCs w:val="24"/>
          <w:u w:val="single"/>
          <w:lang w:val="en-US" w:bidi="zh-CN"/>
        </w:rPr>
        <w:t xml:space="preserve">                        </w:t>
      </w:r>
      <w:r>
        <w:rPr>
          <w:rFonts w:hint="eastAsia" w:ascii="宋体" w:hAnsi="宋体" w:eastAsia="宋体" w:cs="宋体"/>
          <w:color w:val="auto"/>
          <w:sz w:val="24"/>
          <w:szCs w:val="24"/>
          <w:u w:val="single"/>
          <w:lang w:bidi="zh-CN"/>
        </w:rPr>
        <w:t>（项目名称）</w:t>
      </w:r>
      <w:r>
        <w:rPr>
          <w:rFonts w:hint="eastAsia" w:ascii="宋体" w:hAnsi="宋体" w:eastAsia="宋体" w:cs="宋体"/>
          <w:color w:val="auto"/>
          <w:sz w:val="24"/>
          <w:szCs w:val="24"/>
          <w:lang w:bidi="zh-CN"/>
        </w:rPr>
        <w:t>磋商文件的全部内容，愿以报价</w:t>
      </w:r>
      <w:r>
        <w:rPr>
          <w:rFonts w:hint="eastAsia" w:ascii="宋体" w:hAnsi="宋体" w:eastAsia="宋体" w:cs="宋体"/>
          <w:color w:val="auto"/>
          <w:sz w:val="24"/>
          <w:szCs w:val="24"/>
          <w:lang w:val="en-US" w:bidi="zh-CN"/>
        </w:rPr>
        <w:t xml:space="preserve"> </w:t>
      </w:r>
      <w:r>
        <w:rPr>
          <w:rFonts w:hint="eastAsia" w:ascii="宋体" w:hAnsi="宋体" w:eastAsia="宋体" w:cs="宋体"/>
          <w:color w:val="auto"/>
          <w:sz w:val="24"/>
          <w:szCs w:val="24"/>
          <w:u w:val="single"/>
          <w:lang w:val="en-US" w:bidi="zh-CN"/>
        </w:rPr>
        <w:t xml:space="preserve">        </w:t>
      </w:r>
      <w:r>
        <w:rPr>
          <w:rFonts w:hint="eastAsia" w:ascii="宋体" w:hAnsi="宋体" w:eastAsia="宋体" w:cs="宋体"/>
          <w:color w:val="auto"/>
          <w:sz w:val="24"/>
          <w:szCs w:val="24"/>
          <w:lang w:val="en-US" w:bidi="zh-CN"/>
        </w:rPr>
        <w:t xml:space="preserve"> </w:t>
      </w:r>
      <w:r>
        <w:rPr>
          <w:rFonts w:hint="eastAsia" w:ascii="宋体" w:hAnsi="宋体" w:eastAsia="宋体" w:cs="宋体"/>
          <w:color w:val="auto"/>
          <w:sz w:val="24"/>
          <w:szCs w:val="24"/>
          <w:lang w:bidi="zh-CN"/>
        </w:rPr>
        <w:t>（大写）</w:t>
      </w:r>
      <w:r>
        <w:rPr>
          <w:rFonts w:hint="eastAsia" w:ascii="宋体" w:hAnsi="宋体" w:eastAsia="宋体" w:cs="宋体"/>
          <w:color w:val="auto"/>
          <w:sz w:val="24"/>
          <w:szCs w:val="24"/>
          <w:lang w:val="en-US" w:bidi="zh-CN"/>
        </w:rPr>
        <w:t xml:space="preserve"> </w:t>
      </w:r>
      <w:r>
        <w:rPr>
          <w:rFonts w:hint="eastAsia" w:ascii="宋体" w:hAnsi="宋体" w:eastAsia="宋体" w:cs="宋体"/>
          <w:color w:val="auto"/>
          <w:sz w:val="24"/>
          <w:szCs w:val="24"/>
          <w:u w:val="single"/>
          <w:lang w:val="en-US" w:bidi="zh-CN"/>
        </w:rPr>
        <w:t xml:space="preserve">          </w:t>
      </w:r>
      <w:r>
        <w:rPr>
          <w:rFonts w:hint="eastAsia" w:ascii="宋体" w:hAnsi="宋体" w:eastAsia="宋体" w:cs="宋体"/>
          <w:color w:val="auto"/>
          <w:sz w:val="24"/>
          <w:szCs w:val="24"/>
          <w:lang w:bidi="zh-CN"/>
        </w:rPr>
        <w:t>（小写），对本项目进行第一轮报价；服务</w:t>
      </w:r>
      <w:r>
        <w:rPr>
          <w:rFonts w:hint="eastAsia" w:ascii="宋体" w:hAnsi="宋体" w:cs="宋体"/>
          <w:color w:val="auto"/>
          <w:sz w:val="24"/>
          <w:szCs w:val="24"/>
          <w:lang w:val="en-US" w:bidi="zh-CN"/>
        </w:rPr>
        <w:t>周期</w:t>
      </w:r>
      <w:r>
        <w:rPr>
          <w:rFonts w:hint="eastAsia" w:ascii="宋体" w:hAnsi="宋体" w:eastAsia="宋体" w:cs="宋体"/>
          <w:color w:val="auto"/>
          <w:sz w:val="24"/>
          <w:szCs w:val="24"/>
          <w:u w:val="single"/>
          <w:lang w:val="en-US" w:bidi="zh-CN"/>
        </w:rPr>
        <w:t xml:space="preserve">         </w:t>
      </w:r>
      <w:r>
        <w:rPr>
          <w:rFonts w:hint="eastAsia" w:ascii="宋体" w:hAnsi="宋体" w:eastAsia="宋体" w:cs="宋体"/>
          <w:color w:val="auto"/>
          <w:sz w:val="24"/>
          <w:szCs w:val="24"/>
          <w:lang w:bidi="zh-CN"/>
        </w:rPr>
        <w:t>，质量要求</w:t>
      </w:r>
      <w:r>
        <w:rPr>
          <w:rFonts w:hint="eastAsia" w:ascii="宋体" w:hAnsi="宋体" w:eastAsia="宋体" w:cs="宋体"/>
          <w:color w:val="auto"/>
          <w:sz w:val="24"/>
          <w:szCs w:val="24"/>
          <w:lang w:val="en-US" w:bidi="zh-CN"/>
        </w:rPr>
        <w:t xml:space="preserve"> </w:t>
      </w:r>
      <w:r>
        <w:rPr>
          <w:rFonts w:hint="eastAsia" w:ascii="宋体" w:hAnsi="宋体" w:eastAsia="宋体" w:cs="宋体"/>
          <w:color w:val="auto"/>
          <w:sz w:val="24"/>
          <w:szCs w:val="24"/>
          <w:u w:val="single"/>
          <w:lang w:val="en-US" w:bidi="zh-CN"/>
        </w:rPr>
        <w:t xml:space="preserve">            </w:t>
      </w:r>
      <w:r>
        <w:rPr>
          <w:rFonts w:hint="eastAsia" w:ascii="宋体" w:hAnsi="宋体" w:eastAsia="宋体" w:cs="宋体"/>
          <w:color w:val="auto"/>
          <w:sz w:val="24"/>
          <w:szCs w:val="24"/>
          <w:lang w:bidi="zh-CN"/>
        </w:rPr>
        <w:t>。</w:t>
      </w:r>
    </w:p>
    <w:p w14:paraId="6742A730">
      <w:pPr>
        <w:pageBreakBefore w:val="0"/>
        <w:widowControl w:val="0"/>
        <w:kinsoku/>
        <w:overflowPunct/>
        <w:autoSpaceDE/>
        <w:autoSpaceDN/>
        <w:bidi w:val="0"/>
        <w:adjustRightInd/>
        <w:spacing w:beforeAutospacing="0" w:afterAutospacing="0" w:line="480" w:lineRule="auto"/>
        <w:ind w:firstLine="480" w:firstLineChars="200"/>
        <w:rPr>
          <w:rFonts w:hint="eastAsia" w:ascii="宋体" w:hAnsi="宋体" w:eastAsia="宋体" w:cs="宋体"/>
          <w:color w:val="auto"/>
          <w:sz w:val="24"/>
          <w:szCs w:val="24"/>
          <w:u w:val="single"/>
          <w:lang w:bidi="zh-CN"/>
        </w:rPr>
      </w:pPr>
      <w:r>
        <w:rPr>
          <w:rFonts w:hint="eastAsia" w:ascii="宋体" w:hAnsi="宋体" w:eastAsia="宋体" w:cs="宋体"/>
          <w:color w:val="auto"/>
          <w:sz w:val="24"/>
          <w:szCs w:val="24"/>
          <w:lang w:bidi="zh-CN"/>
        </w:rPr>
        <w:t>2．我方承诺在响应文件递交截止之日起</w:t>
      </w:r>
      <w:r>
        <w:rPr>
          <w:rFonts w:hint="eastAsia" w:ascii="宋体" w:hAnsi="宋体" w:eastAsia="宋体" w:cs="宋体"/>
          <w:color w:val="auto"/>
          <w:sz w:val="24"/>
          <w:szCs w:val="24"/>
          <w:u w:val="single"/>
          <w:lang w:val="en-US" w:bidi="zh-CN"/>
        </w:rPr>
        <w:t xml:space="preserve">          </w:t>
      </w:r>
      <w:r>
        <w:rPr>
          <w:rFonts w:hint="eastAsia" w:ascii="宋体" w:hAnsi="宋体" w:eastAsia="宋体" w:cs="宋体"/>
          <w:color w:val="auto"/>
          <w:sz w:val="24"/>
          <w:szCs w:val="24"/>
          <w:lang w:bidi="zh-CN"/>
        </w:rPr>
        <w:t>日历天内不修改、撤销响应文件。</w:t>
      </w:r>
    </w:p>
    <w:p w14:paraId="4E0A4F0A">
      <w:pPr>
        <w:pageBreakBefore w:val="0"/>
        <w:widowControl w:val="0"/>
        <w:kinsoku/>
        <w:overflowPunct/>
        <w:autoSpaceDE/>
        <w:autoSpaceDN/>
        <w:bidi w:val="0"/>
        <w:adjustRightInd/>
        <w:spacing w:beforeAutospacing="0" w:afterAutospacing="0" w:line="480" w:lineRule="auto"/>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3．我方已详细审阅全部竞争性磋商文件，包括修改文件（如果有的话），及有关附件，我方完全知道必须放弃提出含糊不清或误解的权力。</w:t>
      </w:r>
    </w:p>
    <w:p w14:paraId="3ABD7AC6">
      <w:pPr>
        <w:pageBreakBefore w:val="0"/>
        <w:widowControl w:val="0"/>
        <w:kinsoku/>
        <w:overflowPunct/>
        <w:autoSpaceDE/>
        <w:autoSpaceDN/>
        <w:bidi w:val="0"/>
        <w:adjustRightInd/>
        <w:spacing w:beforeAutospacing="0" w:afterAutospacing="0" w:line="480" w:lineRule="auto"/>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4. 我方承认</w:t>
      </w:r>
      <w:r>
        <w:rPr>
          <w:rFonts w:hint="eastAsia" w:ascii="宋体" w:hAnsi="宋体" w:cs="宋体"/>
          <w:color w:val="auto"/>
          <w:sz w:val="24"/>
          <w:szCs w:val="24"/>
          <w:highlight w:val="none"/>
          <w:lang w:val="en-US" w:bidi="zh-CN"/>
        </w:rPr>
        <w:t>响应</w:t>
      </w:r>
      <w:r>
        <w:rPr>
          <w:rFonts w:hint="eastAsia" w:ascii="宋体" w:hAnsi="宋体" w:eastAsia="宋体" w:cs="宋体"/>
          <w:color w:val="auto"/>
          <w:sz w:val="24"/>
          <w:szCs w:val="24"/>
          <w:highlight w:val="none"/>
          <w:u w:val="none"/>
          <w:lang w:bidi="zh-CN"/>
        </w:rPr>
        <w:t>函附表</w:t>
      </w:r>
      <w:r>
        <w:rPr>
          <w:rFonts w:hint="eastAsia" w:ascii="宋体" w:hAnsi="宋体" w:eastAsia="宋体" w:cs="宋体"/>
          <w:color w:val="auto"/>
          <w:sz w:val="24"/>
          <w:szCs w:val="24"/>
          <w:highlight w:val="none"/>
          <w:lang w:bidi="zh-CN"/>
        </w:rPr>
        <w:t>是我方</w:t>
      </w:r>
      <w:r>
        <w:rPr>
          <w:rFonts w:hint="eastAsia" w:ascii="宋体" w:hAnsi="宋体" w:cs="宋体"/>
          <w:color w:val="auto"/>
          <w:sz w:val="24"/>
          <w:szCs w:val="24"/>
          <w:highlight w:val="none"/>
          <w:lang w:val="en-US" w:bidi="zh-CN"/>
        </w:rPr>
        <w:t>响应</w:t>
      </w:r>
      <w:r>
        <w:rPr>
          <w:rFonts w:hint="eastAsia" w:ascii="宋体" w:hAnsi="宋体" w:eastAsia="宋体" w:cs="宋体"/>
          <w:color w:val="auto"/>
          <w:sz w:val="24"/>
          <w:szCs w:val="24"/>
          <w:highlight w:val="none"/>
          <w:lang w:bidi="zh-CN"/>
        </w:rPr>
        <w:t>函的组</w:t>
      </w:r>
      <w:r>
        <w:rPr>
          <w:rFonts w:hint="eastAsia" w:ascii="宋体" w:hAnsi="宋体" w:eastAsia="宋体" w:cs="宋体"/>
          <w:color w:val="auto"/>
          <w:sz w:val="24"/>
          <w:szCs w:val="24"/>
          <w:lang w:bidi="zh-CN"/>
        </w:rPr>
        <w:t>成部分。</w:t>
      </w:r>
    </w:p>
    <w:p w14:paraId="245BE9B2">
      <w:pPr>
        <w:pageBreakBefore w:val="0"/>
        <w:widowControl w:val="0"/>
        <w:kinsoku/>
        <w:overflowPunct/>
        <w:autoSpaceDE/>
        <w:autoSpaceDN/>
        <w:bidi w:val="0"/>
        <w:adjustRightInd/>
        <w:spacing w:beforeAutospacing="0" w:afterAutospacing="0" w:line="480" w:lineRule="auto"/>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5. 一旦我方</w:t>
      </w:r>
      <w:r>
        <w:rPr>
          <w:rFonts w:hint="eastAsia" w:ascii="宋体" w:hAnsi="宋体" w:cs="宋体"/>
          <w:color w:val="auto"/>
          <w:sz w:val="24"/>
          <w:szCs w:val="24"/>
          <w:lang w:bidi="zh-CN"/>
        </w:rPr>
        <w:t>成交</w:t>
      </w:r>
      <w:r>
        <w:rPr>
          <w:rFonts w:hint="eastAsia" w:ascii="宋体" w:hAnsi="宋体" w:eastAsia="宋体" w:cs="宋体"/>
          <w:color w:val="auto"/>
          <w:sz w:val="24"/>
          <w:szCs w:val="24"/>
          <w:lang w:bidi="zh-CN"/>
        </w:rPr>
        <w:t>，我们将按照竞争性磋商文件中规定的各项要求和我们的响应文件中的表述和承诺，按期、按质、按量完成工作内容及义务。</w:t>
      </w:r>
    </w:p>
    <w:p w14:paraId="02C76E28">
      <w:pPr>
        <w:pageBreakBefore w:val="0"/>
        <w:widowControl w:val="0"/>
        <w:kinsoku/>
        <w:overflowPunct/>
        <w:autoSpaceDE/>
        <w:autoSpaceDN/>
        <w:bidi w:val="0"/>
        <w:adjustRightInd/>
        <w:spacing w:beforeAutospacing="0" w:afterAutospacing="0" w:line="480" w:lineRule="auto"/>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6.我方在此声明，所递交的响应文件及有关资料内容完整、真实和准确。</w:t>
      </w:r>
    </w:p>
    <w:p w14:paraId="59081CC3">
      <w:pPr>
        <w:pageBreakBefore w:val="0"/>
        <w:widowControl w:val="0"/>
        <w:kinsoku/>
        <w:overflowPunct/>
        <w:autoSpaceDE/>
        <w:autoSpaceDN/>
        <w:bidi w:val="0"/>
        <w:adjustRightInd/>
        <w:spacing w:beforeAutospacing="0" w:afterAutospacing="0" w:line="480" w:lineRule="auto"/>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7．若我方</w:t>
      </w:r>
      <w:r>
        <w:rPr>
          <w:rFonts w:hint="eastAsia" w:ascii="宋体" w:hAnsi="宋体" w:cs="宋体"/>
          <w:color w:val="auto"/>
          <w:sz w:val="24"/>
          <w:szCs w:val="24"/>
          <w:lang w:bidi="zh-CN"/>
        </w:rPr>
        <w:t>成交</w:t>
      </w:r>
      <w:r>
        <w:rPr>
          <w:rFonts w:hint="eastAsia" w:ascii="宋体" w:hAnsi="宋体" w:eastAsia="宋体" w:cs="宋体"/>
          <w:color w:val="auto"/>
          <w:sz w:val="24"/>
          <w:szCs w:val="24"/>
          <w:lang w:bidi="zh-CN"/>
        </w:rPr>
        <w:t>，我方承诺按照国家相关规定向代理机构缴纳</w:t>
      </w:r>
      <w:r>
        <w:rPr>
          <w:rFonts w:hint="eastAsia" w:ascii="宋体" w:hAnsi="宋体" w:cs="宋体"/>
          <w:color w:val="auto"/>
          <w:sz w:val="24"/>
          <w:szCs w:val="24"/>
          <w:lang w:bidi="zh-CN"/>
        </w:rPr>
        <w:t>磋商</w:t>
      </w:r>
      <w:r>
        <w:rPr>
          <w:rFonts w:hint="eastAsia" w:ascii="宋体" w:hAnsi="宋体" w:eastAsia="宋体" w:cs="宋体"/>
          <w:color w:val="auto"/>
          <w:sz w:val="24"/>
          <w:szCs w:val="24"/>
          <w:lang w:bidi="zh-CN"/>
        </w:rPr>
        <w:t>代理服务费。</w:t>
      </w:r>
    </w:p>
    <w:p w14:paraId="0B4C85A3">
      <w:pPr>
        <w:pageBreakBefore w:val="0"/>
        <w:widowControl w:val="0"/>
        <w:kinsoku/>
        <w:overflowPunct/>
        <w:autoSpaceDE/>
        <w:autoSpaceDN/>
        <w:bidi w:val="0"/>
        <w:adjustRightInd/>
        <w:spacing w:beforeAutospacing="0" w:afterAutospacing="0" w:line="480" w:lineRule="auto"/>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8.</w:t>
      </w:r>
      <w:r>
        <w:rPr>
          <w:rFonts w:hint="eastAsia" w:ascii="宋体" w:hAnsi="宋体" w:eastAsia="宋体" w:cs="宋体"/>
          <w:color w:val="auto"/>
          <w:sz w:val="24"/>
          <w:szCs w:val="24"/>
          <w:u w:val="single"/>
          <w:lang w:val="en-US" w:bidi="zh-CN"/>
        </w:rPr>
        <w:t xml:space="preserve">          </w:t>
      </w:r>
      <w:r>
        <w:rPr>
          <w:rFonts w:hint="eastAsia" w:ascii="宋体" w:hAnsi="宋体" w:eastAsia="宋体" w:cs="宋体"/>
          <w:color w:val="auto"/>
          <w:sz w:val="24"/>
          <w:szCs w:val="24"/>
          <w:lang w:bidi="zh-CN"/>
        </w:rPr>
        <w:t>（其他补充说明）。</w:t>
      </w:r>
    </w:p>
    <w:p w14:paraId="7BE5706F">
      <w:pPr>
        <w:pageBreakBefore w:val="0"/>
        <w:widowControl w:val="0"/>
        <w:kinsoku/>
        <w:overflowPunct/>
        <w:autoSpaceDE/>
        <w:autoSpaceDN/>
        <w:bidi w:val="0"/>
        <w:adjustRightInd/>
        <w:spacing w:beforeAutospacing="0" w:afterAutospacing="0" w:line="480" w:lineRule="auto"/>
        <w:ind w:left="2940" w:leftChars="1400" w:firstLine="360" w:firstLineChars="150"/>
        <w:rPr>
          <w:rFonts w:hint="eastAsia" w:ascii="宋体" w:hAnsi="宋体" w:eastAsia="宋体" w:cs="宋体"/>
          <w:color w:val="auto"/>
          <w:sz w:val="24"/>
          <w:szCs w:val="24"/>
        </w:rPr>
      </w:pPr>
    </w:p>
    <w:p w14:paraId="6CD924E4">
      <w:pPr>
        <w:pageBreakBefore w:val="0"/>
        <w:widowControl w:val="0"/>
        <w:kinsoku/>
        <w:overflowPunct/>
        <w:autoSpaceDE/>
        <w:autoSpaceDN/>
        <w:bidi w:val="0"/>
        <w:adjustRightInd/>
        <w:spacing w:beforeAutospacing="0" w:afterAutospacing="0" w:line="480" w:lineRule="auto"/>
        <w:ind w:left="2940" w:leftChars="1400"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u w:val="single"/>
          <w:lang w:val="en-US" w:bidi="zh-CN"/>
        </w:rPr>
        <w:t xml:space="preserve">          </w:t>
      </w:r>
      <w:r>
        <w:rPr>
          <w:rFonts w:hint="eastAsia" w:ascii="宋体" w:hAnsi="宋体" w:eastAsia="宋体" w:cs="宋体"/>
          <w:color w:val="auto"/>
          <w:sz w:val="24"/>
          <w:szCs w:val="24"/>
        </w:rPr>
        <w:t>（盖章）</w:t>
      </w:r>
    </w:p>
    <w:p w14:paraId="3B93E99E">
      <w:pPr>
        <w:pageBreakBefore w:val="0"/>
        <w:widowControl w:val="0"/>
        <w:kinsoku/>
        <w:overflowPunct/>
        <w:autoSpaceDE/>
        <w:autoSpaceDN/>
        <w:bidi w:val="0"/>
        <w:adjustRightInd/>
        <w:spacing w:beforeAutospacing="0" w:afterAutospacing="0" w:line="480" w:lineRule="auto"/>
        <w:ind w:left="2940" w:leftChars="1400"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single"/>
          <w:lang w:val="en-US" w:bidi="zh-CN"/>
        </w:rPr>
        <w:t xml:space="preserve">          </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签字或盖章</w:t>
      </w:r>
      <w:r>
        <w:rPr>
          <w:rFonts w:hint="eastAsia" w:ascii="宋体" w:hAnsi="宋体" w:eastAsia="宋体" w:cs="宋体"/>
          <w:color w:val="auto"/>
          <w:sz w:val="24"/>
          <w:szCs w:val="24"/>
        </w:rPr>
        <w:t>）</w:t>
      </w:r>
    </w:p>
    <w:p w14:paraId="18A414C1">
      <w:pPr>
        <w:pageBreakBefore w:val="0"/>
        <w:widowControl w:val="0"/>
        <w:kinsoku/>
        <w:overflowPunct/>
        <w:autoSpaceDE/>
        <w:autoSpaceDN/>
        <w:bidi w:val="0"/>
        <w:adjustRightInd/>
        <w:spacing w:beforeAutospacing="0" w:afterAutospacing="0" w:line="480" w:lineRule="auto"/>
        <w:ind w:left="2940" w:leftChars="1400"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1575E0D9">
      <w:pPr>
        <w:rPr>
          <w:rFonts w:hint="eastAsia" w:ascii="宋体" w:hAnsi="宋体" w:eastAsia="宋体" w:cs="宋体"/>
          <w:b/>
          <w:bCs/>
          <w:color w:val="auto"/>
          <w:szCs w:val="28"/>
        </w:rPr>
      </w:pPr>
      <w:r>
        <w:rPr>
          <w:rFonts w:hint="eastAsia" w:ascii="宋体" w:hAnsi="宋体" w:eastAsia="宋体" w:cs="宋体"/>
          <w:b/>
          <w:bCs/>
          <w:color w:val="auto"/>
          <w:szCs w:val="28"/>
        </w:rPr>
        <w:br w:type="page"/>
      </w:r>
    </w:p>
    <w:p w14:paraId="6E9A2219">
      <w:pPr>
        <w:pStyle w:val="3"/>
        <w:numPr>
          <w:ilvl w:val="1"/>
          <w:numId w:val="0"/>
        </w:numPr>
        <w:ind w:left="419" w:leftChars="0"/>
        <w:jc w:val="center"/>
        <w:rPr>
          <w:rFonts w:hint="eastAsia" w:ascii="宋体" w:hAnsi="宋体" w:eastAsia="宋体" w:cs="宋体"/>
          <w:bCs/>
          <w:color w:val="auto"/>
          <w:szCs w:val="28"/>
        </w:rPr>
      </w:pPr>
      <w:r>
        <w:rPr>
          <w:rFonts w:hint="eastAsia" w:ascii="宋体" w:hAnsi="宋体" w:eastAsia="宋体" w:cs="宋体"/>
          <w:bCs/>
          <w:color w:val="auto"/>
          <w:szCs w:val="28"/>
        </w:rPr>
        <w:t>（二）响应函附录</w:t>
      </w:r>
    </w:p>
    <w:tbl>
      <w:tblPr>
        <w:tblStyle w:val="20"/>
        <w:tblW w:w="9299" w:type="dxa"/>
        <w:tblInd w:w="-45" w:type="dxa"/>
        <w:tblLayout w:type="fixed"/>
        <w:tblCellMar>
          <w:top w:w="0" w:type="dxa"/>
          <w:left w:w="108" w:type="dxa"/>
          <w:bottom w:w="0" w:type="dxa"/>
          <w:right w:w="108" w:type="dxa"/>
        </w:tblCellMar>
      </w:tblPr>
      <w:tblGrid>
        <w:gridCol w:w="1973"/>
        <w:gridCol w:w="3264"/>
        <w:gridCol w:w="1265"/>
        <w:gridCol w:w="2797"/>
      </w:tblGrid>
      <w:tr w14:paraId="000B529B">
        <w:tblPrEx>
          <w:tblCellMar>
            <w:top w:w="0" w:type="dxa"/>
            <w:left w:w="108" w:type="dxa"/>
            <w:bottom w:w="0" w:type="dxa"/>
            <w:right w:w="108" w:type="dxa"/>
          </w:tblCellMar>
        </w:tblPrEx>
        <w:trPr>
          <w:cantSplit/>
          <w:trHeight w:val="867" w:hRule="exact"/>
        </w:trPr>
        <w:tc>
          <w:tcPr>
            <w:tcW w:w="1973" w:type="dxa"/>
            <w:tcBorders>
              <w:top w:val="single" w:color="000000" w:sz="4" w:space="0"/>
              <w:left w:val="single" w:color="000000" w:sz="4" w:space="0"/>
              <w:bottom w:val="single" w:color="000000" w:sz="4" w:space="0"/>
              <w:right w:val="nil"/>
            </w:tcBorders>
            <w:vAlign w:val="center"/>
          </w:tcPr>
          <w:p w14:paraId="54B999C7">
            <w:pPr>
              <w:suppressAutoHyphens/>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7326" w:type="dxa"/>
            <w:gridSpan w:val="3"/>
            <w:tcBorders>
              <w:top w:val="single" w:color="000000" w:sz="4" w:space="0"/>
              <w:left w:val="single" w:color="000000" w:sz="4" w:space="0"/>
              <w:bottom w:val="single" w:color="000000" w:sz="4" w:space="0"/>
              <w:right w:val="single" w:color="000000" w:sz="4" w:space="0"/>
            </w:tcBorders>
            <w:vAlign w:val="center"/>
          </w:tcPr>
          <w:p w14:paraId="5935FC03">
            <w:pPr>
              <w:suppressAutoHyphens/>
              <w:snapToGrid w:val="0"/>
              <w:spacing w:line="400" w:lineRule="exact"/>
              <w:jc w:val="center"/>
              <w:rPr>
                <w:rFonts w:hint="eastAsia" w:ascii="宋体" w:hAnsi="宋体" w:eastAsia="宋体" w:cs="宋体"/>
                <w:color w:val="auto"/>
                <w:sz w:val="24"/>
                <w:szCs w:val="24"/>
              </w:rPr>
            </w:pPr>
          </w:p>
        </w:tc>
      </w:tr>
      <w:tr w14:paraId="190A0628">
        <w:tblPrEx>
          <w:tblCellMar>
            <w:top w:w="0" w:type="dxa"/>
            <w:left w:w="108" w:type="dxa"/>
            <w:bottom w:w="0" w:type="dxa"/>
            <w:right w:w="108" w:type="dxa"/>
          </w:tblCellMar>
        </w:tblPrEx>
        <w:trPr>
          <w:cantSplit/>
          <w:trHeight w:val="884" w:hRule="exact"/>
        </w:trPr>
        <w:tc>
          <w:tcPr>
            <w:tcW w:w="1973" w:type="dxa"/>
            <w:tcBorders>
              <w:top w:val="single" w:color="000000" w:sz="4" w:space="0"/>
              <w:left w:val="single" w:color="000000" w:sz="4" w:space="0"/>
              <w:bottom w:val="single" w:color="000000" w:sz="4" w:space="0"/>
              <w:right w:val="nil"/>
            </w:tcBorders>
            <w:vAlign w:val="center"/>
          </w:tcPr>
          <w:p w14:paraId="5AE3940B">
            <w:pPr>
              <w:suppressAutoHyphens/>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w:t>
            </w:r>
          </w:p>
        </w:tc>
        <w:tc>
          <w:tcPr>
            <w:tcW w:w="7326" w:type="dxa"/>
            <w:gridSpan w:val="3"/>
            <w:tcBorders>
              <w:top w:val="single" w:color="000000" w:sz="4" w:space="0"/>
              <w:left w:val="single" w:color="000000" w:sz="4" w:space="0"/>
              <w:bottom w:val="single" w:color="000000" w:sz="4" w:space="0"/>
              <w:right w:val="single" w:color="000000" w:sz="4" w:space="0"/>
            </w:tcBorders>
            <w:vAlign w:val="center"/>
          </w:tcPr>
          <w:p w14:paraId="62503E3D">
            <w:pPr>
              <w:suppressAutoHyphens/>
              <w:snapToGrid w:val="0"/>
              <w:spacing w:line="400" w:lineRule="exact"/>
              <w:jc w:val="center"/>
              <w:rPr>
                <w:rFonts w:hint="eastAsia" w:ascii="宋体" w:hAnsi="宋体" w:eastAsia="宋体" w:cs="宋体"/>
                <w:color w:val="auto"/>
                <w:sz w:val="24"/>
                <w:szCs w:val="24"/>
              </w:rPr>
            </w:pPr>
          </w:p>
        </w:tc>
      </w:tr>
      <w:tr w14:paraId="04D3F548">
        <w:tblPrEx>
          <w:tblCellMar>
            <w:top w:w="0" w:type="dxa"/>
            <w:left w:w="108" w:type="dxa"/>
            <w:bottom w:w="0" w:type="dxa"/>
            <w:right w:w="108" w:type="dxa"/>
          </w:tblCellMar>
        </w:tblPrEx>
        <w:trPr>
          <w:cantSplit/>
          <w:trHeight w:val="1256" w:hRule="exact"/>
        </w:trPr>
        <w:tc>
          <w:tcPr>
            <w:tcW w:w="1973" w:type="dxa"/>
            <w:tcBorders>
              <w:top w:val="single" w:color="000000" w:sz="4" w:space="0"/>
              <w:left w:val="single" w:color="000000" w:sz="4" w:space="0"/>
              <w:bottom w:val="single" w:color="000000" w:sz="4" w:space="0"/>
              <w:right w:val="nil"/>
            </w:tcBorders>
            <w:vAlign w:val="center"/>
          </w:tcPr>
          <w:p w14:paraId="4A1A048F">
            <w:pPr>
              <w:suppressAutoHyphens/>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tc>
        <w:tc>
          <w:tcPr>
            <w:tcW w:w="3264" w:type="dxa"/>
            <w:tcBorders>
              <w:top w:val="single" w:color="000000" w:sz="4" w:space="0"/>
              <w:left w:val="single" w:color="000000" w:sz="4" w:space="0"/>
              <w:bottom w:val="single" w:color="000000" w:sz="4" w:space="0"/>
              <w:right w:val="nil"/>
            </w:tcBorders>
            <w:vAlign w:val="center"/>
          </w:tcPr>
          <w:p w14:paraId="4DB50041">
            <w:pPr>
              <w:suppressAutoHyphens/>
              <w:snapToGrid w:val="0"/>
              <w:spacing w:line="400" w:lineRule="exact"/>
              <w:ind w:firstLine="210"/>
              <w:jc w:val="center"/>
              <w:rPr>
                <w:rFonts w:hint="eastAsia" w:ascii="宋体" w:hAnsi="宋体" w:eastAsia="宋体" w:cs="宋体"/>
                <w:color w:val="auto"/>
                <w:sz w:val="24"/>
                <w:szCs w:val="24"/>
              </w:rPr>
            </w:pPr>
          </w:p>
        </w:tc>
        <w:tc>
          <w:tcPr>
            <w:tcW w:w="1265" w:type="dxa"/>
            <w:tcBorders>
              <w:top w:val="single" w:color="000000" w:sz="4" w:space="0"/>
              <w:left w:val="single" w:color="000000" w:sz="4" w:space="0"/>
              <w:bottom w:val="single" w:color="000000" w:sz="4" w:space="0"/>
              <w:right w:val="nil"/>
            </w:tcBorders>
            <w:vAlign w:val="center"/>
          </w:tcPr>
          <w:p w14:paraId="53D69C26">
            <w:pPr>
              <w:suppressAutoHyphens/>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2797" w:type="dxa"/>
            <w:tcBorders>
              <w:top w:val="single" w:color="000000" w:sz="4" w:space="0"/>
              <w:left w:val="single" w:color="000000" w:sz="4" w:space="0"/>
              <w:bottom w:val="single" w:color="000000" w:sz="4" w:space="0"/>
              <w:right w:val="single" w:color="000000" w:sz="4" w:space="0"/>
            </w:tcBorders>
            <w:vAlign w:val="center"/>
          </w:tcPr>
          <w:p w14:paraId="5B99B569">
            <w:pPr>
              <w:suppressAutoHyphens/>
              <w:snapToGrid w:val="0"/>
              <w:spacing w:line="400" w:lineRule="exact"/>
              <w:rPr>
                <w:rFonts w:hint="eastAsia" w:ascii="宋体" w:hAnsi="宋体" w:eastAsia="宋体" w:cs="宋体"/>
                <w:color w:val="auto"/>
                <w:sz w:val="24"/>
                <w:szCs w:val="24"/>
              </w:rPr>
            </w:pPr>
          </w:p>
        </w:tc>
      </w:tr>
      <w:tr w14:paraId="6FB36D03">
        <w:tblPrEx>
          <w:tblCellMar>
            <w:top w:w="0" w:type="dxa"/>
            <w:left w:w="108" w:type="dxa"/>
            <w:bottom w:w="0" w:type="dxa"/>
            <w:right w:w="108" w:type="dxa"/>
          </w:tblCellMar>
        </w:tblPrEx>
        <w:trPr>
          <w:cantSplit/>
          <w:trHeight w:val="1225" w:hRule="exact"/>
        </w:trPr>
        <w:tc>
          <w:tcPr>
            <w:tcW w:w="1973" w:type="dxa"/>
            <w:tcBorders>
              <w:top w:val="single" w:color="000000" w:sz="4" w:space="0"/>
              <w:left w:val="single" w:color="000000" w:sz="4" w:space="0"/>
              <w:bottom w:val="single" w:color="000000" w:sz="4" w:space="0"/>
              <w:right w:val="nil"/>
            </w:tcBorders>
            <w:vAlign w:val="center"/>
          </w:tcPr>
          <w:p w14:paraId="459368DB">
            <w:pPr>
              <w:suppressAutoHyphens/>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第一轮报价</w:t>
            </w:r>
          </w:p>
        </w:tc>
        <w:tc>
          <w:tcPr>
            <w:tcW w:w="7326" w:type="dxa"/>
            <w:gridSpan w:val="3"/>
            <w:tcBorders>
              <w:top w:val="single" w:color="000000" w:sz="4" w:space="0"/>
              <w:left w:val="single" w:color="000000" w:sz="4" w:space="0"/>
              <w:bottom w:val="single" w:color="000000" w:sz="4" w:space="0"/>
              <w:right w:val="single" w:color="000000" w:sz="4" w:space="0"/>
            </w:tcBorders>
            <w:vAlign w:val="center"/>
          </w:tcPr>
          <w:p w14:paraId="631034B8">
            <w:pPr>
              <w:suppressAutoHyphens/>
              <w:autoSpaceDE w:val="0"/>
              <w:snapToGrid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p>
          <w:p w14:paraId="1BC0908E">
            <w:pPr>
              <w:suppressAutoHyphens/>
              <w:autoSpaceDE w:val="0"/>
              <w:snapToGrid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  </w:t>
            </w:r>
          </w:p>
        </w:tc>
      </w:tr>
      <w:tr w14:paraId="582D3A0A">
        <w:tblPrEx>
          <w:tblCellMar>
            <w:top w:w="0" w:type="dxa"/>
            <w:left w:w="108" w:type="dxa"/>
            <w:bottom w:w="0" w:type="dxa"/>
            <w:right w:w="108" w:type="dxa"/>
          </w:tblCellMar>
        </w:tblPrEx>
        <w:trPr>
          <w:cantSplit/>
          <w:trHeight w:val="940" w:hRule="exact"/>
        </w:trPr>
        <w:tc>
          <w:tcPr>
            <w:tcW w:w="1973" w:type="dxa"/>
            <w:tcBorders>
              <w:top w:val="single" w:color="000000" w:sz="4" w:space="0"/>
              <w:left w:val="single" w:color="000000" w:sz="4" w:space="0"/>
              <w:bottom w:val="single" w:color="000000" w:sz="4" w:space="0"/>
              <w:right w:val="nil"/>
            </w:tcBorders>
            <w:vAlign w:val="center"/>
          </w:tcPr>
          <w:p w14:paraId="051EAB5D">
            <w:pPr>
              <w:suppressAutoHyphens/>
              <w:snapToGrid w:val="0"/>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服务</w:t>
            </w:r>
            <w:r>
              <w:rPr>
                <w:rFonts w:hint="eastAsia" w:ascii="宋体" w:hAnsi="宋体" w:cs="宋体"/>
                <w:color w:val="auto"/>
                <w:sz w:val="24"/>
                <w:szCs w:val="24"/>
                <w:lang w:val="en-US" w:eastAsia="zh-CN"/>
              </w:rPr>
              <w:t>周期</w:t>
            </w:r>
          </w:p>
        </w:tc>
        <w:tc>
          <w:tcPr>
            <w:tcW w:w="7326" w:type="dxa"/>
            <w:gridSpan w:val="3"/>
            <w:tcBorders>
              <w:top w:val="single" w:color="000000" w:sz="4" w:space="0"/>
              <w:left w:val="single" w:color="000000" w:sz="4" w:space="0"/>
              <w:bottom w:val="single" w:color="000000" w:sz="4" w:space="0"/>
              <w:right w:val="single" w:color="000000" w:sz="4" w:space="0"/>
            </w:tcBorders>
            <w:vAlign w:val="center"/>
          </w:tcPr>
          <w:p w14:paraId="6CA87C57">
            <w:pPr>
              <w:suppressAutoHyphens/>
              <w:autoSpaceDE w:val="0"/>
              <w:snapToGrid w:val="0"/>
              <w:spacing w:line="400" w:lineRule="exact"/>
              <w:rPr>
                <w:rFonts w:hint="eastAsia" w:ascii="宋体" w:hAnsi="宋体" w:eastAsia="宋体" w:cs="宋体"/>
                <w:color w:val="auto"/>
                <w:sz w:val="24"/>
                <w:szCs w:val="24"/>
              </w:rPr>
            </w:pPr>
          </w:p>
        </w:tc>
      </w:tr>
      <w:tr w14:paraId="643E811C">
        <w:tblPrEx>
          <w:tblCellMar>
            <w:top w:w="0" w:type="dxa"/>
            <w:left w:w="108" w:type="dxa"/>
            <w:bottom w:w="0" w:type="dxa"/>
            <w:right w:w="108" w:type="dxa"/>
          </w:tblCellMar>
        </w:tblPrEx>
        <w:trPr>
          <w:cantSplit/>
          <w:trHeight w:val="798" w:hRule="atLeast"/>
        </w:trPr>
        <w:tc>
          <w:tcPr>
            <w:tcW w:w="1973" w:type="dxa"/>
            <w:tcBorders>
              <w:top w:val="single" w:color="000000" w:sz="4" w:space="0"/>
              <w:left w:val="single" w:color="000000" w:sz="4" w:space="0"/>
              <w:bottom w:val="single" w:color="000000" w:sz="4" w:space="0"/>
              <w:right w:val="nil"/>
            </w:tcBorders>
            <w:vAlign w:val="center"/>
          </w:tcPr>
          <w:p w14:paraId="596A2C9E">
            <w:pPr>
              <w:suppressAutoHyphens/>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质量要求</w:t>
            </w:r>
          </w:p>
        </w:tc>
        <w:tc>
          <w:tcPr>
            <w:tcW w:w="7326" w:type="dxa"/>
            <w:gridSpan w:val="3"/>
            <w:tcBorders>
              <w:top w:val="single" w:color="000000" w:sz="4" w:space="0"/>
              <w:left w:val="single" w:color="000000" w:sz="4" w:space="0"/>
              <w:bottom w:val="single" w:color="000000" w:sz="4" w:space="0"/>
              <w:right w:val="single" w:color="000000" w:sz="4" w:space="0"/>
            </w:tcBorders>
            <w:vAlign w:val="center"/>
          </w:tcPr>
          <w:p w14:paraId="475EC19C">
            <w:pPr>
              <w:suppressAutoHyphens/>
              <w:snapToGrid w:val="0"/>
              <w:spacing w:line="400" w:lineRule="exact"/>
              <w:jc w:val="center"/>
              <w:rPr>
                <w:rFonts w:hint="eastAsia" w:ascii="宋体" w:hAnsi="宋体" w:eastAsia="宋体" w:cs="宋体"/>
                <w:color w:val="auto"/>
                <w:sz w:val="24"/>
                <w:szCs w:val="24"/>
              </w:rPr>
            </w:pPr>
          </w:p>
        </w:tc>
      </w:tr>
      <w:tr w14:paraId="2FDE3CB3">
        <w:tblPrEx>
          <w:tblCellMar>
            <w:top w:w="0" w:type="dxa"/>
            <w:left w:w="108" w:type="dxa"/>
            <w:bottom w:w="0" w:type="dxa"/>
            <w:right w:w="108" w:type="dxa"/>
          </w:tblCellMar>
        </w:tblPrEx>
        <w:trPr>
          <w:cantSplit/>
          <w:trHeight w:val="1004" w:hRule="atLeast"/>
        </w:trPr>
        <w:tc>
          <w:tcPr>
            <w:tcW w:w="1973" w:type="dxa"/>
            <w:tcBorders>
              <w:top w:val="single" w:color="000000" w:sz="4" w:space="0"/>
              <w:left w:val="single" w:color="000000" w:sz="4" w:space="0"/>
              <w:bottom w:val="single" w:color="000000" w:sz="4" w:space="0"/>
              <w:right w:val="nil"/>
            </w:tcBorders>
            <w:vAlign w:val="center"/>
          </w:tcPr>
          <w:p w14:paraId="13D76672">
            <w:pPr>
              <w:suppressAutoHyphens/>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磋商有效期</w:t>
            </w:r>
          </w:p>
        </w:tc>
        <w:tc>
          <w:tcPr>
            <w:tcW w:w="7326" w:type="dxa"/>
            <w:gridSpan w:val="3"/>
            <w:tcBorders>
              <w:top w:val="single" w:color="000000" w:sz="4" w:space="0"/>
              <w:left w:val="single" w:color="000000" w:sz="4" w:space="0"/>
              <w:bottom w:val="single" w:color="000000" w:sz="4" w:space="0"/>
              <w:right w:val="single" w:color="000000" w:sz="4" w:space="0"/>
            </w:tcBorders>
            <w:vAlign w:val="center"/>
          </w:tcPr>
          <w:p w14:paraId="53252277">
            <w:pPr>
              <w:suppressAutoHyphens/>
              <w:snapToGrid w:val="0"/>
              <w:spacing w:line="400" w:lineRule="exact"/>
              <w:jc w:val="center"/>
              <w:rPr>
                <w:rFonts w:hint="eastAsia" w:ascii="宋体" w:hAnsi="宋体" w:eastAsia="宋体" w:cs="宋体"/>
                <w:color w:val="auto"/>
                <w:sz w:val="24"/>
                <w:szCs w:val="24"/>
              </w:rPr>
            </w:pPr>
          </w:p>
        </w:tc>
      </w:tr>
      <w:tr w14:paraId="4B1946B6">
        <w:tblPrEx>
          <w:tblCellMar>
            <w:top w:w="0" w:type="dxa"/>
            <w:left w:w="108" w:type="dxa"/>
            <w:bottom w:w="0" w:type="dxa"/>
            <w:right w:w="108" w:type="dxa"/>
          </w:tblCellMar>
        </w:tblPrEx>
        <w:trPr>
          <w:cantSplit/>
          <w:trHeight w:val="1138" w:hRule="exact"/>
        </w:trPr>
        <w:tc>
          <w:tcPr>
            <w:tcW w:w="1973" w:type="dxa"/>
            <w:tcBorders>
              <w:top w:val="single" w:color="000000" w:sz="4" w:space="0"/>
              <w:left w:val="single" w:color="000000" w:sz="4" w:space="0"/>
              <w:bottom w:val="single" w:color="000000" w:sz="4" w:space="0"/>
              <w:right w:val="nil"/>
            </w:tcBorders>
            <w:vAlign w:val="center"/>
          </w:tcPr>
          <w:p w14:paraId="6ABB3441">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7326" w:type="dxa"/>
            <w:gridSpan w:val="3"/>
            <w:tcBorders>
              <w:top w:val="single" w:color="000000" w:sz="4" w:space="0"/>
              <w:left w:val="single" w:color="000000" w:sz="4" w:space="0"/>
              <w:bottom w:val="single" w:color="000000" w:sz="4" w:space="0"/>
              <w:right w:val="single" w:color="000000" w:sz="4" w:space="0"/>
            </w:tcBorders>
            <w:vAlign w:val="center"/>
          </w:tcPr>
          <w:p w14:paraId="775CD36F">
            <w:pPr>
              <w:suppressAutoHyphens/>
              <w:snapToGrid w:val="0"/>
              <w:spacing w:line="400" w:lineRule="exact"/>
              <w:jc w:val="center"/>
              <w:rPr>
                <w:rFonts w:hint="eastAsia" w:ascii="宋体" w:hAnsi="宋体" w:eastAsia="宋体" w:cs="宋体"/>
                <w:color w:val="auto"/>
                <w:sz w:val="24"/>
                <w:szCs w:val="24"/>
              </w:rPr>
            </w:pPr>
          </w:p>
        </w:tc>
      </w:tr>
    </w:tbl>
    <w:p w14:paraId="0D9DE110">
      <w:pPr>
        <w:spacing w:line="360" w:lineRule="auto"/>
        <w:ind w:right="720"/>
        <w:jc w:val="center"/>
        <w:rPr>
          <w:rFonts w:hint="eastAsia" w:ascii="宋体" w:hAnsi="宋体" w:eastAsia="宋体" w:cs="宋体"/>
          <w:color w:val="auto"/>
          <w:sz w:val="24"/>
        </w:rPr>
      </w:pPr>
    </w:p>
    <w:p w14:paraId="761A27D4">
      <w:pPr>
        <w:spacing w:line="360" w:lineRule="auto"/>
        <w:ind w:right="720"/>
        <w:jc w:val="center"/>
        <w:rPr>
          <w:rFonts w:hint="eastAsia" w:ascii="宋体" w:hAnsi="宋体" w:eastAsia="宋体" w:cs="宋体"/>
          <w:color w:val="auto"/>
          <w:sz w:val="24"/>
        </w:rPr>
      </w:pPr>
    </w:p>
    <w:p w14:paraId="45C49813">
      <w:pPr>
        <w:pageBreakBefore w:val="0"/>
        <w:widowControl w:val="0"/>
        <w:kinsoku/>
        <w:overflowPunct/>
        <w:autoSpaceDE/>
        <w:autoSpaceDN/>
        <w:bidi w:val="0"/>
        <w:adjustRightInd/>
        <w:spacing w:beforeAutospacing="0" w:afterAutospacing="0" w:line="480" w:lineRule="auto"/>
        <w:ind w:left="2940" w:leftChars="1400"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u w:val="single"/>
          <w:lang w:val="en-US" w:bidi="zh-CN"/>
        </w:rPr>
        <w:t xml:space="preserve">          </w:t>
      </w:r>
      <w:r>
        <w:rPr>
          <w:rFonts w:hint="eastAsia" w:ascii="宋体" w:hAnsi="宋体" w:eastAsia="宋体" w:cs="宋体"/>
          <w:color w:val="auto"/>
          <w:sz w:val="24"/>
          <w:szCs w:val="24"/>
        </w:rPr>
        <w:t>（盖章）</w:t>
      </w:r>
    </w:p>
    <w:p w14:paraId="2725B70F">
      <w:pPr>
        <w:pageBreakBefore w:val="0"/>
        <w:widowControl w:val="0"/>
        <w:kinsoku/>
        <w:overflowPunct/>
        <w:autoSpaceDE/>
        <w:autoSpaceDN/>
        <w:bidi w:val="0"/>
        <w:adjustRightInd/>
        <w:spacing w:beforeAutospacing="0" w:afterAutospacing="0" w:line="480" w:lineRule="auto"/>
        <w:ind w:left="2940" w:leftChars="1400"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single"/>
          <w:lang w:val="en-US" w:bidi="zh-CN"/>
        </w:rPr>
        <w:t xml:space="preserve">          </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签字或盖章</w:t>
      </w:r>
      <w:r>
        <w:rPr>
          <w:rFonts w:hint="eastAsia" w:ascii="宋体" w:hAnsi="宋体" w:eastAsia="宋体" w:cs="宋体"/>
          <w:color w:val="auto"/>
          <w:sz w:val="24"/>
          <w:szCs w:val="24"/>
        </w:rPr>
        <w:t>）</w:t>
      </w:r>
    </w:p>
    <w:p w14:paraId="5513E004">
      <w:pPr>
        <w:pageBreakBefore w:val="0"/>
        <w:widowControl w:val="0"/>
        <w:kinsoku/>
        <w:overflowPunct/>
        <w:autoSpaceDE/>
        <w:autoSpaceDN/>
        <w:bidi w:val="0"/>
        <w:adjustRightInd/>
        <w:spacing w:beforeAutospacing="0" w:afterAutospacing="0" w:line="480" w:lineRule="auto"/>
        <w:ind w:left="2940" w:leftChars="1400"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4C406469">
      <w:pPr>
        <w:rPr>
          <w:rFonts w:hint="eastAsia" w:ascii="宋体" w:hAnsi="宋体" w:eastAsia="宋体" w:cs="宋体"/>
          <w:color w:val="auto"/>
          <w:sz w:val="30"/>
          <w:szCs w:val="30"/>
        </w:rPr>
      </w:pPr>
      <w:r>
        <w:rPr>
          <w:rFonts w:hint="eastAsia" w:ascii="宋体" w:hAnsi="宋体" w:eastAsia="宋体" w:cs="宋体"/>
          <w:color w:val="auto"/>
          <w:sz w:val="30"/>
          <w:szCs w:val="30"/>
        </w:rPr>
        <w:br w:type="page"/>
      </w:r>
    </w:p>
    <w:p w14:paraId="7AAD225E">
      <w:pPr>
        <w:pStyle w:val="3"/>
        <w:numPr>
          <w:ilvl w:val="1"/>
          <w:numId w:val="0"/>
        </w:numPr>
        <w:ind w:left="419" w:leftChars="0"/>
        <w:jc w:val="center"/>
        <w:rPr>
          <w:rFonts w:hint="eastAsia" w:ascii="宋体" w:hAnsi="宋体" w:eastAsia="宋体" w:cs="宋体"/>
          <w:color w:val="auto"/>
          <w:sz w:val="30"/>
          <w:szCs w:val="30"/>
        </w:rPr>
      </w:pPr>
      <w:r>
        <w:rPr>
          <w:rFonts w:hint="eastAsia" w:ascii="宋体" w:hAnsi="宋体" w:eastAsia="宋体" w:cs="宋体"/>
          <w:color w:val="auto"/>
          <w:sz w:val="30"/>
          <w:szCs w:val="30"/>
        </w:rPr>
        <w:t>二、法定代表人身份证明</w:t>
      </w:r>
    </w:p>
    <w:p w14:paraId="52F64008">
      <w:pPr>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lang w:val="en-US" w:bidi="zh-CN"/>
        </w:rPr>
        <w:t xml:space="preserve">                    </w:t>
      </w:r>
      <w:r>
        <w:rPr>
          <w:rFonts w:hint="eastAsia" w:ascii="宋体" w:hAnsi="宋体" w:eastAsia="宋体" w:cs="宋体"/>
          <w:color w:val="auto"/>
          <w:sz w:val="24"/>
          <w:szCs w:val="24"/>
        </w:rPr>
        <w:t xml:space="preserve">         </w:t>
      </w:r>
    </w:p>
    <w:p w14:paraId="5FC5DAB1">
      <w:pPr>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单位性质：</w:t>
      </w:r>
      <w:r>
        <w:rPr>
          <w:rFonts w:hint="eastAsia" w:ascii="宋体" w:hAnsi="宋体" w:eastAsia="宋体" w:cs="宋体"/>
          <w:color w:val="auto"/>
          <w:sz w:val="24"/>
          <w:szCs w:val="24"/>
          <w:u w:val="single"/>
          <w:lang w:val="en-US" w:bidi="zh-CN"/>
        </w:rPr>
        <w:t xml:space="preserve">                    </w:t>
      </w:r>
      <w:r>
        <w:rPr>
          <w:rFonts w:hint="eastAsia" w:ascii="宋体" w:hAnsi="宋体" w:cs="宋体"/>
          <w:color w:val="auto"/>
          <w:sz w:val="24"/>
          <w:szCs w:val="24"/>
          <w:u w:val="single"/>
          <w:lang w:val="en-US" w:bidi="zh-CN"/>
        </w:rPr>
        <w:t xml:space="preserve">  </w:t>
      </w:r>
      <w:r>
        <w:rPr>
          <w:rFonts w:hint="eastAsia" w:ascii="宋体" w:hAnsi="宋体" w:eastAsia="宋体" w:cs="宋体"/>
          <w:color w:val="auto"/>
          <w:sz w:val="24"/>
          <w:szCs w:val="24"/>
        </w:rPr>
        <w:t xml:space="preserve">         </w:t>
      </w:r>
    </w:p>
    <w:p w14:paraId="2A066D93">
      <w:pPr>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lang w:val="en-US" w:bidi="zh-CN"/>
        </w:rPr>
        <w:t xml:space="preserve">                    </w:t>
      </w:r>
      <w:r>
        <w:rPr>
          <w:rFonts w:hint="eastAsia" w:ascii="宋体" w:hAnsi="宋体" w:cs="宋体"/>
          <w:color w:val="auto"/>
          <w:sz w:val="24"/>
          <w:szCs w:val="24"/>
          <w:u w:val="single"/>
          <w:lang w:val="en-US" w:bidi="zh-CN"/>
        </w:rPr>
        <w:t xml:space="preserve">  </w:t>
      </w:r>
      <w:r>
        <w:rPr>
          <w:rFonts w:hint="eastAsia" w:ascii="宋体" w:hAnsi="宋体" w:eastAsia="宋体" w:cs="宋体"/>
          <w:color w:val="auto"/>
          <w:sz w:val="24"/>
          <w:szCs w:val="24"/>
        </w:rPr>
        <w:t xml:space="preserve">          </w:t>
      </w:r>
    </w:p>
    <w:p w14:paraId="48A7CE14">
      <w:pPr>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成立时间：   年   月   日</w:t>
      </w:r>
    </w:p>
    <w:p w14:paraId="71E12DE8">
      <w:pPr>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经营期限：</w:t>
      </w:r>
      <w:r>
        <w:rPr>
          <w:rFonts w:hint="eastAsia" w:ascii="宋体" w:hAnsi="宋体" w:eastAsia="宋体" w:cs="宋体"/>
          <w:color w:val="auto"/>
          <w:sz w:val="24"/>
          <w:szCs w:val="24"/>
          <w:u w:val="single"/>
          <w:lang w:val="en-US" w:bidi="zh-CN"/>
        </w:rPr>
        <w:t xml:space="preserve">                    </w:t>
      </w:r>
      <w:r>
        <w:rPr>
          <w:rFonts w:hint="eastAsia" w:ascii="宋体" w:hAnsi="宋体" w:cs="宋体"/>
          <w:color w:val="auto"/>
          <w:sz w:val="24"/>
          <w:szCs w:val="24"/>
          <w:u w:val="single"/>
          <w:lang w:val="en-US" w:bidi="zh-CN"/>
        </w:rPr>
        <w:t xml:space="preserve">  </w:t>
      </w:r>
      <w:r>
        <w:rPr>
          <w:rFonts w:hint="eastAsia" w:ascii="宋体" w:hAnsi="宋体" w:eastAsia="宋体" w:cs="宋体"/>
          <w:color w:val="auto"/>
          <w:sz w:val="24"/>
          <w:szCs w:val="24"/>
        </w:rPr>
        <w:t xml:space="preserve">          </w:t>
      </w:r>
    </w:p>
    <w:p w14:paraId="41EB9C5B">
      <w:pPr>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姓    名：</w:t>
      </w:r>
      <w:r>
        <w:rPr>
          <w:rFonts w:hint="eastAsia" w:ascii="宋体" w:hAnsi="宋体" w:eastAsia="宋体" w:cs="宋体"/>
          <w:color w:val="auto"/>
          <w:sz w:val="24"/>
          <w:szCs w:val="24"/>
          <w:u w:val="single"/>
          <w:lang w:val="en-US" w:bidi="zh-CN"/>
        </w:rPr>
        <w:t xml:space="preserve">               </w:t>
      </w:r>
      <w:r>
        <w:rPr>
          <w:rFonts w:hint="eastAsia" w:ascii="宋体" w:hAnsi="宋体" w:eastAsia="宋体" w:cs="宋体"/>
          <w:color w:val="auto"/>
          <w:sz w:val="24"/>
          <w:szCs w:val="24"/>
        </w:rPr>
        <w:t xml:space="preserve"> 性    别：</w:t>
      </w:r>
      <w:r>
        <w:rPr>
          <w:rFonts w:hint="eastAsia" w:ascii="宋体" w:hAnsi="宋体" w:eastAsia="宋体" w:cs="宋体"/>
          <w:color w:val="auto"/>
          <w:sz w:val="24"/>
          <w:szCs w:val="24"/>
          <w:u w:val="single"/>
          <w:lang w:val="en-US" w:bidi="zh-CN"/>
        </w:rPr>
        <w:t xml:space="preserve">                    </w:t>
      </w:r>
      <w:r>
        <w:rPr>
          <w:rFonts w:hint="eastAsia" w:ascii="宋体" w:hAnsi="宋体" w:cs="宋体"/>
          <w:color w:val="auto"/>
          <w:sz w:val="24"/>
          <w:szCs w:val="24"/>
          <w:u w:val="single"/>
          <w:lang w:val="en-US" w:bidi="zh-CN"/>
        </w:rPr>
        <w:t xml:space="preserve">  </w:t>
      </w:r>
      <w:r>
        <w:rPr>
          <w:rFonts w:hint="eastAsia" w:ascii="宋体" w:hAnsi="宋体" w:eastAsia="宋体" w:cs="宋体"/>
          <w:color w:val="auto"/>
          <w:sz w:val="24"/>
          <w:szCs w:val="24"/>
        </w:rPr>
        <w:t xml:space="preserve">        </w:t>
      </w:r>
    </w:p>
    <w:p w14:paraId="6689352D">
      <w:pPr>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年    龄：</w:t>
      </w:r>
      <w:r>
        <w:rPr>
          <w:rFonts w:hint="eastAsia" w:ascii="宋体" w:hAnsi="宋体" w:eastAsia="宋体" w:cs="宋体"/>
          <w:color w:val="auto"/>
          <w:sz w:val="24"/>
          <w:szCs w:val="24"/>
          <w:u w:val="single"/>
          <w:lang w:val="en-US" w:bidi="zh-CN"/>
        </w:rPr>
        <w:t xml:space="preserve">               </w:t>
      </w:r>
      <w:r>
        <w:rPr>
          <w:rFonts w:hint="eastAsia" w:ascii="宋体" w:hAnsi="宋体" w:eastAsia="宋体" w:cs="宋体"/>
          <w:color w:val="auto"/>
          <w:sz w:val="24"/>
          <w:szCs w:val="24"/>
        </w:rPr>
        <w:t xml:space="preserve"> 职    务：</w:t>
      </w:r>
      <w:r>
        <w:rPr>
          <w:rFonts w:hint="eastAsia" w:ascii="宋体" w:hAnsi="宋体" w:eastAsia="宋体" w:cs="宋体"/>
          <w:color w:val="auto"/>
          <w:sz w:val="24"/>
          <w:szCs w:val="24"/>
          <w:u w:val="single"/>
          <w:lang w:val="en-US" w:bidi="zh-CN"/>
        </w:rPr>
        <w:t xml:space="preserve">                    </w:t>
      </w:r>
      <w:r>
        <w:rPr>
          <w:rFonts w:hint="eastAsia" w:ascii="宋体" w:hAnsi="宋体" w:cs="宋体"/>
          <w:color w:val="auto"/>
          <w:sz w:val="24"/>
          <w:szCs w:val="24"/>
          <w:u w:val="single"/>
          <w:lang w:val="en-US" w:bidi="zh-CN"/>
        </w:rPr>
        <w:t xml:space="preserve">  </w:t>
      </w:r>
      <w:r>
        <w:rPr>
          <w:rFonts w:hint="eastAsia" w:ascii="宋体" w:hAnsi="宋体" w:eastAsia="宋体" w:cs="宋体"/>
          <w:color w:val="auto"/>
          <w:sz w:val="24"/>
          <w:szCs w:val="24"/>
        </w:rPr>
        <w:t xml:space="preserve">          </w:t>
      </w:r>
    </w:p>
    <w:p w14:paraId="5C5BC53E">
      <w:pPr>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系</w:t>
      </w:r>
      <w:r>
        <w:rPr>
          <w:rFonts w:hint="eastAsia" w:ascii="宋体" w:hAnsi="宋体" w:eastAsia="宋体" w:cs="宋体"/>
          <w:color w:val="auto"/>
          <w:sz w:val="24"/>
          <w:szCs w:val="24"/>
          <w:u w:val="single"/>
          <w:lang w:val="en-US" w:bidi="zh-CN"/>
        </w:rPr>
        <w:t xml:space="preserve">                    </w:t>
      </w:r>
      <w:r>
        <w:rPr>
          <w:rFonts w:hint="eastAsia" w:ascii="宋体" w:hAnsi="宋体" w:cs="宋体"/>
          <w:color w:val="auto"/>
          <w:sz w:val="24"/>
          <w:szCs w:val="24"/>
          <w:u w:val="single"/>
          <w:lang w:val="en-US" w:bidi="zh-CN"/>
        </w:rPr>
        <w:t xml:space="preserve">  </w:t>
      </w:r>
      <w:r>
        <w:rPr>
          <w:rFonts w:hint="eastAsia" w:ascii="宋体" w:hAnsi="宋体" w:eastAsia="宋体" w:cs="宋体"/>
          <w:color w:val="auto"/>
          <w:sz w:val="24"/>
          <w:szCs w:val="24"/>
          <w:u w:val="single"/>
        </w:rPr>
        <w:t>（供应商名称）</w:t>
      </w:r>
      <w:r>
        <w:rPr>
          <w:rFonts w:hint="eastAsia" w:ascii="宋体" w:hAnsi="宋体" w:eastAsia="宋体" w:cs="宋体"/>
          <w:color w:val="auto"/>
          <w:sz w:val="24"/>
          <w:szCs w:val="24"/>
        </w:rPr>
        <w:t>的法定代表人。</w:t>
      </w:r>
    </w:p>
    <w:p w14:paraId="4887354B">
      <w:pPr>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特此证明。</w:t>
      </w:r>
    </w:p>
    <w:p w14:paraId="2182A1F7">
      <w:pPr>
        <w:spacing w:line="480" w:lineRule="auto"/>
        <w:ind w:right="480"/>
        <w:rPr>
          <w:rFonts w:hint="eastAsia" w:ascii="宋体" w:hAnsi="宋体" w:eastAsia="宋体" w:cs="宋体"/>
          <w:color w:val="auto"/>
          <w:sz w:val="24"/>
          <w:szCs w:val="24"/>
        </w:rPr>
      </w:pPr>
    </w:p>
    <w:p w14:paraId="7BA2F625">
      <w:pPr>
        <w:pageBreakBefore w:val="0"/>
        <w:widowControl w:val="0"/>
        <w:kinsoku/>
        <w:overflowPunct/>
        <w:autoSpaceDE/>
        <w:autoSpaceDN/>
        <w:bidi w:val="0"/>
        <w:adjustRightInd/>
        <w:spacing w:beforeAutospacing="0" w:afterAutospacing="0" w:line="480" w:lineRule="auto"/>
        <w:ind w:left="2940" w:leftChars="1400"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u w:val="single"/>
          <w:lang w:val="en-US" w:bidi="zh-CN"/>
        </w:rPr>
        <w:t xml:space="preserve">          </w:t>
      </w:r>
      <w:r>
        <w:rPr>
          <w:rFonts w:hint="eastAsia" w:ascii="宋体" w:hAnsi="宋体" w:eastAsia="宋体" w:cs="宋体"/>
          <w:color w:val="auto"/>
          <w:sz w:val="24"/>
          <w:szCs w:val="24"/>
        </w:rPr>
        <w:t>（盖章）</w:t>
      </w:r>
    </w:p>
    <w:p w14:paraId="0504271C">
      <w:pPr>
        <w:pageBreakBefore w:val="0"/>
        <w:widowControl w:val="0"/>
        <w:kinsoku/>
        <w:overflowPunct/>
        <w:autoSpaceDE/>
        <w:autoSpaceDN/>
        <w:bidi w:val="0"/>
        <w:adjustRightInd/>
        <w:spacing w:beforeAutospacing="0" w:afterAutospacing="0" w:line="480" w:lineRule="auto"/>
        <w:ind w:left="2940" w:leftChars="1400"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single"/>
          <w:lang w:val="en-US" w:bidi="zh-CN"/>
        </w:rPr>
        <w:t xml:space="preserve">          </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签字或盖章</w:t>
      </w:r>
      <w:r>
        <w:rPr>
          <w:rFonts w:hint="eastAsia" w:ascii="宋体" w:hAnsi="宋体" w:eastAsia="宋体" w:cs="宋体"/>
          <w:color w:val="auto"/>
          <w:sz w:val="24"/>
          <w:szCs w:val="24"/>
        </w:rPr>
        <w:t>）</w:t>
      </w:r>
    </w:p>
    <w:p w14:paraId="70C541CD">
      <w:pPr>
        <w:pageBreakBefore w:val="0"/>
        <w:widowControl w:val="0"/>
        <w:kinsoku/>
        <w:overflowPunct/>
        <w:autoSpaceDE/>
        <w:autoSpaceDN/>
        <w:bidi w:val="0"/>
        <w:adjustRightInd/>
        <w:spacing w:beforeAutospacing="0" w:afterAutospacing="0" w:line="480" w:lineRule="auto"/>
        <w:ind w:left="2940" w:leftChars="1400" w:firstLine="360" w:firstLineChars="150"/>
        <w:rPr>
          <w:rFonts w:hint="eastAsia" w:ascii="宋体" w:hAnsi="宋体" w:eastAsia="宋体" w:cs="宋体"/>
          <w:b/>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7EB85C9A">
      <w:pPr>
        <w:spacing w:line="48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（后附法定代表人身份证扫描件）</w:t>
      </w:r>
    </w:p>
    <w:p w14:paraId="6F0C8190">
      <w:pPr>
        <w:rPr>
          <w:rFonts w:hint="eastAsia" w:ascii="宋体" w:hAnsi="宋体" w:eastAsia="宋体" w:cs="宋体"/>
          <w:color w:val="auto"/>
        </w:rPr>
      </w:pPr>
    </w:p>
    <w:p w14:paraId="7AE7367B">
      <w:pPr>
        <w:rPr>
          <w:rFonts w:hint="eastAsia" w:ascii="宋体" w:hAnsi="宋体" w:eastAsia="宋体" w:cs="宋体"/>
          <w:color w:val="auto"/>
        </w:rPr>
      </w:pPr>
    </w:p>
    <w:p w14:paraId="041579F1">
      <w:pPr>
        <w:rPr>
          <w:rFonts w:hint="eastAsia" w:ascii="宋体" w:hAnsi="宋体" w:eastAsia="宋体" w:cs="宋体"/>
          <w:color w:val="auto"/>
        </w:rPr>
      </w:pPr>
    </w:p>
    <w:p w14:paraId="0EC91463">
      <w:pPr>
        <w:rPr>
          <w:rFonts w:hint="eastAsia" w:ascii="宋体" w:hAnsi="宋体" w:eastAsia="宋体" w:cs="宋体"/>
          <w:color w:val="auto"/>
        </w:rPr>
      </w:pPr>
    </w:p>
    <w:p w14:paraId="41287465">
      <w:pPr>
        <w:pStyle w:val="3"/>
        <w:keepNext/>
        <w:keepLines/>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0" w:leftChars="0"/>
        <w:jc w:val="center"/>
        <w:textAlignment w:val="baseline"/>
        <w:rPr>
          <w:rFonts w:hint="eastAsia" w:ascii="宋体" w:hAnsi="宋体" w:eastAsia="宋体" w:cs="宋体"/>
          <w:color w:val="auto"/>
          <w:sz w:val="24"/>
        </w:rPr>
      </w:pPr>
      <w:r>
        <w:rPr>
          <w:rFonts w:hint="eastAsia" w:ascii="宋体" w:hAnsi="宋体" w:eastAsia="宋体" w:cs="宋体"/>
          <w:color w:val="auto"/>
          <w:sz w:val="30"/>
          <w:szCs w:val="30"/>
        </w:rPr>
        <w:br w:type="page"/>
      </w:r>
      <w:r>
        <w:rPr>
          <w:rFonts w:hint="eastAsia" w:ascii="宋体" w:hAnsi="宋体" w:eastAsia="宋体" w:cs="宋体"/>
          <w:color w:val="auto"/>
          <w:sz w:val="30"/>
          <w:szCs w:val="30"/>
        </w:rPr>
        <w:t>三、授权委托书</w:t>
      </w:r>
    </w:p>
    <w:p w14:paraId="5F3975E7">
      <w:pPr>
        <w:spacing w:line="48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本人</w:t>
      </w:r>
      <w:r>
        <w:rPr>
          <w:rFonts w:hint="eastAsia" w:ascii="宋体" w:hAnsi="宋体" w:eastAsia="宋体" w:cs="宋体"/>
          <w:color w:val="auto"/>
          <w:sz w:val="24"/>
          <w:szCs w:val="24"/>
          <w:u w:val="single"/>
          <w:lang w:val="en-US" w:bidi="zh-CN"/>
        </w:rPr>
        <w:t xml:space="preserve">      </w:t>
      </w:r>
      <w:r>
        <w:rPr>
          <w:rFonts w:hint="eastAsia" w:ascii="宋体" w:hAnsi="宋体" w:eastAsia="宋体" w:cs="宋体"/>
          <w:color w:val="auto"/>
          <w:sz w:val="24"/>
          <w:u w:val="single"/>
        </w:rPr>
        <w:t>（姓名）</w:t>
      </w:r>
      <w:r>
        <w:rPr>
          <w:rFonts w:hint="eastAsia" w:ascii="宋体" w:hAnsi="宋体" w:eastAsia="宋体" w:cs="宋体"/>
          <w:color w:val="auto"/>
          <w:sz w:val="24"/>
        </w:rPr>
        <w:t>系</w:t>
      </w:r>
      <w:r>
        <w:rPr>
          <w:rFonts w:hint="eastAsia" w:ascii="宋体" w:hAnsi="宋体" w:eastAsia="宋体" w:cs="宋体"/>
          <w:color w:val="auto"/>
          <w:sz w:val="24"/>
          <w:szCs w:val="24"/>
          <w:u w:val="single"/>
          <w:lang w:val="en-US" w:bidi="zh-CN"/>
        </w:rPr>
        <w:t xml:space="preserve">               </w:t>
      </w:r>
      <w:r>
        <w:rPr>
          <w:rFonts w:hint="eastAsia" w:ascii="宋体" w:hAnsi="宋体" w:eastAsia="宋体" w:cs="宋体"/>
          <w:color w:val="auto"/>
          <w:sz w:val="24"/>
          <w:u w:val="single"/>
        </w:rPr>
        <w:t>（供应商名称）</w:t>
      </w:r>
      <w:r>
        <w:rPr>
          <w:rFonts w:hint="eastAsia" w:ascii="宋体" w:hAnsi="宋体" w:eastAsia="宋体" w:cs="宋体"/>
          <w:color w:val="auto"/>
          <w:sz w:val="24"/>
        </w:rPr>
        <w:t>的法定代表人，现委托</w:t>
      </w:r>
    </w:p>
    <w:p w14:paraId="7BF0774F">
      <w:pPr>
        <w:spacing w:line="480" w:lineRule="auto"/>
        <w:rPr>
          <w:rFonts w:hint="eastAsia" w:ascii="宋体" w:hAnsi="宋体" w:eastAsia="宋体" w:cs="宋体"/>
          <w:color w:val="auto"/>
          <w:sz w:val="24"/>
        </w:rPr>
      </w:pPr>
      <w:r>
        <w:rPr>
          <w:rFonts w:hint="eastAsia" w:ascii="宋体" w:hAnsi="宋体" w:eastAsia="宋体" w:cs="宋体"/>
          <w:color w:val="auto"/>
          <w:sz w:val="24"/>
          <w:szCs w:val="24"/>
          <w:u w:val="single"/>
          <w:lang w:val="en-US" w:bidi="zh-CN"/>
        </w:rPr>
        <w:t xml:space="preserve">               </w:t>
      </w:r>
      <w:r>
        <w:rPr>
          <w:rFonts w:hint="eastAsia" w:ascii="宋体" w:hAnsi="宋体" w:eastAsia="宋体" w:cs="宋体"/>
          <w:color w:val="auto"/>
          <w:sz w:val="24"/>
          <w:u w:val="single"/>
        </w:rPr>
        <w:t>（姓名）</w:t>
      </w:r>
      <w:r>
        <w:rPr>
          <w:rFonts w:hint="eastAsia" w:ascii="宋体" w:hAnsi="宋体" w:eastAsia="宋体" w:cs="宋体"/>
          <w:color w:val="auto"/>
          <w:sz w:val="24"/>
        </w:rPr>
        <w:t>为我方代理人。代理人根据授权，以我方名义签署、澄清、说明、补正、递交、撤回、修改</w:t>
      </w:r>
      <w:r>
        <w:rPr>
          <w:rFonts w:hint="eastAsia" w:ascii="宋体" w:hAnsi="宋体" w:eastAsia="宋体" w:cs="宋体"/>
          <w:color w:val="auto"/>
          <w:sz w:val="24"/>
          <w:szCs w:val="24"/>
          <w:u w:val="single"/>
          <w:lang w:val="en-US" w:bidi="zh-CN"/>
        </w:rPr>
        <w:t xml:space="preserve">               </w:t>
      </w:r>
      <w:r>
        <w:rPr>
          <w:rFonts w:hint="eastAsia" w:ascii="宋体" w:hAnsi="宋体" w:eastAsia="宋体" w:cs="宋体"/>
          <w:color w:val="auto"/>
          <w:sz w:val="24"/>
          <w:u w:val="single"/>
        </w:rPr>
        <w:t>（项目名称）</w:t>
      </w:r>
      <w:r>
        <w:rPr>
          <w:rFonts w:hint="eastAsia" w:ascii="宋体" w:hAnsi="宋体" w:eastAsia="宋体" w:cs="宋体"/>
          <w:color w:val="auto"/>
          <w:sz w:val="24"/>
        </w:rPr>
        <w:t>竞争性磋商文件、签订合同和处理有关事宜，其法律后果由我方承担。</w:t>
      </w:r>
    </w:p>
    <w:p w14:paraId="67EE731D">
      <w:pPr>
        <w:spacing w:beforeLines="50" w:line="48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委托期限：</w:t>
      </w:r>
      <w:r>
        <w:rPr>
          <w:rFonts w:hint="eastAsia" w:ascii="宋体" w:hAnsi="宋体" w:eastAsia="宋体" w:cs="宋体"/>
          <w:color w:val="auto"/>
          <w:sz w:val="24"/>
          <w:szCs w:val="24"/>
          <w:u w:val="single"/>
          <w:lang w:val="en-US" w:bidi="zh-CN"/>
        </w:rPr>
        <w:t xml:space="preserve">               </w:t>
      </w:r>
      <w:r>
        <w:rPr>
          <w:rFonts w:hint="eastAsia" w:ascii="宋体" w:hAnsi="宋体" w:eastAsia="宋体" w:cs="宋体"/>
          <w:color w:val="auto"/>
          <w:sz w:val="24"/>
        </w:rPr>
        <w:t>。</w:t>
      </w:r>
    </w:p>
    <w:p w14:paraId="4602D3FD">
      <w:pPr>
        <w:spacing w:beforeLines="100" w:afterLines="100" w:line="48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代理人无转委托权。</w:t>
      </w:r>
    </w:p>
    <w:p w14:paraId="555BE789">
      <w:pPr>
        <w:spacing w:line="360" w:lineRule="auto"/>
        <w:ind w:left="2940" w:leftChars="1400"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u w:val="single"/>
          <w:lang w:val="en-US" w:bidi="zh-CN"/>
        </w:rPr>
        <w:t xml:space="preserve">                   </w:t>
      </w:r>
      <w:r>
        <w:rPr>
          <w:rFonts w:hint="eastAsia" w:ascii="宋体" w:hAnsi="宋体" w:eastAsia="宋体" w:cs="宋体"/>
          <w:color w:val="auto"/>
          <w:sz w:val="24"/>
          <w:szCs w:val="24"/>
        </w:rPr>
        <w:t>（盖章）</w:t>
      </w:r>
    </w:p>
    <w:p w14:paraId="162D5430">
      <w:pPr>
        <w:spacing w:line="360" w:lineRule="auto"/>
        <w:ind w:left="2940" w:leftChars="1400"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single"/>
          <w:lang w:val="en-US" w:bidi="zh-CN"/>
        </w:rPr>
        <w:t xml:space="preserve">          </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签字或盖章</w:t>
      </w:r>
      <w:r>
        <w:rPr>
          <w:rFonts w:hint="eastAsia" w:ascii="宋体" w:hAnsi="宋体" w:eastAsia="宋体" w:cs="宋体"/>
          <w:color w:val="auto"/>
          <w:sz w:val="24"/>
          <w:szCs w:val="24"/>
        </w:rPr>
        <w:t>）</w:t>
      </w:r>
    </w:p>
    <w:p w14:paraId="258B43DE">
      <w:pPr>
        <w:spacing w:line="480" w:lineRule="auto"/>
        <w:ind w:firstLine="3360" w:firstLineChars="1400"/>
        <w:rPr>
          <w:rFonts w:hint="eastAsia" w:ascii="宋体" w:hAnsi="宋体" w:eastAsia="宋体" w:cs="宋体"/>
          <w:color w:val="auto"/>
          <w:sz w:val="24"/>
        </w:rPr>
      </w:pPr>
      <w:r>
        <w:rPr>
          <w:rFonts w:hint="eastAsia" w:ascii="宋体" w:hAnsi="宋体" w:eastAsia="宋体" w:cs="宋体"/>
          <w:color w:val="auto"/>
          <w:sz w:val="24"/>
        </w:rPr>
        <w:t>委托代理人：</w:t>
      </w:r>
      <w:r>
        <w:rPr>
          <w:rFonts w:hint="eastAsia" w:ascii="宋体" w:hAnsi="宋体" w:eastAsia="宋体" w:cs="宋体"/>
          <w:color w:val="auto"/>
          <w:sz w:val="24"/>
          <w:szCs w:val="24"/>
          <w:u w:val="single"/>
          <w:lang w:val="en-US" w:bidi="zh-CN"/>
        </w:rPr>
        <w:t xml:space="preserve">               </w:t>
      </w:r>
      <w:r>
        <w:rPr>
          <w:rFonts w:hint="eastAsia" w:ascii="宋体" w:hAnsi="宋体" w:eastAsia="宋体" w:cs="宋体"/>
          <w:color w:val="auto"/>
          <w:sz w:val="24"/>
        </w:rPr>
        <w:t>（签字）</w:t>
      </w:r>
    </w:p>
    <w:p w14:paraId="606A72F3">
      <w:pPr>
        <w:spacing w:line="360" w:lineRule="auto"/>
        <w:ind w:left="2940" w:leftChars="1400" w:firstLine="360" w:firstLineChars="150"/>
        <w:rPr>
          <w:rFonts w:hint="eastAsia" w:ascii="宋体" w:hAnsi="宋体" w:eastAsia="宋体" w:cs="宋体"/>
          <w:color w:val="auto"/>
        </w:rPr>
      </w:pPr>
      <w:r>
        <w:rPr>
          <w:rFonts w:hint="eastAsia" w:ascii="宋体" w:hAnsi="宋体" w:eastAsia="宋体" w:cs="宋体"/>
          <w:color w:val="auto"/>
          <w:sz w:val="24"/>
          <w:szCs w:val="24"/>
        </w:rPr>
        <w:t>日期：</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2EC517CF">
      <w:pPr>
        <w:rPr>
          <w:rFonts w:hint="eastAsia" w:ascii="宋体" w:hAnsi="宋体" w:eastAsia="宋体" w:cs="宋体"/>
          <w:color w:val="auto"/>
        </w:rPr>
      </w:pPr>
    </w:p>
    <w:p w14:paraId="726F018A">
      <w:pPr>
        <w:spacing w:line="480" w:lineRule="auto"/>
        <w:ind w:firstLine="2409" w:firstLineChars="1000"/>
        <w:rPr>
          <w:rFonts w:hint="eastAsia" w:ascii="宋体" w:hAnsi="宋体" w:eastAsia="宋体" w:cs="宋体"/>
          <w:b/>
          <w:color w:val="auto"/>
          <w:sz w:val="24"/>
          <w:szCs w:val="24"/>
        </w:rPr>
      </w:pPr>
      <w:r>
        <w:rPr>
          <w:rFonts w:hint="eastAsia" w:ascii="宋体" w:hAnsi="宋体" w:eastAsia="宋体" w:cs="宋体"/>
          <w:b/>
          <w:color w:val="auto"/>
          <w:sz w:val="24"/>
          <w:szCs w:val="24"/>
        </w:rPr>
        <w:t>（后附法定代表人、委托代理人身份证扫描件）</w:t>
      </w:r>
      <w:bookmarkStart w:id="24" w:name="OLE_LINK5"/>
      <w:bookmarkStart w:id="25" w:name="OLE_LINK6"/>
    </w:p>
    <w:p w14:paraId="222C174B">
      <w:pPr>
        <w:widowControl/>
        <w:suppressAutoHyphens/>
        <w:spacing w:line="480" w:lineRule="exact"/>
        <w:ind w:firstLine="482" w:firstLineChars="200"/>
        <w:jc w:val="left"/>
        <w:rPr>
          <w:rFonts w:hint="eastAsia" w:ascii="宋体" w:hAnsi="宋体" w:cs="宋体"/>
          <w:b/>
          <w:bCs/>
          <w:color w:val="auto"/>
          <w:kern w:val="0"/>
          <w:sz w:val="24"/>
          <w:szCs w:val="24"/>
          <w:highlight w:val="none"/>
        </w:rPr>
      </w:pPr>
    </w:p>
    <w:p w14:paraId="4245B83A">
      <w:pPr>
        <w:widowControl/>
        <w:suppressAutoHyphens/>
        <w:spacing w:line="480" w:lineRule="exact"/>
        <w:jc w:val="left"/>
        <w:rPr>
          <w:rFonts w:ascii="宋体" w:hAnsi="宋体" w:cs="宋体"/>
          <w:b/>
          <w:bCs/>
          <w:color w:val="auto"/>
          <w:kern w:val="1"/>
          <w:sz w:val="24"/>
          <w:szCs w:val="24"/>
          <w:highlight w:val="none"/>
        </w:rPr>
      </w:pPr>
      <w:r>
        <w:rPr>
          <w:rFonts w:hint="eastAsia" w:ascii="宋体" w:hAnsi="宋体" w:cs="宋体"/>
          <w:b/>
          <w:bCs/>
          <w:color w:val="auto"/>
          <w:kern w:val="0"/>
          <w:sz w:val="24"/>
          <w:szCs w:val="24"/>
          <w:highlight w:val="none"/>
        </w:rPr>
        <w:t>注：因</w:t>
      </w:r>
      <w:r>
        <w:rPr>
          <w:rFonts w:hint="eastAsia" w:ascii="宋体" w:hAnsi="宋体" w:cs="宋体"/>
          <w:b/>
          <w:bCs/>
          <w:color w:val="auto"/>
          <w:kern w:val="0"/>
          <w:sz w:val="24"/>
          <w:szCs w:val="24"/>
          <w:highlight w:val="none"/>
          <w:lang w:eastAsia="zh-CN"/>
        </w:rPr>
        <w:t>响应</w:t>
      </w:r>
      <w:r>
        <w:rPr>
          <w:rFonts w:hint="eastAsia" w:ascii="宋体" w:hAnsi="宋体" w:cs="宋体"/>
          <w:b/>
          <w:bCs/>
          <w:color w:val="auto"/>
          <w:kern w:val="0"/>
          <w:sz w:val="24"/>
          <w:szCs w:val="24"/>
          <w:highlight w:val="none"/>
        </w:rPr>
        <w:t>文件中授权委托书授权代理人无法手写签字，可以以印刷体代替（印刷体为电脑打出的字体）。</w:t>
      </w:r>
    </w:p>
    <w:p w14:paraId="76614B09">
      <w:pPr>
        <w:rPr>
          <w:rFonts w:hint="eastAsia" w:ascii="宋体" w:hAnsi="宋体" w:eastAsia="宋体" w:cs="宋体"/>
          <w:color w:val="auto"/>
        </w:rPr>
      </w:pPr>
    </w:p>
    <w:p w14:paraId="66C73474">
      <w:pPr>
        <w:rPr>
          <w:rFonts w:hint="eastAsia" w:ascii="宋体" w:hAnsi="宋体" w:eastAsia="宋体" w:cs="宋体"/>
          <w:color w:val="auto"/>
        </w:rPr>
      </w:pPr>
    </w:p>
    <w:p w14:paraId="1495F356">
      <w:pPr>
        <w:rPr>
          <w:rFonts w:hint="eastAsia" w:ascii="宋体" w:hAnsi="宋体" w:eastAsia="宋体" w:cs="宋体"/>
          <w:color w:val="auto"/>
        </w:rPr>
      </w:pPr>
    </w:p>
    <w:bookmarkEnd w:id="24"/>
    <w:bookmarkEnd w:id="25"/>
    <w:p w14:paraId="0189A58F">
      <w:pPr>
        <w:rPr>
          <w:rFonts w:hint="eastAsia" w:ascii="宋体" w:hAnsi="宋体" w:eastAsia="宋体" w:cs="宋体"/>
          <w:color w:val="auto"/>
        </w:rPr>
      </w:pPr>
      <w:r>
        <w:rPr>
          <w:rFonts w:hint="eastAsia" w:ascii="宋体" w:hAnsi="宋体" w:eastAsia="宋体" w:cs="宋体"/>
          <w:color w:val="auto"/>
        </w:rPr>
        <w:br w:type="page"/>
      </w:r>
    </w:p>
    <w:p w14:paraId="6B5A5B17">
      <w:pPr>
        <w:pStyle w:val="3"/>
        <w:numPr>
          <w:ilvl w:val="1"/>
          <w:numId w:val="0"/>
        </w:numPr>
        <w:ind w:left="419" w:leftChars="0"/>
        <w:jc w:val="center"/>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rPr>
        <w:t>四、资格审查</w:t>
      </w:r>
      <w:r>
        <w:rPr>
          <w:rFonts w:hint="eastAsia" w:ascii="宋体" w:hAnsi="宋体" w:eastAsia="宋体" w:cs="宋体"/>
          <w:color w:val="auto"/>
          <w:sz w:val="30"/>
          <w:szCs w:val="30"/>
          <w:lang w:val="en-US" w:eastAsia="zh-CN"/>
        </w:rPr>
        <w:t>资料</w:t>
      </w:r>
    </w:p>
    <w:p w14:paraId="6C20363D">
      <w:pPr>
        <w:rPr>
          <w:rFonts w:hint="eastAsia" w:ascii="宋体" w:hAnsi="宋体" w:eastAsia="宋体" w:cs="宋体"/>
          <w:color w:val="auto"/>
          <w:sz w:val="24"/>
          <w:szCs w:val="24"/>
        </w:rPr>
      </w:pPr>
    </w:p>
    <w:p w14:paraId="7B529F8D">
      <w:pPr>
        <w:jc w:val="left"/>
        <w:rPr>
          <w:rFonts w:hint="eastAsia" w:ascii="宋体" w:hAnsi="宋体" w:eastAsia="宋体" w:cs="宋体"/>
          <w:color w:val="auto"/>
          <w:sz w:val="30"/>
          <w:szCs w:val="30"/>
        </w:rPr>
      </w:pPr>
      <w:r>
        <w:rPr>
          <w:rFonts w:hint="eastAsia" w:ascii="宋体" w:hAnsi="宋体" w:eastAsia="宋体" w:cs="宋体"/>
          <w:color w:val="auto"/>
          <w:sz w:val="30"/>
          <w:szCs w:val="30"/>
        </w:rPr>
        <w:br w:type="page"/>
      </w:r>
    </w:p>
    <w:p w14:paraId="559726E9">
      <w:pPr>
        <w:pStyle w:val="3"/>
        <w:numPr>
          <w:ilvl w:val="1"/>
          <w:numId w:val="0"/>
        </w:numPr>
        <w:ind w:left="419" w:leftChars="0"/>
        <w:jc w:val="center"/>
        <w:rPr>
          <w:rFonts w:hint="eastAsia" w:ascii="宋体" w:hAnsi="宋体" w:eastAsia="宋体" w:cs="宋体"/>
          <w:color w:val="auto"/>
          <w:sz w:val="30"/>
          <w:szCs w:val="30"/>
        </w:rPr>
      </w:pPr>
      <w:r>
        <w:rPr>
          <w:rFonts w:hint="eastAsia" w:ascii="宋体" w:hAnsi="宋体" w:eastAsia="宋体" w:cs="宋体"/>
          <w:color w:val="auto"/>
          <w:sz w:val="30"/>
          <w:szCs w:val="30"/>
        </w:rPr>
        <w:t>五、供应商基本情况表</w:t>
      </w:r>
    </w:p>
    <w:p w14:paraId="6A4638EB">
      <w:pPr>
        <w:spacing w:beforeLines="50" w:afterLines="10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1、供应商基本情况表</w:t>
      </w:r>
    </w:p>
    <w:tbl>
      <w:tblPr>
        <w:tblStyle w:val="20"/>
        <w:tblW w:w="9219" w:type="dxa"/>
        <w:jc w:val="center"/>
        <w:tblLayout w:type="fixed"/>
        <w:tblCellMar>
          <w:top w:w="0" w:type="dxa"/>
          <w:left w:w="84" w:type="dxa"/>
          <w:bottom w:w="0" w:type="dxa"/>
          <w:right w:w="0" w:type="dxa"/>
        </w:tblCellMar>
      </w:tblPr>
      <w:tblGrid>
        <w:gridCol w:w="2096"/>
        <w:gridCol w:w="1163"/>
        <w:gridCol w:w="2152"/>
        <w:gridCol w:w="1433"/>
        <w:gridCol w:w="2375"/>
      </w:tblGrid>
      <w:tr w14:paraId="402187DB">
        <w:tblPrEx>
          <w:tblCellMar>
            <w:top w:w="0" w:type="dxa"/>
            <w:left w:w="84" w:type="dxa"/>
            <w:bottom w:w="0" w:type="dxa"/>
            <w:right w:w="0" w:type="dxa"/>
          </w:tblCellMar>
        </w:tblPrEx>
        <w:trPr>
          <w:trHeight w:val="713" w:hRule="atLeast"/>
          <w:jc w:val="center"/>
        </w:trPr>
        <w:tc>
          <w:tcPr>
            <w:tcW w:w="2096" w:type="dxa"/>
            <w:tcBorders>
              <w:top w:val="single" w:color="auto" w:sz="4" w:space="0"/>
              <w:left w:val="single" w:color="auto" w:sz="4" w:space="0"/>
              <w:bottom w:val="single" w:color="auto" w:sz="4" w:space="0"/>
              <w:right w:val="single" w:color="auto" w:sz="4" w:space="0"/>
            </w:tcBorders>
            <w:vAlign w:val="center"/>
          </w:tcPr>
          <w:p w14:paraId="47926563">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lang w:val="en-US" w:eastAsia="zh-CN"/>
              </w:rPr>
              <w:t>响应</w:t>
            </w:r>
            <w:r>
              <w:rPr>
                <w:rFonts w:hint="eastAsia" w:ascii="宋体" w:hAnsi="宋体" w:eastAsia="宋体" w:cs="宋体"/>
                <w:color w:val="auto"/>
                <w:sz w:val="24"/>
                <w:szCs w:val="24"/>
                <w:lang w:val="en-US" w:eastAsia="zh-CN"/>
              </w:rPr>
              <w:t>人</w:t>
            </w:r>
            <w:r>
              <w:rPr>
                <w:rFonts w:hint="eastAsia" w:ascii="宋体" w:hAnsi="宋体" w:cs="宋体"/>
                <w:color w:val="auto"/>
                <w:sz w:val="24"/>
                <w:szCs w:val="24"/>
                <w:highlight w:val="none"/>
              </w:rPr>
              <w:t>名称</w:t>
            </w:r>
          </w:p>
        </w:tc>
        <w:tc>
          <w:tcPr>
            <w:tcW w:w="7123" w:type="dxa"/>
            <w:gridSpan w:val="4"/>
            <w:tcBorders>
              <w:top w:val="single" w:color="auto" w:sz="4" w:space="0"/>
              <w:left w:val="single" w:color="auto" w:sz="4" w:space="0"/>
              <w:bottom w:val="single" w:color="auto" w:sz="4" w:space="0"/>
              <w:right w:val="single" w:color="auto" w:sz="4" w:space="0"/>
            </w:tcBorders>
            <w:vAlign w:val="center"/>
          </w:tcPr>
          <w:p w14:paraId="6C288EE0">
            <w:pPr>
              <w:widowControl/>
              <w:spacing w:line="360" w:lineRule="auto"/>
              <w:jc w:val="center"/>
              <w:rPr>
                <w:rFonts w:ascii="宋体" w:hAnsi="宋体" w:cs="宋体"/>
                <w:color w:val="auto"/>
                <w:sz w:val="24"/>
                <w:szCs w:val="24"/>
                <w:highlight w:val="none"/>
              </w:rPr>
            </w:pPr>
          </w:p>
        </w:tc>
      </w:tr>
      <w:tr w14:paraId="17124CBE">
        <w:tblPrEx>
          <w:tblCellMar>
            <w:top w:w="0" w:type="dxa"/>
            <w:left w:w="84" w:type="dxa"/>
            <w:bottom w:w="0" w:type="dxa"/>
            <w:right w:w="0" w:type="dxa"/>
          </w:tblCellMar>
        </w:tblPrEx>
        <w:trPr>
          <w:trHeight w:val="713" w:hRule="atLeast"/>
          <w:jc w:val="center"/>
        </w:trPr>
        <w:tc>
          <w:tcPr>
            <w:tcW w:w="2096" w:type="dxa"/>
            <w:tcBorders>
              <w:top w:val="single" w:color="auto" w:sz="4" w:space="0"/>
              <w:left w:val="single" w:color="auto" w:sz="4" w:space="0"/>
              <w:bottom w:val="single" w:color="auto" w:sz="4" w:space="0"/>
              <w:right w:val="single" w:color="auto" w:sz="4" w:space="0"/>
            </w:tcBorders>
            <w:vAlign w:val="center"/>
          </w:tcPr>
          <w:p w14:paraId="2A999759">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注册地址</w:t>
            </w:r>
          </w:p>
        </w:tc>
        <w:tc>
          <w:tcPr>
            <w:tcW w:w="3315" w:type="dxa"/>
            <w:gridSpan w:val="2"/>
            <w:tcBorders>
              <w:top w:val="single" w:color="auto" w:sz="4" w:space="0"/>
              <w:left w:val="single" w:color="auto" w:sz="4" w:space="0"/>
              <w:bottom w:val="single" w:color="auto" w:sz="4" w:space="0"/>
              <w:right w:val="single" w:color="auto" w:sz="4" w:space="0"/>
            </w:tcBorders>
            <w:vAlign w:val="center"/>
          </w:tcPr>
          <w:p w14:paraId="18D9AAD0">
            <w:pPr>
              <w:widowControl/>
              <w:spacing w:line="360" w:lineRule="auto"/>
              <w:jc w:val="center"/>
              <w:rPr>
                <w:rFonts w:ascii="宋体" w:hAnsi="宋体" w:cs="宋体"/>
                <w:color w:val="auto"/>
                <w:sz w:val="24"/>
                <w:szCs w:val="24"/>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14:paraId="7FFB8C54">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邮政编码</w:t>
            </w:r>
          </w:p>
        </w:tc>
        <w:tc>
          <w:tcPr>
            <w:tcW w:w="2375" w:type="dxa"/>
            <w:tcBorders>
              <w:top w:val="single" w:color="auto" w:sz="4" w:space="0"/>
              <w:left w:val="single" w:color="auto" w:sz="4" w:space="0"/>
              <w:bottom w:val="single" w:color="auto" w:sz="4" w:space="0"/>
              <w:right w:val="single" w:color="auto" w:sz="4" w:space="0"/>
            </w:tcBorders>
            <w:vAlign w:val="center"/>
          </w:tcPr>
          <w:p w14:paraId="4CD32866">
            <w:pPr>
              <w:widowControl/>
              <w:spacing w:line="360" w:lineRule="auto"/>
              <w:jc w:val="center"/>
              <w:rPr>
                <w:rFonts w:ascii="宋体" w:hAnsi="宋体" w:cs="宋体"/>
                <w:color w:val="auto"/>
                <w:sz w:val="24"/>
                <w:szCs w:val="24"/>
                <w:highlight w:val="none"/>
              </w:rPr>
            </w:pPr>
          </w:p>
        </w:tc>
      </w:tr>
      <w:tr w14:paraId="154387CF">
        <w:tblPrEx>
          <w:tblCellMar>
            <w:top w:w="0" w:type="dxa"/>
            <w:left w:w="84" w:type="dxa"/>
            <w:bottom w:w="0" w:type="dxa"/>
            <w:right w:w="0" w:type="dxa"/>
          </w:tblCellMar>
        </w:tblPrEx>
        <w:trPr>
          <w:trHeight w:val="713" w:hRule="atLeast"/>
          <w:jc w:val="center"/>
        </w:trPr>
        <w:tc>
          <w:tcPr>
            <w:tcW w:w="2096" w:type="dxa"/>
            <w:vMerge w:val="restart"/>
            <w:tcBorders>
              <w:top w:val="single" w:color="auto" w:sz="4" w:space="0"/>
              <w:left w:val="single" w:color="auto" w:sz="4" w:space="0"/>
              <w:right w:val="single" w:color="auto" w:sz="4" w:space="0"/>
            </w:tcBorders>
            <w:vAlign w:val="center"/>
          </w:tcPr>
          <w:p w14:paraId="36A6D5E5">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联系方式</w:t>
            </w:r>
          </w:p>
        </w:tc>
        <w:tc>
          <w:tcPr>
            <w:tcW w:w="1163" w:type="dxa"/>
            <w:tcBorders>
              <w:top w:val="single" w:color="auto" w:sz="4" w:space="0"/>
              <w:left w:val="single" w:color="auto" w:sz="4" w:space="0"/>
              <w:bottom w:val="single" w:color="auto" w:sz="4" w:space="0"/>
              <w:right w:val="single" w:color="auto" w:sz="4" w:space="0"/>
            </w:tcBorders>
            <w:vAlign w:val="center"/>
          </w:tcPr>
          <w:p w14:paraId="54F1CE6C">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联系人</w:t>
            </w:r>
          </w:p>
        </w:tc>
        <w:tc>
          <w:tcPr>
            <w:tcW w:w="2152" w:type="dxa"/>
            <w:tcBorders>
              <w:top w:val="single" w:color="auto" w:sz="4" w:space="0"/>
              <w:left w:val="single" w:color="auto" w:sz="4" w:space="0"/>
              <w:bottom w:val="single" w:color="auto" w:sz="4" w:space="0"/>
              <w:right w:val="single" w:color="auto" w:sz="4" w:space="0"/>
            </w:tcBorders>
            <w:vAlign w:val="center"/>
          </w:tcPr>
          <w:p w14:paraId="34134137">
            <w:pPr>
              <w:widowControl/>
              <w:spacing w:line="360" w:lineRule="auto"/>
              <w:jc w:val="center"/>
              <w:rPr>
                <w:rFonts w:ascii="宋体" w:hAnsi="宋体" w:cs="宋体"/>
                <w:color w:val="auto"/>
                <w:sz w:val="24"/>
                <w:szCs w:val="24"/>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14:paraId="0C1F6360">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2375" w:type="dxa"/>
            <w:tcBorders>
              <w:top w:val="single" w:color="auto" w:sz="4" w:space="0"/>
              <w:left w:val="single" w:color="auto" w:sz="4" w:space="0"/>
              <w:bottom w:val="single" w:color="auto" w:sz="4" w:space="0"/>
              <w:right w:val="single" w:color="auto" w:sz="4" w:space="0"/>
            </w:tcBorders>
            <w:vAlign w:val="center"/>
          </w:tcPr>
          <w:p w14:paraId="55F643A0">
            <w:pPr>
              <w:widowControl/>
              <w:spacing w:line="360" w:lineRule="auto"/>
              <w:jc w:val="center"/>
              <w:rPr>
                <w:rFonts w:ascii="宋体" w:hAnsi="宋体" w:cs="宋体"/>
                <w:color w:val="auto"/>
                <w:sz w:val="24"/>
                <w:szCs w:val="24"/>
                <w:highlight w:val="none"/>
              </w:rPr>
            </w:pPr>
          </w:p>
        </w:tc>
      </w:tr>
      <w:tr w14:paraId="2C4709CE">
        <w:tblPrEx>
          <w:tblCellMar>
            <w:top w:w="0" w:type="dxa"/>
            <w:left w:w="84" w:type="dxa"/>
            <w:bottom w:w="0" w:type="dxa"/>
            <w:right w:w="0" w:type="dxa"/>
          </w:tblCellMar>
        </w:tblPrEx>
        <w:trPr>
          <w:trHeight w:val="713" w:hRule="atLeast"/>
          <w:jc w:val="center"/>
        </w:trPr>
        <w:tc>
          <w:tcPr>
            <w:tcW w:w="2096" w:type="dxa"/>
            <w:vMerge w:val="continue"/>
            <w:tcBorders>
              <w:left w:val="single" w:color="auto" w:sz="4" w:space="0"/>
              <w:bottom w:val="single" w:color="auto" w:sz="4" w:space="0"/>
              <w:right w:val="single" w:color="auto" w:sz="4" w:space="0"/>
            </w:tcBorders>
            <w:vAlign w:val="center"/>
          </w:tcPr>
          <w:p w14:paraId="4421D917">
            <w:pPr>
              <w:widowControl/>
              <w:spacing w:line="360" w:lineRule="auto"/>
              <w:jc w:val="center"/>
              <w:rPr>
                <w:rFonts w:ascii="宋体" w:hAnsi="宋体" w:cs="宋体"/>
                <w:color w:val="auto"/>
                <w:sz w:val="24"/>
                <w:szCs w:val="24"/>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14:paraId="5EC677AB">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2152" w:type="dxa"/>
            <w:tcBorders>
              <w:top w:val="single" w:color="auto" w:sz="4" w:space="0"/>
              <w:left w:val="single" w:color="auto" w:sz="4" w:space="0"/>
              <w:bottom w:val="single" w:color="auto" w:sz="4" w:space="0"/>
              <w:right w:val="single" w:color="auto" w:sz="4" w:space="0"/>
            </w:tcBorders>
            <w:vAlign w:val="center"/>
          </w:tcPr>
          <w:p w14:paraId="539DBE57">
            <w:pPr>
              <w:widowControl/>
              <w:spacing w:line="360" w:lineRule="auto"/>
              <w:jc w:val="center"/>
              <w:rPr>
                <w:rFonts w:ascii="宋体" w:hAnsi="宋体" w:cs="宋体"/>
                <w:color w:val="auto"/>
                <w:sz w:val="24"/>
                <w:szCs w:val="24"/>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14:paraId="5BACE07E">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网址</w:t>
            </w:r>
          </w:p>
        </w:tc>
        <w:tc>
          <w:tcPr>
            <w:tcW w:w="2375" w:type="dxa"/>
            <w:tcBorders>
              <w:top w:val="single" w:color="auto" w:sz="4" w:space="0"/>
              <w:left w:val="single" w:color="auto" w:sz="4" w:space="0"/>
              <w:bottom w:val="single" w:color="auto" w:sz="4" w:space="0"/>
              <w:right w:val="single" w:color="auto" w:sz="4" w:space="0"/>
            </w:tcBorders>
            <w:vAlign w:val="center"/>
          </w:tcPr>
          <w:p w14:paraId="171BD861">
            <w:pPr>
              <w:widowControl/>
              <w:spacing w:line="360" w:lineRule="auto"/>
              <w:jc w:val="center"/>
              <w:rPr>
                <w:rFonts w:ascii="宋体" w:hAnsi="宋体" w:cs="宋体"/>
                <w:color w:val="auto"/>
                <w:sz w:val="24"/>
                <w:szCs w:val="24"/>
                <w:highlight w:val="none"/>
              </w:rPr>
            </w:pPr>
          </w:p>
        </w:tc>
      </w:tr>
      <w:tr w14:paraId="05C931C7">
        <w:tblPrEx>
          <w:tblCellMar>
            <w:top w:w="0" w:type="dxa"/>
            <w:left w:w="84" w:type="dxa"/>
            <w:bottom w:w="0" w:type="dxa"/>
            <w:right w:w="0" w:type="dxa"/>
          </w:tblCellMar>
        </w:tblPrEx>
        <w:trPr>
          <w:trHeight w:val="713" w:hRule="atLeast"/>
          <w:jc w:val="center"/>
        </w:trPr>
        <w:tc>
          <w:tcPr>
            <w:tcW w:w="2096" w:type="dxa"/>
            <w:tcBorders>
              <w:top w:val="single" w:color="auto" w:sz="4" w:space="0"/>
              <w:left w:val="single" w:color="auto" w:sz="4" w:space="0"/>
              <w:bottom w:val="single" w:color="auto" w:sz="4" w:space="0"/>
              <w:right w:val="single" w:color="auto" w:sz="4" w:space="0"/>
            </w:tcBorders>
            <w:vAlign w:val="center"/>
          </w:tcPr>
          <w:p w14:paraId="479FEA28">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法定代表人</w:t>
            </w:r>
          </w:p>
        </w:tc>
        <w:tc>
          <w:tcPr>
            <w:tcW w:w="1163" w:type="dxa"/>
            <w:tcBorders>
              <w:top w:val="single" w:color="auto" w:sz="4" w:space="0"/>
              <w:left w:val="single" w:color="auto" w:sz="4" w:space="0"/>
              <w:bottom w:val="single" w:color="auto" w:sz="4" w:space="0"/>
              <w:right w:val="single" w:color="auto" w:sz="4" w:space="0"/>
            </w:tcBorders>
            <w:vAlign w:val="center"/>
          </w:tcPr>
          <w:p w14:paraId="31ACFFB3">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2152" w:type="dxa"/>
            <w:tcBorders>
              <w:top w:val="single" w:color="auto" w:sz="4" w:space="0"/>
              <w:left w:val="single" w:color="auto" w:sz="4" w:space="0"/>
              <w:bottom w:val="single" w:color="auto" w:sz="4" w:space="0"/>
              <w:right w:val="single" w:color="auto" w:sz="4" w:space="0"/>
            </w:tcBorders>
            <w:vAlign w:val="center"/>
          </w:tcPr>
          <w:p w14:paraId="53899CA2">
            <w:pPr>
              <w:widowControl/>
              <w:spacing w:line="360" w:lineRule="auto"/>
              <w:jc w:val="center"/>
              <w:rPr>
                <w:rFonts w:ascii="宋体" w:hAnsi="宋体" w:cs="宋体"/>
                <w:color w:val="auto"/>
                <w:sz w:val="24"/>
                <w:szCs w:val="24"/>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14:paraId="3B0612F0">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2375" w:type="dxa"/>
            <w:tcBorders>
              <w:top w:val="single" w:color="auto" w:sz="4" w:space="0"/>
              <w:left w:val="single" w:color="auto" w:sz="4" w:space="0"/>
              <w:bottom w:val="single" w:color="auto" w:sz="4" w:space="0"/>
              <w:right w:val="single" w:color="auto" w:sz="4" w:space="0"/>
            </w:tcBorders>
            <w:vAlign w:val="center"/>
          </w:tcPr>
          <w:p w14:paraId="7DEE74E7">
            <w:pPr>
              <w:widowControl/>
              <w:spacing w:line="360" w:lineRule="auto"/>
              <w:jc w:val="center"/>
              <w:rPr>
                <w:rFonts w:ascii="宋体" w:hAnsi="宋体" w:cs="宋体"/>
                <w:color w:val="auto"/>
                <w:sz w:val="24"/>
                <w:szCs w:val="24"/>
                <w:highlight w:val="none"/>
              </w:rPr>
            </w:pPr>
          </w:p>
        </w:tc>
      </w:tr>
      <w:tr w14:paraId="05D57FD1">
        <w:tblPrEx>
          <w:tblCellMar>
            <w:top w:w="0" w:type="dxa"/>
            <w:left w:w="84" w:type="dxa"/>
            <w:bottom w:w="0" w:type="dxa"/>
            <w:right w:w="0" w:type="dxa"/>
          </w:tblCellMar>
        </w:tblPrEx>
        <w:trPr>
          <w:trHeight w:val="713" w:hRule="atLeast"/>
          <w:jc w:val="center"/>
        </w:trPr>
        <w:tc>
          <w:tcPr>
            <w:tcW w:w="2096" w:type="dxa"/>
            <w:tcBorders>
              <w:top w:val="single" w:color="auto" w:sz="4" w:space="0"/>
              <w:left w:val="single" w:color="auto" w:sz="4" w:space="0"/>
              <w:bottom w:val="single" w:color="auto" w:sz="4" w:space="0"/>
              <w:right w:val="single" w:color="auto" w:sz="4" w:space="0"/>
            </w:tcBorders>
            <w:vAlign w:val="center"/>
          </w:tcPr>
          <w:p w14:paraId="2CECACDC">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成立时间</w:t>
            </w:r>
          </w:p>
        </w:tc>
        <w:tc>
          <w:tcPr>
            <w:tcW w:w="7123" w:type="dxa"/>
            <w:gridSpan w:val="4"/>
            <w:tcBorders>
              <w:top w:val="single" w:color="auto" w:sz="4" w:space="0"/>
              <w:left w:val="single" w:color="auto" w:sz="4" w:space="0"/>
              <w:bottom w:val="single" w:color="auto" w:sz="4" w:space="0"/>
              <w:right w:val="single" w:color="auto" w:sz="4" w:space="0"/>
            </w:tcBorders>
            <w:vAlign w:val="center"/>
          </w:tcPr>
          <w:p w14:paraId="60B51B74">
            <w:pPr>
              <w:widowControl/>
              <w:spacing w:line="360" w:lineRule="auto"/>
              <w:jc w:val="center"/>
              <w:rPr>
                <w:rFonts w:ascii="宋体" w:hAnsi="宋体" w:cs="宋体"/>
                <w:color w:val="auto"/>
                <w:sz w:val="24"/>
                <w:szCs w:val="24"/>
                <w:highlight w:val="none"/>
              </w:rPr>
            </w:pPr>
          </w:p>
        </w:tc>
      </w:tr>
      <w:tr w14:paraId="275F21C6">
        <w:tblPrEx>
          <w:tblCellMar>
            <w:top w:w="0" w:type="dxa"/>
            <w:left w:w="84" w:type="dxa"/>
            <w:bottom w:w="0" w:type="dxa"/>
            <w:right w:w="0" w:type="dxa"/>
          </w:tblCellMar>
        </w:tblPrEx>
        <w:trPr>
          <w:trHeight w:val="713" w:hRule="atLeast"/>
          <w:jc w:val="center"/>
        </w:trPr>
        <w:tc>
          <w:tcPr>
            <w:tcW w:w="2096" w:type="dxa"/>
            <w:tcBorders>
              <w:top w:val="single" w:color="auto" w:sz="4" w:space="0"/>
              <w:left w:val="single" w:color="auto" w:sz="4" w:space="0"/>
              <w:bottom w:val="single" w:color="auto" w:sz="4" w:space="0"/>
              <w:right w:val="single" w:color="auto" w:sz="4" w:space="0"/>
            </w:tcBorders>
            <w:vAlign w:val="center"/>
          </w:tcPr>
          <w:p w14:paraId="040927C4">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营业执照号</w:t>
            </w:r>
          </w:p>
        </w:tc>
        <w:tc>
          <w:tcPr>
            <w:tcW w:w="7123" w:type="dxa"/>
            <w:gridSpan w:val="4"/>
            <w:tcBorders>
              <w:top w:val="single" w:color="auto" w:sz="4" w:space="0"/>
              <w:left w:val="single" w:color="auto" w:sz="4" w:space="0"/>
              <w:bottom w:val="single" w:color="auto" w:sz="4" w:space="0"/>
              <w:right w:val="single" w:color="auto" w:sz="4" w:space="0"/>
            </w:tcBorders>
            <w:vAlign w:val="center"/>
          </w:tcPr>
          <w:p w14:paraId="0FED06D5">
            <w:pPr>
              <w:widowControl/>
              <w:spacing w:line="360" w:lineRule="auto"/>
              <w:jc w:val="center"/>
              <w:rPr>
                <w:rFonts w:ascii="宋体" w:hAnsi="宋体" w:cs="宋体"/>
                <w:color w:val="auto"/>
                <w:sz w:val="24"/>
                <w:szCs w:val="24"/>
                <w:highlight w:val="none"/>
              </w:rPr>
            </w:pPr>
          </w:p>
        </w:tc>
      </w:tr>
      <w:tr w14:paraId="23D95606">
        <w:tblPrEx>
          <w:tblCellMar>
            <w:top w:w="0" w:type="dxa"/>
            <w:left w:w="84" w:type="dxa"/>
            <w:bottom w:w="0" w:type="dxa"/>
            <w:right w:w="0" w:type="dxa"/>
          </w:tblCellMar>
        </w:tblPrEx>
        <w:trPr>
          <w:trHeight w:val="3569" w:hRule="atLeast"/>
          <w:jc w:val="center"/>
        </w:trPr>
        <w:tc>
          <w:tcPr>
            <w:tcW w:w="2096" w:type="dxa"/>
            <w:tcBorders>
              <w:top w:val="single" w:color="auto" w:sz="4" w:space="0"/>
              <w:left w:val="single" w:color="auto" w:sz="4" w:space="0"/>
              <w:bottom w:val="single" w:color="auto" w:sz="4" w:space="0"/>
              <w:right w:val="single" w:color="auto" w:sz="4" w:space="0"/>
            </w:tcBorders>
            <w:vAlign w:val="center"/>
          </w:tcPr>
          <w:p w14:paraId="0AFB53B4">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经营范围</w:t>
            </w:r>
          </w:p>
        </w:tc>
        <w:tc>
          <w:tcPr>
            <w:tcW w:w="7123" w:type="dxa"/>
            <w:gridSpan w:val="4"/>
            <w:tcBorders>
              <w:top w:val="single" w:color="auto" w:sz="4" w:space="0"/>
              <w:left w:val="single" w:color="auto" w:sz="4" w:space="0"/>
              <w:bottom w:val="single" w:color="auto" w:sz="4" w:space="0"/>
              <w:right w:val="single" w:color="auto" w:sz="4" w:space="0"/>
            </w:tcBorders>
            <w:vAlign w:val="center"/>
          </w:tcPr>
          <w:p w14:paraId="365569E3">
            <w:pPr>
              <w:widowControl/>
              <w:spacing w:line="360" w:lineRule="auto"/>
              <w:jc w:val="center"/>
              <w:rPr>
                <w:rFonts w:ascii="宋体" w:hAnsi="宋体" w:cs="宋体"/>
                <w:color w:val="auto"/>
                <w:sz w:val="24"/>
                <w:szCs w:val="24"/>
                <w:highlight w:val="none"/>
              </w:rPr>
            </w:pPr>
          </w:p>
        </w:tc>
      </w:tr>
      <w:tr w14:paraId="0DF4BEA8">
        <w:tblPrEx>
          <w:tblCellMar>
            <w:top w:w="0" w:type="dxa"/>
            <w:left w:w="84" w:type="dxa"/>
            <w:bottom w:w="0" w:type="dxa"/>
            <w:right w:w="0" w:type="dxa"/>
          </w:tblCellMar>
        </w:tblPrEx>
        <w:trPr>
          <w:trHeight w:val="847" w:hRule="atLeast"/>
          <w:jc w:val="center"/>
        </w:trPr>
        <w:tc>
          <w:tcPr>
            <w:tcW w:w="2096" w:type="dxa"/>
            <w:tcBorders>
              <w:top w:val="single" w:color="auto" w:sz="4" w:space="0"/>
              <w:left w:val="single" w:color="auto" w:sz="4" w:space="0"/>
              <w:bottom w:val="single" w:color="auto" w:sz="4" w:space="0"/>
              <w:right w:val="single" w:color="auto" w:sz="4" w:space="0"/>
            </w:tcBorders>
            <w:vAlign w:val="center"/>
          </w:tcPr>
          <w:p w14:paraId="1E9DAEA7">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c>
          <w:tcPr>
            <w:tcW w:w="7123" w:type="dxa"/>
            <w:gridSpan w:val="4"/>
            <w:tcBorders>
              <w:top w:val="single" w:color="auto" w:sz="4" w:space="0"/>
              <w:left w:val="single" w:color="auto" w:sz="4" w:space="0"/>
              <w:bottom w:val="single" w:color="auto" w:sz="4" w:space="0"/>
              <w:right w:val="single" w:color="auto" w:sz="4" w:space="0"/>
            </w:tcBorders>
            <w:vAlign w:val="center"/>
          </w:tcPr>
          <w:p w14:paraId="29A8BAB1">
            <w:pPr>
              <w:widowControl/>
              <w:spacing w:line="360" w:lineRule="auto"/>
              <w:jc w:val="center"/>
              <w:rPr>
                <w:rFonts w:ascii="宋体" w:hAnsi="宋体" w:cs="宋体"/>
                <w:color w:val="auto"/>
                <w:sz w:val="24"/>
                <w:szCs w:val="24"/>
                <w:highlight w:val="none"/>
              </w:rPr>
            </w:pPr>
          </w:p>
        </w:tc>
      </w:tr>
    </w:tbl>
    <w:p w14:paraId="67A58249">
      <w:pPr>
        <w:tabs>
          <w:tab w:val="left" w:pos="1135"/>
        </w:tabs>
        <w:spacing w:line="360" w:lineRule="auto"/>
        <w:ind w:left="360" w:hanging="360"/>
        <w:rPr>
          <w:rFonts w:hint="eastAsia" w:ascii="宋体" w:hAnsi="宋体" w:eastAsia="宋体" w:cs="宋体"/>
          <w:color w:val="auto"/>
          <w:sz w:val="24"/>
          <w:szCs w:val="24"/>
          <w:u w:val="single"/>
        </w:rPr>
      </w:pPr>
      <w:r>
        <w:rPr>
          <w:rFonts w:hint="eastAsia" w:ascii="宋体" w:hAnsi="宋体" w:eastAsia="宋体" w:cs="宋体"/>
          <w:color w:val="auto"/>
          <w:sz w:val="24"/>
          <w:szCs w:val="24"/>
        </w:rPr>
        <w:t>注：本表不够时可自制和扩</w:t>
      </w:r>
      <w:r>
        <w:rPr>
          <w:rFonts w:hint="eastAsia" w:ascii="宋体" w:hAnsi="宋体" w:eastAsia="宋体" w:cs="宋体"/>
          <w:color w:val="auto"/>
          <w:sz w:val="24"/>
          <w:szCs w:val="24"/>
          <w:u w:val="none"/>
        </w:rPr>
        <w:t>展。</w:t>
      </w:r>
    </w:p>
    <w:p w14:paraId="7662CFCE">
      <w:pPr>
        <w:spacing w:line="360" w:lineRule="auto"/>
        <w:ind w:left="2940" w:leftChars="1400" w:firstLine="360" w:firstLineChars="150"/>
        <w:rPr>
          <w:rFonts w:hint="eastAsia" w:ascii="宋体" w:hAnsi="宋体" w:eastAsia="宋体" w:cs="宋体"/>
          <w:color w:val="auto"/>
          <w:sz w:val="24"/>
          <w:szCs w:val="24"/>
        </w:rPr>
      </w:pPr>
    </w:p>
    <w:p w14:paraId="78D99743">
      <w:pPr>
        <w:spacing w:line="360" w:lineRule="auto"/>
        <w:ind w:left="2940" w:leftChars="1400"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u w:val="single"/>
          <w:lang w:val="en-US" w:bidi="zh-CN"/>
        </w:rPr>
        <w:t xml:space="preserve">          </w:t>
      </w:r>
      <w:r>
        <w:rPr>
          <w:rFonts w:hint="eastAsia" w:ascii="宋体" w:hAnsi="宋体" w:eastAsia="宋体" w:cs="宋体"/>
          <w:color w:val="auto"/>
          <w:sz w:val="24"/>
          <w:szCs w:val="24"/>
        </w:rPr>
        <w:t>（盖章）</w:t>
      </w:r>
    </w:p>
    <w:p w14:paraId="46568947">
      <w:pPr>
        <w:spacing w:line="360" w:lineRule="auto"/>
        <w:ind w:left="2940" w:leftChars="1400"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single"/>
          <w:lang w:val="en-US" w:bidi="zh-CN"/>
        </w:rPr>
        <w:t xml:space="preserve">          </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签字或盖章</w:t>
      </w:r>
      <w:r>
        <w:rPr>
          <w:rFonts w:hint="eastAsia" w:ascii="宋体" w:hAnsi="宋体" w:eastAsia="宋体" w:cs="宋体"/>
          <w:color w:val="auto"/>
          <w:sz w:val="24"/>
          <w:szCs w:val="24"/>
        </w:rPr>
        <w:t>）</w:t>
      </w:r>
    </w:p>
    <w:p w14:paraId="3918838B">
      <w:pPr>
        <w:spacing w:line="360" w:lineRule="auto"/>
        <w:ind w:left="2940" w:leftChars="1400"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3C198EE7">
      <w:pPr>
        <w:rPr>
          <w:rFonts w:hint="eastAsia" w:ascii="宋体" w:hAnsi="宋体" w:eastAsia="宋体" w:cs="宋体"/>
          <w:color w:val="auto"/>
          <w:sz w:val="24"/>
          <w:szCs w:val="24"/>
        </w:rPr>
      </w:pPr>
    </w:p>
    <w:p w14:paraId="23DB83C5">
      <w:pPr>
        <w:rPr>
          <w:rFonts w:hint="eastAsia" w:ascii="宋体" w:hAnsi="宋体" w:eastAsia="宋体" w:cs="宋体"/>
          <w:color w:val="auto"/>
          <w:sz w:val="24"/>
          <w:szCs w:val="24"/>
        </w:rPr>
      </w:pPr>
    </w:p>
    <w:p w14:paraId="4266E988">
      <w:pPr>
        <w:spacing w:beforeLines="50" w:afterLines="50" w:line="440" w:lineRule="exact"/>
        <w:ind w:left="720" w:hanging="720" w:hangingChars="300"/>
        <w:rPr>
          <w:rFonts w:hint="eastAsia" w:ascii="宋体" w:hAnsi="宋体" w:eastAsia="宋体" w:cs="宋体"/>
          <w:color w:val="auto"/>
          <w:sz w:val="24"/>
          <w:szCs w:val="24"/>
        </w:rPr>
      </w:pPr>
      <w:r>
        <w:rPr>
          <w:rFonts w:hint="eastAsia" w:ascii="宋体" w:hAnsi="宋体" w:eastAsia="宋体" w:cs="宋体"/>
          <w:color w:val="auto"/>
          <w:sz w:val="24"/>
          <w:szCs w:val="24"/>
        </w:rPr>
        <w:t>2、近年来完成的类似项目情况表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0"/>
        <w:gridCol w:w="5889"/>
      </w:tblGrid>
      <w:tr w14:paraId="1409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2990" w:type="dxa"/>
            <w:vAlign w:val="center"/>
          </w:tcPr>
          <w:p w14:paraId="47C17D6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5889" w:type="dxa"/>
            <w:vAlign w:val="center"/>
          </w:tcPr>
          <w:p w14:paraId="09FEB497">
            <w:pPr>
              <w:jc w:val="center"/>
              <w:rPr>
                <w:rFonts w:hint="eastAsia" w:ascii="宋体" w:hAnsi="宋体" w:eastAsia="宋体" w:cs="宋体"/>
                <w:color w:val="auto"/>
                <w:sz w:val="24"/>
                <w:szCs w:val="24"/>
              </w:rPr>
            </w:pPr>
          </w:p>
        </w:tc>
      </w:tr>
      <w:tr w14:paraId="0612C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2990" w:type="dxa"/>
            <w:vAlign w:val="center"/>
          </w:tcPr>
          <w:p w14:paraId="00C8FD5E">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项目所在地</w:t>
            </w:r>
          </w:p>
        </w:tc>
        <w:tc>
          <w:tcPr>
            <w:tcW w:w="5889" w:type="dxa"/>
            <w:vAlign w:val="center"/>
          </w:tcPr>
          <w:p w14:paraId="1F6EE0E5">
            <w:pPr>
              <w:jc w:val="center"/>
              <w:rPr>
                <w:rFonts w:hint="eastAsia" w:ascii="宋体" w:hAnsi="宋体" w:eastAsia="宋体" w:cs="宋体"/>
                <w:color w:val="auto"/>
                <w:sz w:val="24"/>
                <w:szCs w:val="24"/>
              </w:rPr>
            </w:pPr>
          </w:p>
        </w:tc>
      </w:tr>
      <w:tr w14:paraId="46EE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2990" w:type="dxa"/>
            <w:vAlign w:val="center"/>
          </w:tcPr>
          <w:p w14:paraId="370BE7F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合同价格</w:t>
            </w:r>
          </w:p>
        </w:tc>
        <w:tc>
          <w:tcPr>
            <w:tcW w:w="5889" w:type="dxa"/>
            <w:vAlign w:val="center"/>
          </w:tcPr>
          <w:p w14:paraId="0150BF70">
            <w:pPr>
              <w:jc w:val="center"/>
              <w:rPr>
                <w:rFonts w:hint="eastAsia" w:ascii="宋体" w:hAnsi="宋体" w:eastAsia="宋体" w:cs="宋体"/>
                <w:color w:val="auto"/>
                <w:sz w:val="24"/>
                <w:szCs w:val="24"/>
              </w:rPr>
            </w:pPr>
          </w:p>
        </w:tc>
      </w:tr>
      <w:tr w14:paraId="2A30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2990" w:type="dxa"/>
            <w:vAlign w:val="center"/>
          </w:tcPr>
          <w:p w14:paraId="1F56D4BE">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服务</w:t>
            </w:r>
            <w:r>
              <w:rPr>
                <w:rFonts w:hint="eastAsia" w:ascii="宋体" w:hAnsi="宋体" w:cs="宋体"/>
                <w:color w:val="auto"/>
                <w:sz w:val="24"/>
                <w:szCs w:val="24"/>
                <w:lang w:val="en-US" w:eastAsia="zh-CN"/>
              </w:rPr>
              <w:t>周期</w:t>
            </w:r>
          </w:p>
        </w:tc>
        <w:tc>
          <w:tcPr>
            <w:tcW w:w="5889" w:type="dxa"/>
            <w:vAlign w:val="center"/>
          </w:tcPr>
          <w:p w14:paraId="49074D25">
            <w:pPr>
              <w:jc w:val="center"/>
              <w:rPr>
                <w:rFonts w:hint="eastAsia" w:ascii="宋体" w:hAnsi="宋体" w:eastAsia="宋体" w:cs="宋体"/>
                <w:color w:val="auto"/>
                <w:sz w:val="24"/>
                <w:szCs w:val="24"/>
              </w:rPr>
            </w:pPr>
          </w:p>
        </w:tc>
      </w:tr>
      <w:tr w14:paraId="14440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2990" w:type="dxa"/>
            <w:vAlign w:val="center"/>
          </w:tcPr>
          <w:p w14:paraId="081FBF0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承担的工作</w:t>
            </w:r>
          </w:p>
        </w:tc>
        <w:tc>
          <w:tcPr>
            <w:tcW w:w="5889" w:type="dxa"/>
            <w:vAlign w:val="center"/>
          </w:tcPr>
          <w:p w14:paraId="55EBE9FF">
            <w:pPr>
              <w:jc w:val="center"/>
              <w:rPr>
                <w:rFonts w:hint="eastAsia" w:ascii="宋体" w:hAnsi="宋体" w:eastAsia="宋体" w:cs="宋体"/>
                <w:color w:val="auto"/>
                <w:sz w:val="24"/>
                <w:szCs w:val="24"/>
              </w:rPr>
            </w:pPr>
          </w:p>
        </w:tc>
      </w:tr>
      <w:tr w14:paraId="7A150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2990" w:type="dxa"/>
            <w:vAlign w:val="center"/>
          </w:tcPr>
          <w:p w14:paraId="3AC29579">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tc>
        <w:tc>
          <w:tcPr>
            <w:tcW w:w="5889" w:type="dxa"/>
            <w:vAlign w:val="center"/>
          </w:tcPr>
          <w:p w14:paraId="47D26844">
            <w:pPr>
              <w:jc w:val="center"/>
              <w:rPr>
                <w:rFonts w:hint="eastAsia" w:ascii="宋体" w:hAnsi="宋体" w:eastAsia="宋体" w:cs="宋体"/>
                <w:color w:val="auto"/>
                <w:sz w:val="24"/>
                <w:szCs w:val="24"/>
              </w:rPr>
            </w:pPr>
          </w:p>
        </w:tc>
      </w:tr>
      <w:tr w14:paraId="35FA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990" w:type="dxa"/>
            <w:vAlign w:val="center"/>
          </w:tcPr>
          <w:p w14:paraId="59A1318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5889" w:type="dxa"/>
            <w:vAlign w:val="center"/>
          </w:tcPr>
          <w:p w14:paraId="51AAE28A">
            <w:pPr>
              <w:jc w:val="center"/>
              <w:rPr>
                <w:rFonts w:hint="eastAsia" w:ascii="宋体" w:hAnsi="宋体" w:eastAsia="宋体" w:cs="宋体"/>
                <w:color w:val="auto"/>
                <w:sz w:val="24"/>
                <w:szCs w:val="24"/>
              </w:rPr>
            </w:pPr>
          </w:p>
        </w:tc>
      </w:tr>
    </w:tbl>
    <w:p w14:paraId="48DE43E5">
      <w:pPr>
        <w:spacing w:line="440" w:lineRule="exact"/>
        <w:ind w:left="660" w:leftChars="200" w:hanging="240" w:hangingChars="100"/>
        <w:rPr>
          <w:rFonts w:hint="eastAsia" w:ascii="宋体" w:hAnsi="宋体" w:eastAsia="宋体" w:cs="宋体"/>
          <w:color w:val="auto"/>
          <w:sz w:val="24"/>
          <w:szCs w:val="24"/>
        </w:rPr>
      </w:pPr>
      <w:r>
        <w:rPr>
          <w:rFonts w:hint="eastAsia" w:ascii="宋体" w:hAnsi="宋体" w:eastAsia="宋体" w:cs="宋体"/>
          <w:color w:val="auto"/>
          <w:sz w:val="24"/>
          <w:szCs w:val="24"/>
        </w:rPr>
        <w:t>备注：本表后附合同协议书的扫描件，具体年份要求2022年1月1日以来。每张表格只填写一个项目，并标明序号。</w:t>
      </w:r>
    </w:p>
    <w:p w14:paraId="35C6D836">
      <w:pPr>
        <w:spacing w:beforeLines="50" w:afterLines="50" w:line="440" w:lineRule="exact"/>
        <w:rPr>
          <w:rFonts w:hint="eastAsia" w:ascii="宋体" w:hAnsi="宋体" w:eastAsia="宋体" w:cs="宋体"/>
          <w:color w:val="auto"/>
          <w:sz w:val="24"/>
          <w:szCs w:val="24"/>
        </w:rPr>
      </w:pPr>
    </w:p>
    <w:p w14:paraId="2E24825A">
      <w:pPr>
        <w:spacing w:line="440" w:lineRule="exact"/>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1D764A8B">
      <w:pPr>
        <w:pStyle w:val="3"/>
        <w:numPr>
          <w:ilvl w:val="1"/>
          <w:numId w:val="0"/>
        </w:numPr>
        <w:ind w:left="419" w:leftChars="0"/>
        <w:jc w:val="center"/>
        <w:rPr>
          <w:rFonts w:hint="eastAsia" w:ascii="宋体" w:hAnsi="宋体" w:eastAsia="宋体" w:cs="宋体"/>
          <w:color w:val="auto"/>
          <w:sz w:val="30"/>
          <w:szCs w:val="30"/>
        </w:rPr>
      </w:pPr>
      <w:r>
        <w:rPr>
          <w:rFonts w:hint="eastAsia" w:ascii="宋体" w:hAnsi="宋体" w:eastAsia="宋体" w:cs="宋体"/>
          <w:color w:val="auto"/>
          <w:sz w:val="30"/>
          <w:szCs w:val="30"/>
        </w:rPr>
        <w:t>六</w:t>
      </w:r>
      <w:r>
        <w:rPr>
          <w:rFonts w:hint="eastAsia" w:ascii="宋体" w:hAnsi="宋体" w:eastAsia="宋体" w:cs="宋体"/>
          <w:color w:val="auto"/>
          <w:sz w:val="30"/>
          <w:szCs w:val="30"/>
          <w:lang w:val="zh-CN"/>
        </w:rPr>
        <w:t>、</w:t>
      </w:r>
      <w:r>
        <w:rPr>
          <w:rFonts w:hint="eastAsia" w:ascii="宋体" w:hAnsi="宋体" w:eastAsia="宋体" w:cs="宋体"/>
          <w:color w:val="auto"/>
          <w:sz w:val="30"/>
          <w:szCs w:val="30"/>
        </w:rPr>
        <w:t>技术部分</w:t>
      </w:r>
    </w:p>
    <w:p w14:paraId="7E8FDB05">
      <w:pPr>
        <w:pStyle w:val="18"/>
        <w:ind w:firstLine="301"/>
        <w:rPr>
          <w:rFonts w:hint="eastAsia" w:ascii="宋体" w:hAnsi="宋体" w:eastAsia="宋体" w:cs="宋体"/>
          <w:b/>
          <w:color w:val="auto"/>
          <w:sz w:val="30"/>
          <w:szCs w:val="30"/>
        </w:rPr>
      </w:pPr>
    </w:p>
    <w:p w14:paraId="6684FB89">
      <w:pPr>
        <w:pStyle w:val="19"/>
        <w:ind w:firstLine="440"/>
        <w:rPr>
          <w:rFonts w:hint="eastAsia" w:ascii="宋体" w:hAnsi="宋体" w:eastAsia="宋体" w:cs="宋体"/>
          <w:color w:val="auto"/>
          <w:lang w:eastAsia="zh-CN"/>
        </w:rPr>
      </w:pPr>
    </w:p>
    <w:p w14:paraId="50B38283">
      <w:pPr>
        <w:pStyle w:val="18"/>
        <w:ind w:firstLine="240"/>
        <w:rPr>
          <w:rFonts w:hint="eastAsia" w:ascii="宋体" w:hAnsi="宋体" w:eastAsia="宋体" w:cs="宋体"/>
          <w:color w:val="auto"/>
        </w:rPr>
      </w:pPr>
    </w:p>
    <w:p w14:paraId="693644B7">
      <w:pPr>
        <w:pStyle w:val="19"/>
        <w:ind w:firstLine="440"/>
        <w:rPr>
          <w:rFonts w:hint="eastAsia" w:ascii="宋体" w:hAnsi="宋体" w:eastAsia="宋体" w:cs="宋体"/>
          <w:color w:val="auto"/>
          <w:lang w:eastAsia="zh-CN"/>
        </w:rPr>
      </w:pPr>
    </w:p>
    <w:p w14:paraId="11AD1BAD">
      <w:pPr>
        <w:pStyle w:val="18"/>
        <w:ind w:firstLine="240"/>
        <w:rPr>
          <w:rFonts w:hint="eastAsia" w:ascii="宋体" w:hAnsi="宋体" w:eastAsia="宋体" w:cs="宋体"/>
          <w:color w:val="auto"/>
        </w:rPr>
      </w:pPr>
    </w:p>
    <w:p w14:paraId="601DC5FC">
      <w:pPr>
        <w:pStyle w:val="19"/>
        <w:ind w:firstLine="440"/>
        <w:rPr>
          <w:rFonts w:hint="eastAsia" w:ascii="宋体" w:hAnsi="宋体" w:eastAsia="宋体" w:cs="宋体"/>
          <w:color w:val="auto"/>
          <w:lang w:eastAsia="zh-CN"/>
        </w:rPr>
      </w:pPr>
    </w:p>
    <w:p w14:paraId="1FF48DAF">
      <w:pPr>
        <w:pStyle w:val="18"/>
        <w:ind w:firstLine="240"/>
        <w:rPr>
          <w:rFonts w:hint="eastAsia" w:ascii="宋体" w:hAnsi="宋体" w:eastAsia="宋体" w:cs="宋体"/>
          <w:color w:val="auto"/>
        </w:rPr>
      </w:pPr>
    </w:p>
    <w:p w14:paraId="381D41AC">
      <w:pPr>
        <w:pStyle w:val="19"/>
        <w:ind w:firstLine="440"/>
        <w:rPr>
          <w:rFonts w:hint="eastAsia" w:ascii="宋体" w:hAnsi="宋体" w:eastAsia="宋体" w:cs="宋体"/>
          <w:color w:val="auto"/>
          <w:lang w:eastAsia="zh-CN"/>
        </w:rPr>
      </w:pPr>
    </w:p>
    <w:p w14:paraId="0393D697">
      <w:pPr>
        <w:pStyle w:val="18"/>
        <w:ind w:firstLine="240"/>
        <w:rPr>
          <w:rFonts w:hint="eastAsia" w:ascii="宋体" w:hAnsi="宋体" w:eastAsia="宋体" w:cs="宋体"/>
          <w:color w:val="auto"/>
        </w:rPr>
      </w:pPr>
    </w:p>
    <w:p w14:paraId="5B98C9CF">
      <w:pPr>
        <w:pStyle w:val="19"/>
        <w:ind w:firstLine="440"/>
        <w:rPr>
          <w:rFonts w:hint="eastAsia" w:ascii="宋体" w:hAnsi="宋体" w:eastAsia="宋体" w:cs="宋体"/>
          <w:color w:val="auto"/>
          <w:lang w:eastAsia="zh-CN"/>
        </w:rPr>
      </w:pPr>
    </w:p>
    <w:p w14:paraId="0EC0B109">
      <w:pPr>
        <w:pStyle w:val="18"/>
        <w:ind w:firstLine="240"/>
        <w:rPr>
          <w:rFonts w:hint="eastAsia" w:ascii="宋体" w:hAnsi="宋体" w:eastAsia="宋体" w:cs="宋体"/>
          <w:color w:val="auto"/>
        </w:rPr>
      </w:pPr>
    </w:p>
    <w:p w14:paraId="384E23C9">
      <w:pPr>
        <w:pStyle w:val="19"/>
        <w:ind w:firstLine="440"/>
        <w:rPr>
          <w:rFonts w:hint="eastAsia" w:ascii="宋体" w:hAnsi="宋体" w:eastAsia="宋体" w:cs="宋体"/>
          <w:color w:val="auto"/>
          <w:lang w:eastAsia="zh-CN"/>
        </w:rPr>
      </w:pPr>
    </w:p>
    <w:p w14:paraId="21160114">
      <w:pPr>
        <w:pStyle w:val="18"/>
        <w:ind w:firstLine="240"/>
        <w:rPr>
          <w:rFonts w:hint="eastAsia" w:ascii="宋体" w:hAnsi="宋体" w:eastAsia="宋体" w:cs="宋体"/>
          <w:color w:val="auto"/>
        </w:rPr>
      </w:pPr>
    </w:p>
    <w:p w14:paraId="3B71B49B">
      <w:pPr>
        <w:pStyle w:val="19"/>
        <w:ind w:firstLine="440"/>
        <w:rPr>
          <w:rFonts w:hint="eastAsia" w:ascii="宋体" w:hAnsi="宋体" w:eastAsia="宋体" w:cs="宋体"/>
          <w:color w:val="auto"/>
          <w:lang w:eastAsia="zh-CN"/>
        </w:rPr>
      </w:pPr>
    </w:p>
    <w:p w14:paraId="676CE024">
      <w:pPr>
        <w:pStyle w:val="18"/>
        <w:ind w:firstLine="240"/>
        <w:rPr>
          <w:rFonts w:hint="eastAsia" w:ascii="宋体" w:hAnsi="宋体" w:eastAsia="宋体" w:cs="宋体"/>
          <w:color w:val="auto"/>
        </w:rPr>
      </w:pPr>
    </w:p>
    <w:p w14:paraId="6D82A9A4">
      <w:pPr>
        <w:pStyle w:val="19"/>
        <w:ind w:firstLine="440"/>
        <w:rPr>
          <w:rFonts w:hint="eastAsia" w:ascii="宋体" w:hAnsi="宋体" w:eastAsia="宋体" w:cs="宋体"/>
          <w:color w:val="auto"/>
          <w:lang w:eastAsia="zh-CN"/>
        </w:rPr>
      </w:pPr>
    </w:p>
    <w:p w14:paraId="5798173E">
      <w:pPr>
        <w:pStyle w:val="18"/>
        <w:ind w:firstLine="240"/>
        <w:rPr>
          <w:rFonts w:hint="eastAsia" w:ascii="宋体" w:hAnsi="宋体" w:eastAsia="宋体" w:cs="宋体"/>
          <w:color w:val="auto"/>
        </w:rPr>
      </w:pPr>
    </w:p>
    <w:p w14:paraId="3EEA2C7C">
      <w:pPr>
        <w:pStyle w:val="19"/>
        <w:ind w:firstLine="440"/>
        <w:rPr>
          <w:rFonts w:hint="eastAsia" w:ascii="宋体" w:hAnsi="宋体" w:eastAsia="宋体" w:cs="宋体"/>
          <w:color w:val="auto"/>
          <w:lang w:eastAsia="zh-CN"/>
        </w:rPr>
      </w:pPr>
    </w:p>
    <w:p w14:paraId="5AE41B87">
      <w:pPr>
        <w:pStyle w:val="18"/>
        <w:ind w:firstLine="240"/>
        <w:rPr>
          <w:rFonts w:hint="eastAsia" w:ascii="宋体" w:hAnsi="宋体" w:eastAsia="宋体" w:cs="宋体"/>
          <w:color w:val="auto"/>
        </w:rPr>
      </w:pPr>
    </w:p>
    <w:p w14:paraId="573AF968">
      <w:pPr>
        <w:jc w:val="left"/>
        <w:rPr>
          <w:rFonts w:hint="eastAsia" w:ascii="宋体" w:hAnsi="宋体" w:eastAsia="宋体" w:cs="宋体"/>
          <w:color w:val="auto"/>
          <w:sz w:val="30"/>
          <w:szCs w:val="30"/>
        </w:rPr>
      </w:pPr>
      <w:r>
        <w:rPr>
          <w:rFonts w:hint="eastAsia" w:ascii="宋体" w:hAnsi="宋体" w:eastAsia="宋体" w:cs="宋体"/>
          <w:color w:val="auto"/>
          <w:sz w:val="30"/>
          <w:szCs w:val="30"/>
        </w:rPr>
        <w:br w:type="page"/>
      </w:r>
    </w:p>
    <w:p w14:paraId="535795BF">
      <w:pPr>
        <w:pStyle w:val="3"/>
        <w:numPr>
          <w:ilvl w:val="1"/>
          <w:numId w:val="0"/>
        </w:numPr>
        <w:ind w:left="419" w:leftChars="0"/>
        <w:jc w:val="center"/>
        <w:rPr>
          <w:rFonts w:hint="eastAsia" w:ascii="宋体" w:hAnsi="宋体" w:eastAsia="宋体" w:cs="宋体"/>
          <w:color w:val="auto"/>
          <w:sz w:val="30"/>
          <w:szCs w:val="30"/>
        </w:rPr>
      </w:pPr>
      <w:r>
        <w:rPr>
          <w:rFonts w:hint="eastAsia" w:ascii="宋体" w:hAnsi="宋体" w:eastAsia="宋体" w:cs="宋体"/>
          <w:color w:val="auto"/>
          <w:sz w:val="30"/>
          <w:szCs w:val="30"/>
        </w:rPr>
        <w:t>七、商务部分</w:t>
      </w:r>
    </w:p>
    <w:p w14:paraId="2B0F19BF">
      <w:pPr>
        <w:wordWrap w:val="0"/>
        <w:spacing w:line="360" w:lineRule="auto"/>
        <w:ind w:right="600"/>
        <w:rPr>
          <w:rFonts w:hint="eastAsia" w:ascii="宋体" w:hAnsi="宋体" w:eastAsia="宋体" w:cs="宋体"/>
          <w:color w:val="auto"/>
          <w:sz w:val="24"/>
        </w:rPr>
      </w:pPr>
    </w:p>
    <w:p w14:paraId="363E8CCB">
      <w:pPr>
        <w:spacing w:beforeLines="100" w:afterLines="50"/>
        <w:jc w:val="center"/>
        <w:rPr>
          <w:rFonts w:hint="eastAsia" w:ascii="宋体" w:hAnsi="宋体" w:eastAsia="宋体" w:cs="宋体"/>
          <w:color w:val="auto"/>
          <w:sz w:val="24"/>
          <w:u w:val="single"/>
        </w:rPr>
      </w:pPr>
    </w:p>
    <w:p w14:paraId="32A88CB8">
      <w:pPr>
        <w:spacing w:beforeLines="50" w:afterLines="50" w:line="440" w:lineRule="exact"/>
        <w:ind w:left="630" w:hanging="630" w:hangingChars="300"/>
        <w:rPr>
          <w:rFonts w:hint="eastAsia" w:ascii="宋体" w:hAnsi="宋体" w:eastAsia="宋体" w:cs="宋体"/>
          <w:color w:val="auto"/>
          <w:szCs w:val="21"/>
        </w:rPr>
      </w:pPr>
    </w:p>
    <w:p w14:paraId="2DEDF93A">
      <w:pPr>
        <w:spacing w:beforeLines="100" w:line="440" w:lineRule="exact"/>
        <w:rPr>
          <w:rFonts w:hint="eastAsia" w:ascii="宋体" w:hAnsi="宋体" w:eastAsia="宋体" w:cs="宋体"/>
          <w:color w:val="auto"/>
          <w:szCs w:val="21"/>
        </w:rPr>
      </w:pPr>
    </w:p>
    <w:p w14:paraId="5743CAD3">
      <w:pPr>
        <w:spacing w:beforeLines="100" w:line="440" w:lineRule="exact"/>
        <w:rPr>
          <w:rFonts w:hint="eastAsia" w:ascii="宋体" w:hAnsi="宋体" w:eastAsia="宋体" w:cs="宋体"/>
          <w:color w:val="auto"/>
          <w:szCs w:val="21"/>
        </w:rPr>
      </w:pPr>
    </w:p>
    <w:p w14:paraId="2D2EC6D8">
      <w:pPr>
        <w:spacing w:beforeLines="100" w:line="440" w:lineRule="exact"/>
        <w:rPr>
          <w:rFonts w:hint="eastAsia" w:ascii="宋体" w:hAnsi="宋体" w:eastAsia="宋体" w:cs="宋体"/>
          <w:color w:val="auto"/>
          <w:szCs w:val="21"/>
        </w:rPr>
      </w:pPr>
    </w:p>
    <w:p w14:paraId="70B8990A">
      <w:pPr>
        <w:spacing w:line="480" w:lineRule="auto"/>
        <w:rPr>
          <w:rFonts w:hint="eastAsia" w:ascii="宋体" w:hAnsi="宋体" w:eastAsia="宋体" w:cs="宋体"/>
          <w:color w:val="auto"/>
          <w:sz w:val="24"/>
        </w:rPr>
      </w:pPr>
    </w:p>
    <w:p w14:paraId="2759A1D6">
      <w:pPr>
        <w:bidi w:val="0"/>
        <w:rPr>
          <w:rFonts w:hint="eastAsia" w:ascii="宋体" w:hAnsi="宋体" w:eastAsia="宋体" w:cs="宋体"/>
          <w:color w:val="auto"/>
        </w:rPr>
      </w:pPr>
      <w:bookmarkStart w:id="26" w:name="_Toc468276954"/>
      <w:r>
        <w:rPr>
          <w:rFonts w:hint="eastAsia" w:ascii="宋体" w:hAnsi="宋体" w:eastAsia="宋体" w:cs="宋体"/>
          <w:color w:val="auto"/>
        </w:rPr>
        <w:br w:type="page"/>
      </w:r>
    </w:p>
    <w:p w14:paraId="6365B8C4">
      <w:pPr>
        <w:pStyle w:val="3"/>
        <w:numPr>
          <w:ilvl w:val="1"/>
          <w:numId w:val="0"/>
        </w:numPr>
        <w:ind w:left="419" w:leftChars="0"/>
        <w:jc w:val="center"/>
        <w:rPr>
          <w:rFonts w:hint="eastAsia" w:ascii="宋体" w:hAnsi="宋体" w:eastAsia="宋体" w:cs="宋体"/>
          <w:color w:val="auto"/>
          <w:sz w:val="30"/>
          <w:szCs w:val="30"/>
        </w:rPr>
      </w:pPr>
      <w:r>
        <w:rPr>
          <w:rFonts w:hint="eastAsia" w:ascii="宋体" w:hAnsi="宋体" w:eastAsia="宋体" w:cs="宋体"/>
          <w:color w:val="auto"/>
          <w:sz w:val="30"/>
          <w:szCs w:val="30"/>
        </w:rPr>
        <w:t>八、其他</w:t>
      </w:r>
      <w:bookmarkEnd w:id="26"/>
      <w:bookmarkStart w:id="27" w:name="_Toc16414"/>
      <w:bookmarkStart w:id="28" w:name="_Hlk89422773"/>
      <w:r>
        <w:rPr>
          <w:rFonts w:hint="eastAsia" w:ascii="宋体" w:hAnsi="宋体" w:eastAsia="宋体" w:cs="宋体"/>
          <w:color w:val="auto"/>
          <w:sz w:val="30"/>
          <w:szCs w:val="30"/>
        </w:rPr>
        <w:t>资料</w:t>
      </w:r>
    </w:p>
    <w:p w14:paraId="08FEABC8">
      <w:pPr>
        <w:spacing w:line="600" w:lineRule="exact"/>
        <w:jc w:val="center"/>
        <w:rPr>
          <w:rFonts w:hint="eastAsia" w:ascii="宋体" w:hAnsi="宋体" w:eastAsia="宋体" w:cs="宋体"/>
          <w:color w:val="auto"/>
          <w:sz w:val="30"/>
          <w:szCs w:val="30"/>
        </w:rPr>
      </w:pPr>
    </w:p>
    <w:p w14:paraId="32D57C2E">
      <w:pPr>
        <w:rPr>
          <w:rFonts w:hint="eastAsia" w:ascii="宋体" w:hAnsi="宋体" w:eastAsia="宋体" w:cs="宋体"/>
          <w:b/>
          <w:bCs/>
          <w:color w:val="auto"/>
          <w:sz w:val="32"/>
          <w:szCs w:val="32"/>
        </w:rPr>
      </w:pPr>
      <w:r>
        <w:rPr>
          <w:rFonts w:hint="eastAsia" w:ascii="宋体" w:hAnsi="宋体" w:eastAsia="宋体" w:cs="宋体"/>
          <w:b/>
          <w:bCs/>
          <w:color w:val="auto"/>
          <w:sz w:val="32"/>
          <w:szCs w:val="32"/>
        </w:rPr>
        <w:br w:type="page"/>
      </w:r>
    </w:p>
    <w:p w14:paraId="0FBAF87E">
      <w:pPr>
        <w:spacing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附表一：</w:t>
      </w:r>
    </w:p>
    <w:bookmarkEnd w:id="27"/>
    <w:bookmarkEnd w:id="28"/>
    <w:p w14:paraId="7234E384">
      <w:pPr>
        <w:pStyle w:val="3"/>
        <w:bidi w:val="0"/>
        <w:ind w:left="0" w:leftChars="0" w:firstLine="0" w:firstLineChars="0"/>
        <w:jc w:val="center"/>
        <w:rPr>
          <w:rFonts w:hint="eastAsia" w:ascii="宋体" w:hAnsi="宋体" w:eastAsia="宋体" w:cs="宋体"/>
          <w:b/>
          <w:color w:val="auto"/>
          <w:sz w:val="24"/>
        </w:rPr>
      </w:pPr>
      <w:bookmarkStart w:id="29" w:name="_Toc7902"/>
      <w:bookmarkStart w:id="30" w:name="_Toc22412"/>
      <w:r>
        <w:rPr>
          <w:rFonts w:hint="eastAsia" w:ascii="宋体" w:hAnsi="宋体" w:eastAsia="宋体" w:cs="宋体"/>
          <w:color w:val="auto"/>
        </w:rPr>
        <w:t>磋商</w:t>
      </w:r>
      <w:r>
        <w:rPr>
          <w:rFonts w:hint="eastAsia" w:ascii="宋体" w:hAnsi="宋体" w:eastAsia="宋体" w:cs="宋体"/>
          <w:color w:val="auto"/>
          <w:lang w:val="en-US" w:eastAsia="zh-CN"/>
        </w:rPr>
        <w:t>承诺函</w:t>
      </w:r>
    </w:p>
    <w:p w14:paraId="3FE3AECC">
      <w:pPr>
        <w:spacing w:line="360" w:lineRule="auto"/>
        <w:ind w:right="-340" w:rightChars="-162"/>
        <w:jc w:val="center"/>
        <w:rPr>
          <w:rFonts w:hint="eastAsia" w:ascii="宋体" w:hAnsi="宋体" w:eastAsia="宋体" w:cs="宋体"/>
          <w:color w:val="auto"/>
          <w:sz w:val="24"/>
        </w:rPr>
      </w:pPr>
      <w:r>
        <w:rPr>
          <w:rFonts w:hint="eastAsia" w:ascii="宋体" w:hAnsi="宋体" w:eastAsia="宋体" w:cs="宋体"/>
          <w:color w:val="auto"/>
          <w:sz w:val="24"/>
        </w:rPr>
        <w:t>（自行承诺）</w:t>
      </w:r>
    </w:p>
    <w:p w14:paraId="6980B7DB">
      <w:pPr>
        <w:keepNext w:val="0"/>
        <w:pageBreakBefore w:val="0"/>
        <w:widowControl/>
        <w:kinsoku/>
        <w:wordWrap/>
        <w:overflowPunct/>
        <w:topLinePunct w:val="0"/>
        <w:autoSpaceDE/>
        <w:autoSpaceDN/>
        <w:bidi w:val="0"/>
        <w:adjustRightInd/>
        <w:snapToGrid/>
        <w:spacing w:line="480" w:lineRule="exact"/>
        <w:textAlignment w:val="baseline"/>
        <w:rPr>
          <w:rStyle w:val="34"/>
          <w:rFonts w:hint="eastAsia" w:ascii="宋体" w:hAnsi="宋体" w:eastAsia="宋体" w:cs="宋体"/>
          <w:color w:val="auto"/>
          <w:sz w:val="24"/>
          <w:u w:val="single"/>
          <w:lang w:val="en-US" w:eastAsia="zh-CN"/>
        </w:rPr>
      </w:pPr>
      <w:r>
        <w:rPr>
          <w:rStyle w:val="34"/>
          <w:rFonts w:hint="eastAsia" w:ascii="宋体" w:hAnsi="宋体" w:eastAsia="宋体" w:cs="宋体"/>
          <w:color w:val="auto"/>
          <w:sz w:val="24"/>
        </w:rPr>
        <w:t>致（采购人及采购代理机构）：</w:t>
      </w:r>
      <w:r>
        <w:rPr>
          <w:rStyle w:val="34"/>
          <w:rFonts w:hint="eastAsia" w:ascii="宋体" w:hAnsi="宋体" w:eastAsia="宋体" w:cs="宋体"/>
          <w:color w:val="auto"/>
          <w:sz w:val="24"/>
          <w:u w:val="single"/>
          <w:lang w:val="en-US" w:eastAsia="zh-CN"/>
        </w:rPr>
        <w:t xml:space="preserve">                 </w:t>
      </w:r>
    </w:p>
    <w:p w14:paraId="3246DDCB">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color w:val="auto"/>
          <w:sz w:val="24"/>
        </w:rPr>
      </w:pPr>
      <w:r>
        <w:rPr>
          <w:rStyle w:val="34"/>
          <w:rFonts w:hint="eastAsia" w:ascii="宋体" w:hAnsi="宋体" w:eastAsia="宋体" w:cs="宋体"/>
          <w:color w:val="auto"/>
          <w:sz w:val="24"/>
        </w:rPr>
        <w:t>我公司作为本次采购项目的</w:t>
      </w:r>
      <w:r>
        <w:rPr>
          <w:rFonts w:hint="eastAsia" w:ascii="宋体" w:hAnsi="宋体" w:cs="宋体"/>
          <w:color w:val="auto"/>
          <w:sz w:val="24"/>
          <w:szCs w:val="24"/>
          <w:lang w:val="en-US" w:eastAsia="zh-CN"/>
        </w:rPr>
        <w:t>响应</w:t>
      </w:r>
      <w:r>
        <w:rPr>
          <w:rFonts w:hint="eastAsia" w:ascii="宋体" w:hAnsi="宋体" w:eastAsia="宋体" w:cs="宋体"/>
          <w:color w:val="auto"/>
          <w:sz w:val="24"/>
          <w:szCs w:val="24"/>
          <w:lang w:val="en-US" w:eastAsia="zh-CN"/>
        </w:rPr>
        <w:t>人</w:t>
      </w:r>
      <w:r>
        <w:rPr>
          <w:rStyle w:val="34"/>
          <w:rFonts w:hint="eastAsia" w:ascii="宋体" w:hAnsi="宋体" w:eastAsia="宋体" w:cs="宋体"/>
          <w:color w:val="auto"/>
          <w:sz w:val="24"/>
        </w:rPr>
        <w:t>，根据</w:t>
      </w:r>
      <w:r>
        <w:rPr>
          <w:rStyle w:val="34"/>
          <w:rFonts w:hint="eastAsia" w:ascii="宋体" w:hAnsi="宋体" w:cs="宋体"/>
          <w:color w:val="auto"/>
          <w:sz w:val="24"/>
          <w:lang w:eastAsia="zh-CN"/>
        </w:rPr>
        <w:t>磋商</w:t>
      </w:r>
      <w:r>
        <w:rPr>
          <w:rStyle w:val="34"/>
          <w:rFonts w:hint="eastAsia" w:ascii="宋体" w:hAnsi="宋体" w:eastAsia="宋体" w:cs="宋体"/>
          <w:color w:val="auto"/>
          <w:sz w:val="24"/>
        </w:rPr>
        <w:t>文件要求，现郑重承诺如下：</w:t>
      </w:r>
    </w:p>
    <w:p w14:paraId="5FEEE8DC">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color w:val="auto"/>
          <w:sz w:val="24"/>
        </w:rPr>
      </w:pPr>
      <w:r>
        <w:rPr>
          <w:rStyle w:val="34"/>
          <w:rFonts w:hint="eastAsia" w:ascii="宋体" w:hAnsi="宋体" w:eastAsia="宋体" w:cs="宋体"/>
          <w:color w:val="auto"/>
          <w:sz w:val="24"/>
        </w:rPr>
        <w:t>一、具备《中华人民共和国政府采购法》第二十二条第一款和本项目规定的条件：</w:t>
      </w:r>
    </w:p>
    <w:p w14:paraId="1E02A34E">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color w:val="auto"/>
          <w:sz w:val="24"/>
        </w:rPr>
      </w:pPr>
      <w:r>
        <w:rPr>
          <w:rStyle w:val="34"/>
          <w:rFonts w:hint="eastAsia" w:ascii="宋体" w:hAnsi="宋体" w:eastAsia="宋体" w:cs="宋体"/>
          <w:color w:val="auto"/>
          <w:sz w:val="24"/>
        </w:rPr>
        <w:t>（一）具有独立承担民事责任的能力； 　　</w:t>
      </w:r>
    </w:p>
    <w:p w14:paraId="3D77584B">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color w:val="auto"/>
          <w:sz w:val="24"/>
        </w:rPr>
      </w:pPr>
      <w:r>
        <w:rPr>
          <w:rStyle w:val="34"/>
          <w:rFonts w:hint="eastAsia" w:ascii="宋体" w:hAnsi="宋体" w:eastAsia="宋体" w:cs="宋体"/>
          <w:color w:val="auto"/>
          <w:sz w:val="24"/>
        </w:rPr>
        <w:t>（二）具有良好的商业信誉和健全的财务会计制度； 　</w:t>
      </w:r>
    </w:p>
    <w:p w14:paraId="481EC037">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color w:val="auto"/>
          <w:sz w:val="24"/>
        </w:rPr>
      </w:pPr>
      <w:r>
        <w:rPr>
          <w:rStyle w:val="34"/>
          <w:rFonts w:hint="eastAsia" w:ascii="宋体" w:hAnsi="宋体" w:eastAsia="宋体" w:cs="宋体"/>
          <w:color w:val="auto"/>
          <w:sz w:val="24"/>
        </w:rPr>
        <w:t>（三）具有履行合同所必需的设备和专业技术能力； 　　</w:t>
      </w:r>
    </w:p>
    <w:p w14:paraId="41EC0AB6">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color w:val="auto"/>
          <w:sz w:val="24"/>
        </w:rPr>
      </w:pPr>
      <w:r>
        <w:rPr>
          <w:rStyle w:val="34"/>
          <w:rFonts w:hint="eastAsia" w:ascii="宋体" w:hAnsi="宋体" w:eastAsia="宋体" w:cs="宋体"/>
          <w:color w:val="auto"/>
          <w:sz w:val="24"/>
        </w:rPr>
        <w:t>（四）有依法缴纳税收和社会保障资金的良好记录； 　　</w:t>
      </w:r>
    </w:p>
    <w:p w14:paraId="275F8C3E">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color w:val="auto"/>
          <w:sz w:val="24"/>
        </w:rPr>
      </w:pPr>
      <w:r>
        <w:rPr>
          <w:rStyle w:val="34"/>
          <w:rFonts w:hint="eastAsia" w:ascii="宋体" w:hAnsi="宋体" w:eastAsia="宋体" w:cs="宋体"/>
          <w:color w:val="auto"/>
          <w:sz w:val="24"/>
        </w:rPr>
        <w:t>（五）参加政府采购活动前三年内，在经营活动中没有重大违法记录；</w:t>
      </w:r>
    </w:p>
    <w:p w14:paraId="0461A4A6">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color w:val="auto"/>
          <w:sz w:val="24"/>
        </w:rPr>
      </w:pPr>
      <w:r>
        <w:rPr>
          <w:rStyle w:val="34"/>
          <w:rFonts w:hint="eastAsia" w:ascii="宋体" w:hAnsi="宋体" w:eastAsia="宋体" w:cs="宋体"/>
          <w:color w:val="auto"/>
          <w:sz w:val="24"/>
        </w:rPr>
        <w:t>（六）法律、行政法规规定的其他条件；</w:t>
      </w:r>
    </w:p>
    <w:p w14:paraId="73BA776D">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color w:val="auto"/>
          <w:sz w:val="24"/>
        </w:rPr>
      </w:pPr>
      <w:r>
        <w:rPr>
          <w:rStyle w:val="34"/>
          <w:rFonts w:hint="eastAsia" w:ascii="宋体" w:hAnsi="宋体" w:eastAsia="宋体" w:cs="宋体"/>
          <w:color w:val="auto"/>
          <w:sz w:val="24"/>
        </w:rPr>
        <w:t>（七）根据采购项目提出的特殊条件。</w:t>
      </w:r>
    </w:p>
    <w:p w14:paraId="481FCDFF">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color w:val="auto"/>
          <w:sz w:val="24"/>
        </w:rPr>
      </w:pPr>
      <w:r>
        <w:rPr>
          <w:rStyle w:val="34"/>
          <w:rFonts w:hint="eastAsia" w:ascii="宋体" w:hAnsi="宋体" w:eastAsia="宋体" w:cs="宋体"/>
          <w:color w:val="auto"/>
          <w:sz w:val="24"/>
        </w:rPr>
        <w:t>二、完全接受和满足本项目</w:t>
      </w:r>
      <w:r>
        <w:rPr>
          <w:rStyle w:val="34"/>
          <w:rFonts w:hint="eastAsia" w:ascii="宋体" w:hAnsi="宋体" w:cs="宋体"/>
          <w:color w:val="auto"/>
          <w:sz w:val="24"/>
          <w:lang w:eastAsia="zh-CN"/>
        </w:rPr>
        <w:t>磋商</w:t>
      </w:r>
      <w:r>
        <w:rPr>
          <w:rStyle w:val="34"/>
          <w:rFonts w:hint="eastAsia" w:ascii="宋体" w:hAnsi="宋体" w:eastAsia="宋体" w:cs="宋体"/>
          <w:color w:val="auto"/>
          <w:sz w:val="24"/>
        </w:rPr>
        <w:t>文件中规定的实质性要求，如对</w:t>
      </w:r>
      <w:r>
        <w:rPr>
          <w:rStyle w:val="34"/>
          <w:rFonts w:hint="eastAsia" w:ascii="宋体" w:hAnsi="宋体" w:cs="宋体"/>
          <w:color w:val="auto"/>
          <w:sz w:val="24"/>
          <w:lang w:eastAsia="zh-CN"/>
        </w:rPr>
        <w:t>磋商</w:t>
      </w:r>
      <w:r>
        <w:rPr>
          <w:rStyle w:val="34"/>
          <w:rFonts w:hint="eastAsia" w:ascii="宋体" w:hAnsi="宋体" w:eastAsia="宋体" w:cs="宋体"/>
          <w:color w:val="auto"/>
          <w:sz w:val="24"/>
        </w:rPr>
        <w:t>文件有异议，已经在</w:t>
      </w:r>
      <w:r>
        <w:rPr>
          <w:rStyle w:val="34"/>
          <w:rFonts w:hint="eastAsia" w:ascii="宋体" w:hAnsi="宋体" w:cs="宋体"/>
          <w:color w:val="auto"/>
          <w:sz w:val="24"/>
          <w:lang w:eastAsia="zh-CN"/>
        </w:rPr>
        <w:t>响应</w:t>
      </w:r>
      <w:r>
        <w:rPr>
          <w:rStyle w:val="34"/>
          <w:rFonts w:hint="eastAsia" w:ascii="宋体" w:hAnsi="宋体" w:eastAsia="宋体" w:cs="宋体"/>
          <w:color w:val="auto"/>
          <w:sz w:val="24"/>
        </w:rPr>
        <w:t>截止时间届满前依法进行维权救济，不存在对</w:t>
      </w:r>
      <w:r>
        <w:rPr>
          <w:rStyle w:val="34"/>
          <w:rFonts w:hint="eastAsia" w:ascii="宋体" w:hAnsi="宋体" w:cs="宋体"/>
          <w:color w:val="auto"/>
          <w:sz w:val="24"/>
          <w:lang w:eastAsia="zh-CN"/>
        </w:rPr>
        <w:t>磋商</w:t>
      </w:r>
      <w:r>
        <w:rPr>
          <w:rStyle w:val="34"/>
          <w:rFonts w:hint="eastAsia" w:ascii="宋体" w:hAnsi="宋体" w:eastAsia="宋体" w:cs="宋体"/>
          <w:color w:val="auto"/>
          <w:sz w:val="24"/>
        </w:rPr>
        <w:t>文件有异议的同时又参加</w:t>
      </w:r>
      <w:r>
        <w:rPr>
          <w:rStyle w:val="34"/>
          <w:rFonts w:hint="eastAsia" w:ascii="宋体" w:hAnsi="宋体" w:cs="宋体"/>
          <w:color w:val="auto"/>
          <w:sz w:val="24"/>
          <w:lang w:eastAsia="zh-CN"/>
        </w:rPr>
        <w:t>响应</w:t>
      </w:r>
      <w:r>
        <w:rPr>
          <w:rStyle w:val="34"/>
          <w:rFonts w:hint="eastAsia" w:ascii="宋体" w:hAnsi="宋体" w:eastAsia="宋体" w:cs="宋体"/>
          <w:color w:val="auto"/>
          <w:sz w:val="24"/>
        </w:rPr>
        <w:t>以求侥幸</w:t>
      </w:r>
      <w:r>
        <w:rPr>
          <w:rStyle w:val="34"/>
          <w:rFonts w:hint="eastAsia" w:ascii="宋体" w:hAnsi="宋体" w:cs="宋体"/>
          <w:color w:val="auto"/>
          <w:sz w:val="24"/>
          <w:lang w:eastAsia="zh-CN"/>
        </w:rPr>
        <w:t>成交</w:t>
      </w:r>
      <w:r>
        <w:rPr>
          <w:rStyle w:val="34"/>
          <w:rFonts w:hint="eastAsia" w:ascii="宋体" w:hAnsi="宋体" w:eastAsia="宋体" w:cs="宋体"/>
          <w:color w:val="auto"/>
          <w:sz w:val="24"/>
        </w:rPr>
        <w:t>或者为实现其他非法目的的行为。</w:t>
      </w:r>
    </w:p>
    <w:p w14:paraId="56931AC8">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color w:val="auto"/>
          <w:sz w:val="24"/>
        </w:rPr>
      </w:pPr>
      <w:r>
        <w:rPr>
          <w:rStyle w:val="34"/>
          <w:rFonts w:hint="eastAsia" w:ascii="宋体" w:hAnsi="宋体" w:eastAsia="宋体" w:cs="宋体"/>
          <w:color w:val="auto"/>
          <w:sz w:val="24"/>
        </w:rPr>
        <w:t>三、参加本次</w:t>
      </w:r>
      <w:r>
        <w:rPr>
          <w:rStyle w:val="34"/>
          <w:rFonts w:hint="eastAsia" w:ascii="宋体" w:hAnsi="宋体" w:cs="宋体"/>
          <w:color w:val="auto"/>
          <w:sz w:val="24"/>
          <w:lang w:eastAsia="zh-CN"/>
        </w:rPr>
        <w:t>磋商</w:t>
      </w:r>
      <w:r>
        <w:rPr>
          <w:rStyle w:val="34"/>
          <w:rFonts w:hint="eastAsia" w:ascii="宋体" w:hAnsi="宋体" w:eastAsia="宋体" w:cs="宋体"/>
          <w:color w:val="auto"/>
          <w:sz w:val="24"/>
        </w:rPr>
        <w:t>采购活动，不存在与单位负责人为同一人或者存在直接控股、管理关系的其他供应商参与同一合同项下的政府采购活动的行为。    </w:t>
      </w:r>
    </w:p>
    <w:p w14:paraId="5183F15A">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color w:val="auto"/>
          <w:sz w:val="24"/>
        </w:rPr>
      </w:pPr>
      <w:r>
        <w:rPr>
          <w:rStyle w:val="34"/>
          <w:rFonts w:hint="eastAsia" w:ascii="宋体" w:hAnsi="宋体" w:eastAsia="宋体" w:cs="宋体"/>
          <w:color w:val="auto"/>
          <w:sz w:val="24"/>
        </w:rPr>
        <w:t>四、参加本次</w:t>
      </w:r>
      <w:r>
        <w:rPr>
          <w:rStyle w:val="34"/>
          <w:rFonts w:hint="eastAsia" w:ascii="宋体" w:hAnsi="宋体" w:cs="宋体"/>
          <w:color w:val="auto"/>
          <w:sz w:val="24"/>
          <w:lang w:eastAsia="zh-CN"/>
        </w:rPr>
        <w:t>磋商</w:t>
      </w:r>
      <w:r>
        <w:rPr>
          <w:rStyle w:val="34"/>
          <w:rFonts w:hint="eastAsia" w:ascii="宋体" w:hAnsi="宋体" w:eastAsia="宋体" w:cs="宋体"/>
          <w:color w:val="auto"/>
          <w:sz w:val="24"/>
        </w:rPr>
        <w:t>采购活动，不存在为采购项目提供整体设计、规范编制或者项目管理、监理、检测等服务的行为。</w:t>
      </w:r>
    </w:p>
    <w:p w14:paraId="19D5EDE1">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color w:val="auto"/>
          <w:sz w:val="24"/>
        </w:rPr>
      </w:pPr>
      <w:r>
        <w:rPr>
          <w:rStyle w:val="34"/>
          <w:rFonts w:hint="eastAsia" w:ascii="宋体" w:hAnsi="宋体" w:eastAsia="宋体" w:cs="宋体"/>
          <w:color w:val="auto"/>
          <w:sz w:val="24"/>
        </w:rPr>
        <w:t>五、参加本次</w:t>
      </w:r>
      <w:r>
        <w:rPr>
          <w:rStyle w:val="34"/>
          <w:rFonts w:hint="eastAsia" w:ascii="宋体" w:hAnsi="宋体" w:cs="宋体"/>
          <w:color w:val="auto"/>
          <w:sz w:val="24"/>
          <w:lang w:eastAsia="zh-CN"/>
        </w:rPr>
        <w:t>磋商</w:t>
      </w:r>
      <w:r>
        <w:rPr>
          <w:rStyle w:val="34"/>
          <w:rFonts w:hint="eastAsia" w:ascii="宋体" w:hAnsi="宋体" w:eastAsia="宋体" w:cs="宋体"/>
          <w:color w:val="auto"/>
          <w:sz w:val="24"/>
        </w:rPr>
        <w:t>采购活动，不存在和其他供应商在同一合同项下的采购项目中，同时委托同一个自然人、同一家庭的人员、同一单位的人员作为代理人的行为。</w:t>
      </w:r>
    </w:p>
    <w:p w14:paraId="797DC1AF">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color w:val="auto"/>
          <w:sz w:val="24"/>
        </w:rPr>
      </w:pPr>
      <w:r>
        <w:rPr>
          <w:rStyle w:val="34"/>
          <w:rFonts w:hint="eastAsia" w:ascii="宋体" w:hAnsi="宋体" w:eastAsia="宋体" w:cs="宋体"/>
          <w:color w:val="auto"/>
          <w:sz w:val="24"/>
        </w:rPr>
        <w:t>六、</w:t>
      </w:r>
      <w:r>
        <w:rPr>
          <w:rFonts w:hint="eastAsia" w:ascii="宋体" w:hAnsi="宋体" w:cs="宋体"/>
          <w:color w:val="auto"/>
          <w:sz w:val="24"/>
          <w:szCs w:val="24"/>
          <w:lang w:val="en-US" w:eastAsia="zh-CN"/>
        </w:rPr>
        <w:t>响应</w:t>
      </w:r>
      <w:r>
        <w:rPr>
          <w:rFonts w:hint="eastAsia" w:ascii="宋体" w:hAnsi="宋体" w:eastAsia="宋体" w:cs="宋体"/>
          <w:color w:val="auto"/>
          <w:sz w:val="24"/>
          <w:szCs w:val="24"/>
          <w:lang w:val="en-US" w:eastAsia="zh-CN"/>
        </w:rPr>
        <w:t>人</w:t>
      </w:r>
      <w:r>
        <w:rPr>
          <w:rStyle w:val="34"/>
          <w:rFonts w:hint="eastAsia" w:ascii="宋体" w:hAnsi="宋体" w:eastAsia="宋体" w:cs="宋体"/>
          <w:color w:val="auto"/>
          <w:sz w:val="24"/>
        </w:rPr>
        <w:t>参加本次政府采购活动要求在近三年内</w:t>
      </w:r>
      <w:r>
        <w:rPr>
          <w:rFonts w:hint="eastAsia" w:ascii="宋体" w:hAnsi="宋体" w:cs="宋体"/>
          <w:color w:val="auto"/>
          <w:sz w:val="24"/>
          <w:szCs w:val="24"/>
          <w:lang w:val="en-US" w:eastAsia="zh-CN"/>
        </w:rPr>
        <w:t>响应</w:t>
      </w:r>
      <w:r>
        <w:rPr>
          <w:rFonts w:hint="eastAsia" w:ascii="宋体" w:hAnsi="宋体" w:eastAsia="宋体" w:cs="宋体"/>
          <w:color w:val="auto"/>
          <w:sz w:val="24"/>
          <w:szCs w:val="24"/>
          <w:lang w:val="en-US" w:eastAsia="zh-CN"/>
        </w:rPr>
        <w:t>人</w:t>
      </w:r>
      <w:r>
        <w:rPr>
          <w:rStyle w:val="34"/>
          <w:rFonts w:hint="eastAsia" w:ascii="宋体" w:hAnsi="宋体" w:eastAsia="宋体" w:cs="宋体"/>
          <w:color w:val="auto"/>
          <w:sz w:val="24"/>
        </w:rPr>
        <w:t>和其法定代表人没有行贿犯罪行为。</w:t>
      </w:r>
    </w:p>
    <w:p w14:paraId="3BB961A6">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color w:val="auto"/>
          <w:sz w:val="24"/>
        </w:rPr>
      </w:pPr>
      <w:r>
        <w:rPr>
          <w:rStyle w:val="34"/>
          <w:rFonts w:hint="eastAsia" w:ascii="宋体" w:hAnsi="宋体" w:eastAsia="宋体" w:cs="宋体"/>
          <w:color w:val="auto"/>
          <w:sz w:val="24"/>
        </w:rPr>
        <w:t>七、参加本次</w:t>
      </w:r>
      <w:r>
        <w:rPr>
          <w:rStyle w:val="34"/>
          <w:rFonts w:hint="eastAsia" w:ascii="宋体" w:hAnsi="宋体" w:cs="宋体"/>
          <w:color w:val="auto"/>
          <w:sz w:val="24"/>
          <w:lang w:eastAsia="zh-CN"/>
        </w:rPr>
        <w:t>磋商</w:t>
      </w:r>
      <w:r>
        <w:rPr>
          <w:rStyle w:val="34"/>
          <w:rFonts w:hint="eastAsia" w:ascii="宋体" w:hAnsi="宋体" w:eastAsia="宋体" w:cs="宋体"/>
          <w:color w:val="auto"/>
          <w:sz w:val="24"/>
        </w:rPr>
        <w:t>采购活动，不存在联合体投标。</w:t>
      </w:r>
    </w:p>
    <w:p w14:paraId="450CFBD0">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color w:val="auto"/>
          <w:sz w:val="24"/>
        </w:rPr>
      </w:pPr>
      <w:r>
        <w:rPr>
          <w:rStyle w:val="34"/>
          <w:rFonts w:hint="eastAsia" w:ascii="宋体" w:hAnsi="宋体" w:eastAsia="宋体" w:cs="宋体"/>
          <w:color w:val="auto"/>
          <w:sz w:val="24"/>
        </w:rPr>
        <w:t>八、</w:t>
      </w:r>
      <w:r>
        <w:rPr>
          <w:rStyle w:val="34"/>
          <w:rFonts w:hint="eastAsia" w:ascii="宋体" w:hAnsi="宋体" w:cs="宋体"/>
          <w:color w:val="auto"/>
          <w:sz w:val="24"/>
          <w:lang w:eastAsia="zh-CN"/>
        </w:rPr>
        <w:t>响应</w:t>
      </w:r>
      <w:r>
        <w:rPr>
          <w:rStyle w:val="34"/>
          <w:rFonts w:hint="eastAsia" w:ascii="宋体" w:hAnsi="宋体" w:eastAsia="宋体" w:cs="宋体"/>
          <w:color w:val="auto"/>
          <w:sz w:val="24"/>
        </w:rPr>
        <w:t>文件中提供的能够给予我公司带来优惠、好处的任何材料资料和技术、服务、商务等响应承诺情况都是真实的、有效的、合法的。</w:t>
      </w:r>
    </w:p>
    <w:p w14:paraId="06CAA7C7">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color w:val="auto"/>
          <w:sz w:val="24"/>
        </w:rPr>
      </w:pPr>
      <w:r>
        <w:rPr>
          <w:rStyle w:val="34"/>
          <w:rFonts w:hint="eastAsia" w:ascii="宋体" w:hAnsi="宋体" w:eastAsia="宋体" w:cs="宋体"/>
          <w:color w:val="auto"/>
          <w:sz w:val="24"/>
        </w:rPr>
        <w:t> 九、如本项目评标过程中需要提供样品，则我公司提供的样品即为</w:t>
      </w:r>
      <w:r>
        <w:rPr>
          <w:rStyle w:val="34"/>
          <w:rFonts w:hint="eastAsia" w:ascii="宋体" w:hAnsi="宋体" w:cs="宋体"/>
          <w:color w:val="auto"/>
          <w:sz w:val="24"/>
          <w:lang w:eastAsia="zh-CN"/>
        </w:rPr>
        <w:t>成交</w:t>
      </w:r>
      <w:r>
        <w:rPr>
          <w:rStyle w:val="34"/>
          <w:rFonts w:hint="eastAsia" w:ascii="宋体" w:hAnsi="宋体" w:eastAsia="宋体" w:cs="宋体"/>
          <w:color w:val="auto"/>
          <w:sz w:val="24"/>
        </w:rPr>
        <w:t>后将要提供的</w:t>
      </w:r>
      <w:r>
        <w:rPr>
          <w:rStyle w:val="34"/>
          <w:rFonts w:hint="eastAsia" w:ascii="宋体" w:hAnsi="宋体" w:cs="宋体"/>
          <w:color w:val="auto"/>
          <w:sz w:val="24"/>
          <w:lang w:eastAsia="zh-CN"/>
        </w:rPr>
        <w:t>成交</w:t>
      </w:r>
      <w:r>
        <w:rPr>
          <w:rStyle w:val="34"/>
          <w:rFonts w:hint="eastAsia" w:ascii="宋体" w:hAnsi="宋体" w:eastAsia="宋体" w:cs="宋体"/>
          <w:color w:val="auto"/>
          <w:sz w:val="24"/>
        </w:rPr>
        <w:t>产品，我公司对提供样品的性能和质量负责，因样品存在缺陷或者不符合</w:t>
      </w:r>
      <w:r>
        <w:rPr>
          <w:rStyle w:val="34"/>
          <w:rFonts w:hint="eastAsia" w:ascii="宋体" w:hAnsi="宋体" w:cs="宋体"/>
          <w:color w:val="auto"/>
          <w:sz w:val="24"/>
          <w:lang w:eastAsia="zh-CN"/>
        </w:rPr>
        <w:t>磋商</w:t>
      </w:r>
      <w:r>
        <w:rPr>
          <w:rStyle w:val="34"/>
          <w:rFonts w:hint="eastAsia" w:ascii="宋体" w:hAnsi="宋体" w:eastAsia="宋体" w:cs="宋体"/>
          <w:color w:val="auto"/>
          <w:sz w:val="24"/>
        </w:rPr>
        <w:t>文件要求导致未能</w:t>
      </w:r>
      <w:r>
        <w:rPr>
          <w:rStyle w:val="34"/>
          <w:rFonts w:hint="eastAsia" w:ascii="宋体" w:hAnsi="宋体" w:cs="宋体"/>
          <w:color w:val="auto"/>
          <w:sz w:val="24"/>
          <w:lang w:eastAsia="zh-CN"/>
        </w:rPr>
        <w:t>成交</w:t>
      </w:r>
      <w:r>
        <w:rPr>
          <w:rStyle w:val="34"/>
          <w:rFonts w:hint="eastAsia" w:ascii="宋体" w:hAnsi="宋体" w:eastAsia="宋体" w:cs="宋体"/>
          <w:color w:val="auto"/>
          <w:sz w:val="24"/>
        </w:rPr>
        <w:t>的，我公司愿意承担相应不利后果。（如提供样品）    </w:t>
      </w:r>
    </w:p>
    <w:p w14:paraId="08804F37">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color w:val="auto"/>
          <w:sz w:val="24"/>
        </w:rPr>
      </w:pPr>
      <w:r>
        <w:rPr>
          <w:rStyle w:val="34"/>
          <w:rFonts w:hint="eastAsia" w:ascii="宋体" w:hAnsi="宋体" w:eastAsia="宋体" w:cs="宋体"/>
          <w:color w:val="auto"/>
          <w:sz w:val="24"/>
        </w:rPr>
        <w:t> 十、存在以下行为之一的愿意接受相关部门的处理：</w:t>
      </w:r>
    </w:p>
    <w:p w14:paraId="4BE30B40">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color w:val="auto"/>
          <w:sz w:val="24"/>
        </w:rPr>
      </w:pPr>
      <w:r>
        <w:rPr>
          <w:rStyle w:val="34"/>
          <w:rFonts w:hint="eastAsia" w:ascii="宋体" w:hAnsi="宋体" w:eastAsia="宋体" w:cs="宋体"/>
          <w:color w:val="auto"/>
          <w:sz w:val="24"/>
        </w:rPr>
        <w:t>  （一）</w:t>
      </w:r>
      <w:r>
        <w:rPr>
          <w:rStyle w:val="34"/>
          <w:rFonts w:hint="eastAsia" w:ascii="宋体" w:hAnsi="宋体" w:cs="宋体"/>
          <w:color w:val="auto"/>
          <w:sz w:val="24"/>
          <w:lang w:eastAsia="zh-CN"/>
        </w:rPr>
        <w:t>响应</w:t>
      </w:r>
      <w:r>
        <w:rPr>
          <w:rStyle w:val="34"/>
          <w:rFonts w:hint="eastAsia" w:ascii="宋体" w:hAnsi="宋体" w:eastAsia="宋体" w:cs="宋体"/>
          <w:color w:val="auto"/>
          <w:sz w:val="24"/>
        </w:rPr>
        <w:t>有效期内撤销</w:t>
      </w:r>
      <w:r>
        <w:rPr>
          <w:rStyle w:val="34"/>
          <w:rFonts w:hint="eastAsia" w:ascii="宋体" w:hAnsi="宋体" w:cs="宋体"/>
          <w:color w:val="auto"/>
          <w:sz w:val="24"/>
          <w:lang w:eastAsia="zh-CN"/>
        </w:rPr>
        <w:t>响应</w:t>
      </w:r>
      <w:r>
        <w:rPr>
          <w:rStyle w:val="34"/>
          <w:rFonts w:hint="eastAsia" w:ascii="宋体" w:hAnsi="宋体" w:eastAsia="宋体" w:cs="宋体"/>
          <w:color w:val="auto"/>
          <w:sz w:val="24"/>
        </w:rPr>
        <w:t>文件的；</w:t>
      </w:r>
    </w:p>
    <w:p w14:paraId="18761172">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color w:val="auto"/>
          <w:sz w:val="24"/>
        </w:rPr>
      </w:pPr>
      <w:r>
        <w:rPr>
          <w:rStyle w:val="34"/>
          <w:rFonts w:hint="eastAsia" w:ascii="宋体" w:hAnsi="宋体" w:eastAsia="宋体" w:cs="宋体"/>
          <w:color w:val="auto"/>
          <w:sz w:val="24"/>
        </w:rPr>
        <w:t>  （二）在采购人确定</w:t>
      </w:r>
      <w:r>
        <w:rPr>
          <w:rStyle w:val="34"/>
          <w:rFonts w:hint="eastAsia" w:ascii="宋体" w:hAnsi="宋体" w:cs="宋体"/>
          <w:color w:val="auto"/>
          <w:sz w:val="24"/>
          <w:lang w:eastAsia="zh-CN"/>
        </w:rPr>
        <w:t>成交</w:t>
      </w:r>
      <w:r>
        <w:rPr>
          <w:rStyle w:val="34"/>
          <w:rFonts w:hint="eastAsia" w:ascii="宋体" w:hAnsi="宋体" w:eastAsia="宋体" w:cs="宋体"/>
          <w:color w:val="auto"/>
          <w:sz w:val="24"/>
        </w:rPr>
        <w:t>人以前放弃</w:t>
      </w:r>
      <w:r>
        <w:rPr>
          <w:rStyle w:val="34"/>
          <w:rFonts w:hint="eastAsia" w:ascii="宋体" w:hAnsi="宋体" w:cs="宋体"/>
          <w:color w:val="auto"/>
          <w:sz w:val="24"/>
          <w:lang w:eastAsia="zh-CN"/>
        </w:rPr>
        <w:t>成交</w:t>
      </w:r>
      <w:r>
        <w:rPr>
          <w:rStyle w:val="34"/>
          <w:rFonts w:hint="eastAsia" w:ascii="宋体" w:hAnsi="宋体" w:eastAsia="宋体" w:cs="宋体"/>
          <w:color w:val="auto"/>
          <w:sz w:val="24"/>
        </w:rPr>
        <w:t>候选资格的；</w:t>
      </w:r>
    </w:p>
    <w:p w14:paraId="09914304">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color w:val="auto"/>
          <w:sz w:val="24"/>
        </w:rPr>
      </w:pPr>
      <w:r>
        <w:rPr>
          <w:rStyle w:val="34"/>
          <w:rFonts w:hint="eastAsia" w:ascii="宋体" w:hAnsi="宋体" w:eastAsia="宋体" w:cs="宋体"/>
          <w:color w:val="auto"/>
          <w:sz w:val="24"/>
        </w:rPr>
        <w:t>  （三）由于</w:t>
      </w:r>
      <w:r>
        <w:rPr>
          <w:rStyle w:val="34"/>
          <w:rFonts w:hint="eastAsia" w:ascii="宋体" w:hAnsi="宋体" w:cs="宋体"/>
          <w:color w:val="auto"/>
          <w:sz w:val="24"/>
          <w:lang w:eastAsia="zh-CN"/>
        </w:rPr>
        <w:t>成交</w:t>
      </w:r>
      <w:r>
        <w:rPr>
          <w:rStyle w:val="34"/>
          <w:rFonts w:hint="eastAsia" w:ascii="宋体" w:hAnsi="宋体" w:eastAsia="宋体" w:cs="宋体"/>
          <w:color w:val="auto"/>
          <w:sz w:val="24"/>
        </w:rPr>
        <w:t>人的原因未能按照</w:t>
      </w:r>
      <w:r>
        <w:rPr>
          <w:rStyle w:val="34"/>
          <w:rFonts w:hint="eastAsia" w:ascii="宋体" w:hAnsi="宋体" w:cs="宋体"/>
          <w:color w:val="auto"/>
          <w:sz w:val="24"/>
          <w:lang w:eastAsia="zh-CN"/>
        </w:rPr>
        <w:t>磋商</w:t>
      </w:r>
      <w:r>
        <w:rPr>
          <w:rStyle w:val="34"/>
          <w:rFonts w:hint="eastAsia" w:ascii="宋体" w:hAnsi="宋体" w:eastAsia="宋体" w:cs="宋体"/>
          <w:color w:val="auto"/>
          <w:sz w:val="24"/>
        </w:rPr>
        <w:t>文件的规定与采购人签订合同；</w:t>
      </w:r>
    </w:p>
    <w:p w14:paraId="2282BDA7">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color w:val="auto"/>
          <w:sz w:val="24"/>
        </w:rPr>
      </w:pPr>
      <w:r>
        <w:rPr>
          <w:rStyle w:val="34"/>
          <w:rFonts w:hint="eastAsia" w:ascii="宋体" w:hAnsi="宋体" w:eastAsia="宋体" w:cs="宋体"/>
          <w:color w:val="auto"/>
          <w:sz w:val="24"/>
        </w:rPr>
        <w:t>  （四）由于</w:t>
      </w:r>
      <w:r>
        <w:rPr>
          <w:rStyle w:val="34"/>
          <w:rFonts w:hint="eastAsia" w:ascii="宋体" w:hAnsi="宋体" w:cs="宋体"/>
          <w:color w:val="auto"/>
          <w:sz w:val="24"/>
          <w:lang w:eastAsia="zh-CN"/>
        </w:rPr>
        <w:t>成交</w:t>
      </w:r>
      <w:r>
        <w:rPr>
          <w:rStyle w:val="34"/>
          <w:rFonts w:hint="eastAsia" w:ascii="宋体" w:hAnsi="宋体" w:eastAsia="宋体" w:cs="宋体"/>
          <w:color w:val="auto"/>
          <w:sz w:val="24"/>
        </w:rPr>
        <w:t>人的原因未能按照</w:t>
      </w:r>
      <w:r>
        <w:rPr>
          <w:rStyle w:val="34"/>
          <w:rFonts w:hint="eastAsia" w:ascii="宋体" w:hAnsi="宋体" w:cs="宋体"/>
          <w:color w:val="auto"/>
          <w:sz w:val="24"/>
          <w:lang w:eastAsia="zh-CN"/>
        </w:rPr>
        <w:t>磋商</w:t>
      </w:r>
      <w:r>
        <w:rPr>
          <w:rStyle w:val="34"/>
          <w:rFonts w:hint="eastAsia" w:ascii="宋体" w:hAnsi="宋体" w:eastAsia="宋体" w:cs="宋体"/>
          <w:color w:val="auto"/>
          <w:sz w:val="24"/>
        </w:rPr>
        <w:t>文件的规定交纳履约保证金；</w:t>
      </w:r>
    </w:p>
    <w:p w14:paraId="6F18F93E">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color w:val="auto"/>
          <w:sz w:val="24"/>
        </w:rPr>
      </w:pPr>
      <w:r>
        <w:rPr>
          <w:rStyle w:val="34"/>
          <w:rFonts w:hint="eastAsia" w:ascii="宋体" w:hAnsi="宋体" w:eastAsia="宋体" w:cs="宋体"/>
          <w:color w:val="auto"/>
          <w:sz w:val="24"/>
        </w:rPr>
        <w:t>  （五）在</w:t>
      </w:r>
      <w:r>
        <w:rPr>
          <w:rStyle w:val="34"/>
          <w:rFonts w:hint="eastAsia" w:ascii="宋体" w:hAnsi="宋体" w:cs="宋体"/>
          <w:color w:val="auto"/>
          <w:sz w:val="24"/>
          <w:lang w:eastAsia="zh-CN"/>
        </w:rPr>
        <w:t>响应</w:t>
      </w:r>
      <w:r>
        <w:rPr>
          <w:rStyle w:val="34"/>
          <w:rFonts w:hint="eastAsia" w:ascii="宋体" w:hAnsi="宋体" w:eastAsia="宋体" w:cs="宋体"/>
          <w:color w:val="auto"/>
          <w:sz w:val="24"/>
        </w:rPr>
        <w:t>文件中提供虚假材料谋取</w:t>
      </w:r>
      <w:r>
        <w:rPr>
          <w:rStyle w:val="34"/>
          <w:rFonts w:hint="eastAsia" w:ascii="宋体" w:hAnsi="宋体" w:cs="宋体"/>
          <w:color w:val="auto"/>
          <w:sz w:val="24"/>
          <w:lang w:eastAsia="zh-CN"/>
        </w:rPr>
        <w:t>成交</w:t>
      </w:r>
      <w:r>
        <w:rPr>
          <w:rStyle w:val="34"/>
          <w:rFonts w:hint="eastAsia" w:ascii="宋体" w:hAnsi="宋体" w:eastAsia="宋体" w:cs="宋体"/>
          <w:color w:val="auto"/>
          <w:sz w:val="24"/>
        </w:rPr>
        <w:t>；</w:t>
      </w:r>
    </w:p>
    <w:p w14:paraId="08D4FBC1">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color w:val="auto"/>
          <w:sz w:val="24"/>
        </w:rPr>
      </w:pPr>
      <w:r>
        <w:rPr>
          <w:rStyle w:val="34"/>
          <w:rFonts w:hint="eastAsia" w:ascii="宋体" w:hAnsi="宋体" w:eastAsia="宋体" w:cs="宋体"/>
          <w:color w:val="auto"/>
          <w:sz w:val="24"/>
        </w:rPr>
        <w:t>  （六）与采购人、其他供应商或者采购代理机构恶意串通的；</w:t>
      </w:r>
    </w:p>
    <w:p w14:paraId="6E443C20">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color w:val="auto"/>
          <w:sz w:val="24"/>
        </w:rPr>
      </w:pPr>
      <w:r>
        <w:rPr>
          <w:rStyle w:val="34"/>
          <w:rFonts w:hint="eastAsia" w:ascii="宋体" w:hAnsi="宋体" w:eastAsia="宋体" w:cs="宋体"/>
          <w:color w:val="auto"/>
          <w:sz w:val="24"/>
        </w:rPr>
        <w:t>  （七）</w:t>
      </w:r>
      <w:r>
        <w:rPr>
          <w:rStyle w:val="34"/>
          <w:rFonts w:hint="eastAsia" w:ascii="宋体" w:hAnsi="宋体" w:cs="宋体"/>
          <w:color w:val="auto"/>
          <w:sz w:val="24"/>
          <w:lang w:eastAsia="zh-CN"/>
        </w:rPr>
        <w:t>响应</w:t>
      </w:r>
      <w:r>
        <w:rPr>
          <w:rStyle w:val="34"/>
          <w:rFonts w:hint="eastAsia" w:ascii="宋体" w:hAnsi="宋体" w:eastAsia="宋体" w:cs="宋体"/>
          <w:color w:val="auto"/>
          <w:sz w:val="24"/>
        </w:rPr>
        <w:t>有效期内，</w:t>
      </w:r>
      <w:r>
        <w:rPr>
          <w:rFonts w:hint="eastAsia" w:ascii="宋体" w:hAnsi="宋体" w:cs="宋体"/>
          <w:color w:val="auto"/>
          <w:sz w:val="24"/>
          <w:szCs w:val="24"/>
          <w:lang w:val="en-US" w:eastAsia="zh-CN"/>
        </w:rPr>
        <w:t>响应</w:t>
      </w:r>
      <w:r>
        <w:rPr>
          <w:rFonts w:hint="eastAsia" w:ascii="宋体" w:hAnsi="宋体" w:eastAsia="宋体" w:cs="宋体"/>
          <w:color w:val="auto"/>
          <w:sz w:val="24"/>
          <w:szCs w:val="24"/>
          <w:lang w:val="en-US" w:eastAsia="zh-CN"/>
        </w:rPr>
        <w:t>人</w:t>
      </w:r>
      <w:r>
        <w:rPr>
          <w:rStyle w:val="34"/>
          <w:rFonts w:hint="eastAsia" w:ascii="宋体" w:hAnsi="宋体" w:eastAsia="宋体" w:cs="宋体"/>
          <w:color w:val="auto"/>
          <w:sz w:val="24"/>
        </w:rPr>
        <w:t>在政府采购活动中有违法、违规、违纪行为。</w:t>
      </w:r>
    </w:p>
    <w:p w14:paraId="5832D5B3">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4"/>
          <w:rFonts w:hint="eastAsia" w:ascii="宋体" w:hAnsi="宋体" w:eastAsia="宋体" w:cs="宋体"/>
          <w:color w:val="auto"/>
          <w:sz w:val="24"/>
        </w:rPr>
      </w:pPr>
      <w:r>
        <w:rPr>
          <w:rStyle w:val="34"/>
          <w:rFonts w:hint="eastAsia" w:ascii="宋体" w:hAnsi="宋体" w:eastAsia="宋体" w:cs="宋体"/>
          <w:color w:val="auto"/>
          <w:sz w:val="24"/>
        </w:rPr>
        <w:t>由此产生的一切法律后果和责任由我公司承担。我公司声明放弃对此提出任何异议和追索的权利。</w:t>
      </w:r>
    </w:p>
    <w:p w14:paraId="38DEF211">
      <w:pPr>
        <w:pStyle w:val="8"/>
        <w:spacing w:line="360" w:lineRule="exact"/>
        <w:ind w:right="-340" w:rightChars="-162"/>
        <w:rPr>
          <w:rStyle w:val="34"/>
          <w:rFonts w:hint="eastAsia" w:ascii="宋体" w:hAnsi="宋体" w:eastAsia="宋体" w:cs="宋体"/>
          <w:color w:val="auto"/>
          <w:sz w:val="24"/>
        </w:rPr>
      </w:pPr>
    </w:p>
    <w:p w14:paraId="4C36C382">
      <w:pPr>
        <w:pStyle w:val="8"/>
        <w:spacing w:line="360" w:lineRule="exact"/>
        <w:ind w:right="-340" w:rightChars="-162"/>
        <w:rPr>
          <w:rFonts w:hint="eastAsia" w:ascii="宋体" w:hAnsi="宋体" w:eastAsia="宋体" w:cs="宋体"/>
          <w:color w:val="auto"/>
          <w:sz w:val="24"/>
        </w:rPr>
      </w:pPr>
      <w:r>
        <w:rPr>
          <w:rStyle w:val="34"/>
          <w:rFonts w:hint="eastAsia" w:ascii="宋体" w:hAnsi="宋体" w:eastAsia="宋体" w:cs="宋体"/>
          <w:color w:val="auto"/>
          <w:sz w:val="24"/>
        </w:rPr>
        <w:t>本公司对上述承诺的内容事项真实性负责。如经查实上述承诺的内容事项存在虚假，我公司愿意接受以提供虚假材料谋取</w:t>
      </w:r>
      <w:r>
        <w:rPr>
          <w:rStyle w:val="34"/>
          <w:rFonts w:hint="eastAsia" w:ascii="宋体" w:hAnsi="宋体" w:cs="宋体"/>
          <w:color w:val="auto"/>
          <w:sz w:val="24"/>
          <w:lang w:eastAsia="zh-CN"/>
        </w:rPr>
        <w:t>成交</w:t>
      </w:r>
      <w:r>
        <w:rPr>
          <w:rStyle w:val="34"/>
          <w:rFonts w:hint="eastAsia" w:ascii="宋体" w:hAnsi="宋体" w:eastAsia="宋体" w:cs="宋体"/>
          <w:color w:val="auto"/>
          <w:sz w:val="24"/>
        </w:rPr>
        <w:t>追究法律责任。</w:t>
      </w:r>
    </w:p>
    <w:p w14:paraId="0C92529C">
      <w:pPr>
        <w:pStyle w:val="8"/>
        <w:spacing w:line="360" w:lineRule="exact"/>
        <w:ind w:left="1" w:leftChars="0" w:right="-340" w:rightChars="-162" w:firstLine="2880" w:firstLineChars="1200"/>
        <w:rPr>
          <w:rFonts w:hint="eastAsia" w:ascii="宋体" w:hAnsi="宋体" w:eastAsia="宋体" w:cs="宋体"/>
          <w:color w:val="auto"/>
          <w:sz w:val="24"/>
        </w:rPr>
      </w:pPr>
    </w:p>
    <w:p w14:paraId="22D44D50">
      <w:pPr>
        <w:pStyle w:val="8"/>
        <w:spacing w:line="360" w:lineRule="exact"/>
        <w:ind w:left="1" w:leftChars="0" w:right="-340" w:rightChars="-162" w:firstLine="2880" w:firstLineChars="1200"/>
        <w:rPr>
          <w:rFonts w:hint="eastAsia" w:ascii="宋体" w:hAnsi="宋体" w:eastAsia="宋体" w:cs="宋体"/>
          <w:color w:val="auto"/>
          <w:sz w:val="24"/>
        </w:rPr>
      </w:pPr>
    </w:p>
    <w:p w14:paraId="3446114A">
      <w:pPr>
        <w:pStyle w:val="8"/>
        <w:spacing w:line="360" w:lineRule="exact"/>
        <w:ind w:left="1" w:leftChars="0" w:right="-340" w:rightChars="-162" w:firstLine="2880" w:firstLineChars="1200"/>
        <w:rPr>
          <w:rFonts w:hint="eastAsia" w:ascii="宋体" w:hAnsi="宋体" w:eastAsia="宋体" w:cs="宋体"/>
          <w:color w:val="auto"/>
          <w:sz w:val="24"/>
        </w:rPr>
      </w:pPr>
    </w:p>
    <w:p w14:paraId="65C5D6F6">
      <w:pPr>
        <w:pStyle w:val="8"/>
        <w:spacing w:line="360" w:lineRule="exact"/>
        <w:ind w:left="1" w:leftChars="0" w:right="-340" w:rightChars="-162" w:firstLine="2880" w:firstLineChars="1200"/>
        <w:rPr>
          <w:rFonts w:hint="eastAsia" w:ascii="宋体" w:hAnsi="宋体" w:eastAsia="宋体" w:cs="宋体"/>
          <w:color w:val="auto"/>
          <w:sz w:val="24"/>
          <w:u w:val="single"/>
        </w:rPr>
      </w:pPr>
      <w:r>
        <w:rPr>
          <w:rFonts w:hint="eastAsia" w:ascii="宋体" w:hAnsi="宋体" w:eastAsia="宋体" w:cs="宋体"/>
          <w:color w:val="auto"/>
          <w:sz w:val="24"/>
        </w:rPr>
        <w:t>供  应  商：</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（盖单位公章）</w:t>
      </w:r>
    </w:p>
    <w:p w14:paraId="13ED08EB">
      <w:pPr>
        <w:pStyle w:val="8"/>
        <w:spacing w:line="360" w:lineRule="exact"/>
        <w:ind w:left="1" w:leftChars="0" w:right="-340" w:rightChars="-162" w:firstLine="2880" w:firstLineChars="1200"/>
        <w:rPr>
          <w:rFonts w:hint="eastAsia" w:ascii="宋体" w:hAnsi="宋体" w:eastAsia="宋体" w:cs="宋体"/>
          <w:color w:val="auto"/>
          <w:sz w:val="24"/>
          <w:u w:val="single"/>
        </w:rPr>
      </w:pPr>
    </w:p>
    <w:p w14:paraId="60A0BEE7">
      <w:pPr>
        <w:pStyle w:val="8"/>
        <w:spacing w:line="360" w:lineRule="exact"/>
        <w:ind w:left="1" w:leftChars="0" w:right="-340" w:rightChars="-162" w:firstLine="2880" w:firstLineChars="1200"/>
        <w:rPr>
          <w:rFonts w:hint="eastAsia" w:ascii="宋体" w:hAnsi="宋体" w:eastAsia="宋体" w:cs="宋体"/>
          <w:color w:val="auto"/>
          <w:sz w:val="24"/>
        </w:rPr>
      </w:pPr>
      <w:r>
        <w:rPr>
          <w:rFonts w:hint="eastAsia" w:ascii="宋体" w:hAnsi="宋体" w:eastAsia="宋体" w:cs="宋体"/>
          <w:color w:val="auto"/>
          <w:sz w:val="24"/>
        </w:rPr>
        <w:t>法定代表人：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（签字或盖章）</w:t>
      </w:r>
    </w:p>
    <w:p w14:paraId="7A5C7473">
      <w:pPr>
        <w:pStyle w:val="8"/>
        <w:spacing w:line="360" w:lineRule="exact"/>
        <w:ind w:left="1" w:leftChars="0" w:right="-340" w:rightChars="-162"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w:t>
      </w:r>
    </w:p>
    <w:p w14:paraId="24CDB922">
      <w:pPr>
        <w:pStyle w:val="8"/>
        <w:spacing w:line="360" w:lineRule="exact"/>
        <w:ind w:left="99" w:leftChars="47" w:right="-340" w:rightChars="-162" w:firstLine="2760" w:firstLineChars="1150"/>
        <w:rPr>
          <w:rFonts w:hint="eastAsia" w:ascii="宋体" w:hAnsi="宋体" w:eastAsia="宋体" w:cs="宋体"/>
          <w:b/>
          <w:bCs/>
          <w:color w:val="auto"/>
          <w:sz w:val="24"/>
          <w:u w:val="single"/>
        </w:rPr>
      </w:pPr>
      <w:r>
        <w:rPr>
          <w:rFonts w:hint="eastAsia" w:ascii="宋体" w:hAnsi="宋体" w:eastAsia="宋体" w:cs="宋体"/>
          <w:color w:val="auto"/>
          <w:sz w:val="24"/>
        </w:rPr>
        <w:t>日    期：</w:t>
      </w:r>
      <w:r>
        <w:rPr>
          <w:rFonts w:hint="eastAsia" w:ascii="宋体" w:hAnsi="宋体" w:eastAsia="宋体" w:cs="宋体"/>
          <w:color w:val="auto"/>
          <w:sz w:val="24"/>
          <w:u w:val="single"/>
        </w:rPr>
        <w:t xml:space="preserve">      年     月    日</w:t>
      </w:r>
    </w:p>
    <w:p w14:paraId="0062AE64">
      <w:pPr>
        <w:rPr>
          <w:rFonts w:hint="eastAsia" w:ascii="宋体" w:hAnsi="宋体" w:eastAsia="宋体" w:cs="宋体"/>
          <w:color w:val="auto"/>
          <w:sz w:val="28"/>
          <w:szCs w:val="21"/>
        </w:rPr>
      </w:pPr>
    </w:p>
    <w:p w14:paraId="0DE47E60">
      <w:pPr>
        <w:rPr>
          <w:rFonts w:hint="eastAsia" w:ascii="宋体" w:hAnsi="宋体" w:eastAsia="宋体" w:cs="宋体"/>
          <w:color w:val="auto"/>
          <w:sz w:val="28"/>
          <w:szCs w:val="21"/>
        </w:rPr>
      </w:pPr>
      <w:r>
        <w:rPr>
          <w:rFonts w:hint="eastAsia" w:ascii="宋体" w:hAnsi="宋体" w:eastAsia="宋体" w:cs="宋体"/>
          <w:color w:val="auto"/>
          <w:sz w:val="28"/>
          <w:szCs w:val="21"/>
        </w:rPr>
        <w:br w:type="page"/>
      </w:r>
    </w:p>
    <w:p w14:paraId="6EB5C33A">
      <w:pPr>
        <w:pStyle w:val="3"/>
        <w:numPr>
          <w:ilvl w:val="1"/>
          <w:numId w:val="0"/>
        </w:numPr>
        <w:wordWrap w:val="0"/>
        <w:topLinePunct/>
        <w:spacing w:before="0" w:after="0" w:line="360" w:lineRule="auto"/>
        <w:jc w:val="left"/>
        <w:rPr>
          <w:rFonts w:hint="eastAsia" w:ascii="宋体" w:hAnsi="宋体" w:eastAsia="宋体" w:cs="宋体"/>
          <w:color w:val="auto"/>
          <w:sz w:val="24"/>
        </w:rPr>
      </w:pPr>
      <w:r>
        <w:rPr>
          <w:rFonts w:hint="eastAsia" w:ascii="宋体" w:hAnsi="宋体" w:eastAsia="宋体" w:cs="宋体"/>
          <w:color w:val="auto"/>
          <w:sz w:val="28"/>
          <w:szCs w:val="21"/>
        </w:rPr>
        <w:t>附件2：</w:t>
      </w:r>
      <w:bookmarkEnd w:id="29"/>
    </w:p>
    <w:p w14:paraId="21769903">
      <w:pPr>
        <w:pStyle w:val="3"/>
        <w:numPr>
          <w:ilvl w:val="1"/>
          <w:numId w:val="0"/>
        </w:numPr>
        <w:wordWrap w:val="0"/>
        <w:topLinePunct/>
        <w:spacing w:before="0" w:after="0" w:line="360" w:lineRule="auto"/>
        <w:rPr>
          <w:rFonts w:hint="eastAsia" w:ascii="宋体" w:hAnsi="宋体" w:eastAsia="宋体" w:cs="宋体"/>
          <w:color w:val="auto"/>
        </w:rPr>
      </w:pPr>
      <w:r>
        <w:rPr>
          <w:rFonts w:hint="eastAsia" w:ascii="宋体" w:hAnsi="宋体" w:eastAsia="宋体" w:cs="宋体"/>
          <w:bCs/>
          <w:color w:val="auto"/>
          <w:szCs w:val="24"/>
          <w:lang w:val="zh-CN"/>
        </w:rPr>
        <w:t>中小企业声明函</w:t>
      </w:r>
      <w:bookmarkEnd w:id="30"/>
    </w:p>
    <w:p w14:paraId="30C174DA">
      <w:pPr>
        <w:bidi w:val="0"/>
        <w:rPr>
          <w:rFonts w:hint="eastAsia" w:ascii="宋体" w:hAnsi="宋体" w:eastAsia="宋体" w:cs="宋体"/>
          <w:color w:val="auto"/>
        </w:rPr>
      </w:pPr>
      <w:bookmarkStart w:id="31" w:name="_Toc22972"/>
      <w:bookmarkEnd w:id="31"/>
      <w:bookmarkStart w:id="32" w:name="_Toc7247"/>
      <w:bookmarkEnd w:id="32"/>
      <w:bookmarkStart w:id="33" w:name="_Toc10422"/>
      <w:bookmarkEnd w:id="33"/>
      <w:bookmarkStart w:id="34" w:name="_Toc9430"/>
      <w:bookmarkEnd w:id="34"/>
      <w:bookmarkStart w:id="35" w:name="_Toc13133"/>
      <w:bookmarkEnd w:id="35"/>
      <w:bookmarkStart w:id="36" w:name="_Toc22139"/>
      <w:bookmarkEnd w:id="36"/>
      <w:bookmarkStart w:id="37" w:name="_Toc12921"/>
      <w:bookmarkEnd w:id="37"/>
      <w:bookmarkStart w:id="38" w:name="_Toc10652"/>
      <w:bookmarkEnd w:id="38"/>
      <w:bookmarkStart w:id="39" w:name="_Toc14000"/>
      <w:bookmarkEnd w:id="39"/>
      <w:bookmarkStart w:id="40" w:name="_Toc82111747"/>
      <w:bookmarkEnd w:id="40"/>
    </w:p>
    <w:p w14:paraId="5A8EA40A">
      <w:pPr>
        <w:widowControl/>
        <w:spacing w:before="100" w:beforeAutospacing="1" w:after="100" w:afterAutospacing="1" w:line="360" w:lineRule="auto"/>
        <w:ind w:firstLine="600" w:firstLineChars="250"/>
        <w:rPr>
          <w:rFonts w:hint="eastAsia" w:ascii="宋体" w:hAnsi="宋体" w:eastAsia="宋体" w:cs="宋体"/>
          <w:color w:val="auto"/>
          <w:kern w:val="0"/>
          <w:sz w:val="24"/>
        </w:rPr>
      </w:pPr>
      <w:r>
        <w:rPr>
          <w:rFonts w:hint="eastAsia" w:ascii="宋体" w:hAnsi="宋体" w:eastAsia="宋体" w:cs="宋体"/>
          <w:color w:val="auto"/>
          <w:kern w:val="0"/>
          <w:sz w:val="24"/>
        </w:rPr>
        <w:t>本公司（联合体）郑重声明，根据《政府采购促进中小企业发展管理办法》（财库﹝2020﹞46 号）的规定，本公司（联合体）参加</w:t>
      </w:r>
      <w:r>
        <w:rPr>
          <w:rFonts w:hint="eastAsia" w:ascii="宋体" w:hAnsi="宋体" w:eastAsia="宋体" w:cs="宋体"/>
          <w:color w:val="auto"/>
          <w:kern w:val="0"/>
          <w:sz w:val="24"/>
          <w:u w:val="single"/>
        </w:rPr>
        <w:t>（单位名称）</w:t>
      </w:r>
      <w:r>
        <w:rPr>
          <w:rFonts w:hint="eastAsia" w:ascii="宋体" w:hAnsi="宋体" w:eastAsia="宋体" w:cs="宋体"/>
          <w:color w:val="auto"/>
          <w:kern w:val="0"/>
          <w:sz w:val="24"/>
        </w:rPr>
        <w:t>的</w:t>
      </w:r>
      <w:r>
        <w:rPr>
          <w:rFonts w:hint="eastAsia" w:ascii="宋体" w:hAnsi="宋体" w:eastAsia="宋体" w:cs="宋体"/>
          <w:color w:val="auto"/>
          <w:kern w:val="0"/>
          <w:sz w:val="24"/>
          <w:u w:val="single"/>
        </w:rPr>
        <w:t>（项目名称）</w:t>
      </w:r>
      <w:r>
        <w:rPr>
          <w:rFonts w:hint="eastAsia" w:ascii="宋体" w:hAnsi="宋体" w:eastAsia="宋体" w:cs="宋体"/>
          <w:color w:val="auto"/>
          <w:kern w:val="0"/>
          <w:sz w:val="24"/>
        </w:rPr>
        <w:t>采购活动，服务全部由符合政策要求的中小企业承接。相关企业（含联合体中的中小企业、签订分包意向协议的中小企业）的具体情况如下：</w:t>
      </w:r>
    </w:p>
    <w:p w14:paraId="667B018C">
      <w:pPr>
        <w:spacing w:before="100" w:beforeAutospacing="1" w:after="100" w:afterAutospacing="1" w:line="360" w:lineRule="auto"/>
        <w:ind w:firstLine="420" w:firstLineChars="200"/>
        <w:rPr>
          <w:rFonts w:hint="eastAsia" w:ascii="宋体" w:hAnsi="宋体" w:eastAsia="宋体" w:cs="宋体"/>
          <w:color w:val="auto"/>
          <w:kern w:val="0"/>
          <w:sz w:val="24"/>
        </w:rPr>
      </w:pPr>
      <w:r>
        <w:rPr>
          <w:rFonts w:hint="eastAsia"/>
          <w:color w:val="auto"/>
          <w:u w:val="single"/>
          <w:lang w:val="en-US" w:eastAsia="zh-CN"/>
        </w:rPr>
        <w:t xml:space="preserve">         </w:t>
      </w:r>
      <w:r>
        <w:rPr>
          <w:rFonts w:hint="eastAsia" w:ascii="宋体" w:hAnsi="宋体" w:eastAsia="宋体" w:cs="宋体"/>
          <w:color w:val="auto"/>
          <w:kern w:val="0"/>
          <w:sz w:val="24"/>
          <w:u w:val="single"/>
        </w:rPr>
        <w:t>（标的名称</w:t>
      </w:r>
      <w:r>
        <w:rPr>
          <w:rFonts w:hint="eastAsia" w:ascii="宋体" w:hAnsi="宋体" w:eastAsia="宋体" w:cs="宋体"/>
          <w:color w:val="auto"/>
          <w:kern w:val="0"/>
          <w:sz w:val="24"/>
        </w:rPr>
        <w:t>），属于</w:t>
      </w:r>
      <w:r>
        <w:rPr>
          <w:rFonts w:hint="eastAsia"/>
          <w:color w:val="auto"/>
          <w:u w:val="single"/>
          <w:lang w:val="en-US" w:eastAsia="zh-CN"/>
        </w:rPr>
        <w:t xml:space="preserve">         </w:t>
      </w:r>
      <w:r>
        <w:rPr>
          <w:rFonts w:hint="eastAsia" w:ascii="宋体" w:hAnsi="宋体" w:eastAsia="宋体" w:cs="宋体"/>
          <w:color w:val="auto"/>
          <w:kern w:val="0"/>
          <w:sz w:val="24"/>
          <w:u w:val="single"/>
        </w:rPr>
        <w:t>（采购文件中明确的所属行业</w:t>
      </w:r>
      <w:r>
        <w:rPr>
          <w:rFonts w:hint="eastAsia" w:ascii="宋体" w:hAnsi="宋体" w:eastAsia="宋体" w:cs="宋体"/>
          <w:color w:val="auto"/>
          <w:kern w:val="0"/>
          <w:sz w:val="24"/>
        </w:rPr>
        <w:t>）；承接企业为（</w:t>
      </w:r>
      <w:r>
        <w:rPr>
          <w:rFonts w:hint="eastAsia" w:ascii="宋体" w:hAnsi="宋体" w:eastAsia="宋体" w:cs="宋体"/>
          <w:color w:val="auto"/>
          <w:kern w:val="0"/>
          <w:sz w:val="24"/>
          <w:u w:val="single"/>
        </w:rPr>
        <w:t>企业名称</w:t>
      </w:r>
      <w:r>
        <w:rPr>
          <w:rFonts w:hint="eastAsia" w:ascii="宋体" w:hAnsi="宋体" w:eastAsia="宋体" w:cs="宋体"/>
          <w:color w:val="auto"/>
          <w:kern w:val="0"/>
          <w:sz w:val="24"/>
        </w:rPr>
        <w:t>），从业人员</w:t>
      </w:r>
      <w:r>
        <w:rPr>
          <w:rFonts w:hint="eastAsia"/>
          <w:color w:val="auto"/>
          <w:u w:val="single"/>
          <w:lang w:val="en-US" w:eastAsia="zh-CN"/>
        </w:rPr>
        <w:t xml:space="preserve">         </w:t>
      </w:r>
      <w:r>
        <w:rPr>
          <w:rFonts w:hint="eastAsia" w:ascii="宋体" w:hAnsi="宋体" w:eastAsia="宋体" w:cs="宋体"/>
          <w:color w:val="auto"/>
          <w:kern w:val="0"/>
          <w:sz w:val="24"/>
        </w:rPr>
        <w:t>人，营业收入为</w:t>
      </w:r>
      <w:r>
        <w:rPr>
          <w:rFonts w:hint="eastAsia"/>
          <w:color w:val="auto"/>
          <w:u w:val="single"/>
          <w:lang w:val="en-US" w:eastAsia="zh-CN"/>
        </w:rPr>
        <w:t xml:space="preserve">         </w:t>
      </w:r>
      <w:r>
        <w:rPr>
          <w:rFonts w:hint="eastAsia" w:ascii="宋体" w:hAnsi="宋体" w:eastAsia="宋体" w:cs="宋体"/>
          <w:color w:val="auto"/>
          <w:kern w:val="0"/>
          <w:sz w:val="24"/>
        </w:rPr>
        <w:t>万元，资产总额为</w:t>
      </w:r>
      <w:r>
        <w:rPr>
          <w:rFonts w:hint="eastAsia"/>
          <w:color w:val="auto"/>
          <w:u w:val="single"/>
          <w:lang w:val="en-US" w:eastAsia="zh-CN"/>
        </w:rPr>
        <w:t xml:space="preserve">         </w:t>
      </w:r>
      <w:r>
        <w:rPr>
          <w:rFonts w:hint="eastAsia" w:ascii="宋体" w:hAnsi="宋体" w:eastAsia="宋体" w:cs="宋体"/>
          <w:color w:val="auto"/>
          <w:kern w:val="0"/>
          <w:sz w:val="24"/>
        </w:rPr>
        <w:t>万元，属于</w:t>
      </w:r>
      <w:r>
        <w:rPr>
          <w:rFonts w:hint="eastAsia"/>
          <w:color w:val="auto"/>
          <w:u w:val="single"/>
          <w:lang w:val="en-US" w:eastAsia="zh-CN"/>
        </w:rPr>
        <w:t xml:space="preserve">         </w:t>
      </w:r>
      <w:r>
        <w:rPr>
          <w:rFonts w:hint="eastAsia" w:ascii="宋体" w:hAnsi="宋体" w:eastAsia="宋体" w:cs="宋体"/>
          <w:color w:val="auto"/>
          <w:kern w:val="0"/>
          <w:sz w:val="24"/>
        </w:rPr>
        <w:t>（</w:t>
      </w:r>
      <w:r>
        <w:rPr>
          <w:rFonts w:hint="eastAsia" w:ascii="宋体" w:hAnsi="宋体" w:eastAsia="宋体" w:cs="宋体"/>
          <w:color w:val="auto"/>
          <w:kern w:val="0"/>
          <w:sz w:val="24"/>
          <w:u w:val="single"/>
        </w:rPr>
        <w:t>中型企业、小型企业、微型企业</w:t>
      </w:r>
      <w:r>
        <w:rPr>
          <w:rFonts w:hint="eastAsia" w:ascii="宋体" w:hAnsi="宋体" w:eastAsia="宋体" w:cs="宋体"/>
          <w:color w:val="auto"/>
          <w:kern w:val="0"/>
          <w:sz w:val="24"/>
        </w:rPr>
        <w:t xml:space="preserve">）； </w:t>
      </w:r>
    </w:p>
    <w:p w14:paraId="541C64BA">
      <w:pPr>
        <w:widowControl/>
        <w:spacing w:before="100" w:beforeAutospacing="1" w:after="100" w:afterAutospacing="1"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以上企业，不属于大企业的分支机构，不存在控股股东为大企业的情形，也不存在与大企业的负责人为同一人的情形。本企业对上述声明内容的真实性负责。如有虚假，将依 法承担相应责任。</w:t>
      </w:r>
    </w:p>
    <w:p w14:paraId="529F94DE">
      <w:pPr>
        <w:spacing w:line="360" w:lineRule="auto"/>
        <w:ind w:firstLine="4320" w:firstLineChars="1800"/>
        <w:rPr>
          <w:rFonts w:hint="eastAsia" w:ascii="宋体" w:hAnsi="宋体" w:eastAsia="宋体" w:cs="宋体"/>
          <w:color w:val="auto"/>
          <w:sz w:val="24"/>
        </w:rPr>
      </w:pPr>
      <w:r>
        <w:rPr>
          <w:rFonts w:hint="eastAsia" w:ascii="宋体" w:hAnsi="宋体" w:eastAsia="宋体" w:cs="宋体"/>
          <w:bCs/>
          <w:color w:val="auto"/>
          <w:sz w:val="24"/>
        </w:rPr>
        <w:t>供应商（公章）：</w:t>
      </w:r>
    </w:p>
    <w:p w14:paraId="4B290AD2">
      <w:pPr>
        <w:spacing w:line="360" w:lineRule="auto"/>
        <w:ind w:firstLine="4320" w:firstLineChars="1800"/>
        <w:rPr>
          <w:rFonts w:hint="eastAsia" w:ascii="宋体" w:hAnsi="宋体" w:eastAsia="宋体" w:cs="宋体"/>
          <w:color w:val="auto"/>
          <w:kern w:val="0"/>
          <w:sz w:val="24"/>
        </w:rPr>
      </w:pPr>
      <w:r>
        <w:rPr>
          <w:rFonts w:hint="eastAsia" w:ascii="宋体" w:hAnsi="宋体" w:eastAsia="宋体" w:cs="宋体"/>
          <w:color w:val="auto"/>
          <w:sz w:val="24"/>
        </w:rPr>
        <w:t>日期：年月日</w:t>
      </w:r>
    </w:p>
    <w:p w14:paraId="138CC378">
      <w:pPr>
        <w:widowControl/>
        <w:spacing w:before="100" w:beforeAutospacing="1" w:after="100" w:afterAutospacing="1"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注：从业人员、营业收入、资产总额填报上一年度数据，无上一年度数据的新成立企业可不填报。</w:t>
      </w:r>
    </w:p>
    <w:p w14:paraId="1CA03973">
      <w:pPr>
        <w:widowControl/>
        <w:spacing w:before="100" w:beforeAutospacing="1" w:after="100" w:afterAutospacing="1" w:line="360" w:lineRule="auto"/>
        <w:rPr>
          <w:rFonts w:hint="eastAsia" w:ascii="宋体" w:hAnsi="宋体" w:eastAsia="宋体" w:cs="宋体"/>
          <w:color w:val="auto"/>
          <w:kern w:val="0"/>
          <w:szCs w:val="21"/>
        </w:rPr>
      </w:pPr>
    </w:p>
    <w:p w14:paraId="775802BD">
      <w:pPr>
        <w:widowControl/>
        <w:spacing w:before="100" w:beforeAutospacing="1" w:after="100" w:afterAutospacing="1" w:line="360" w:lineRule="auto"/>
        <w:rPr>
          <w:rFonts w:hint="eastAsia" w:ascii="宋体" w:hAnsi="宋体" w:eastAsia="宋体" w:cs="宋体"/>
          <w:color w:val="auto"/>
          <w:kern w:val="0"/>
          <w:szCs w:val="21"/>
        </w:rPr>
      </w:pPr>
    </w:p>
    <w:p w14:paraId="10AA8425">
      <w:pPr>
        <w:pStyle w:val="19"/>
        <w:ind w:firstLine="440"/>
        <w:rPr>
          <w:rFonts w:hint="eastAsia" w:ascii="宋体" w:hAnsi="宋体" w:eastAsia="宋体" w:cs="宋体"/>
          <w:color w:val="auto"/>
          <w:lang w:eastAsia="zh-CN"/>
        </w:rPr>
      </w:pPr>
    </w:p>
    <w:p w14:paraId="1F731E7A">
      <w:pPr>
        <w:widowControl/>
        <w:spacing w:line="500" w:lineRule="exact"/>
        <w:jc w:val="center"/>
        <w:rPr>
          <w:rFonts w:hint="eastAsia" w:ascii="宋体" w:hAnsi="宋体" w:eastAsia="宋体" w:cs="宋体"/>
          <w:color w:val="auto"/>
          <w:sz w:val="28"/>
          <w:szCs w:val="28"/>
        </w:rPr>
      </w:pPr>
      <w:r>
        <w:rPr>
          <w:rFonts w:hint="eastAsia" w:ascii="宋体" w:hAnsi="宋体" w:eastAsia="宋体" w:cs="宋体"/>
          <w:b/>
          <w:color w:val="auto"/>
        </w:rPr>
        <w:br w:type="page"/>
      </w:r>
      <w:r>
        <w:rPr>
          <w:rFonts w:hint="eastAsia" w:ascii="宋体" w:hAnsi="宋体" w:eastAsia="宋体" w:cs="宋体"/>
          <w:color w:val="auto"/>
          <w:sz w:val="28"/>
          <w:szCs w:val="28"/>
        </w:rPr>
        <w:t>工业和信息化部、国家统计局、国家发展和改革委员会、财政部</w:t>
      </w:r>
    </w:p>
    <w:p w14:paraId="60790143">
      <w:pPr>
        <w:widowControl/>
        <w:spacing w:line="5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《关于印发中小企业划型标准规定的通知》</w:t>
      </w:r>
    </w:p>
    <w:p w14:paraId="42C7C659">
      <w:pPr>
        <w:widowControl/>
        <w:spacing w:line="5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工信部联企业〔2011〕300号</w:t>
      </w:r>
    </w:p>
    <w:p w14:paraId="2B59BF6F">
      <w:pPr>
        <w:widowControl/>
        <w:spacing w:line="500" w:lineRule="exact"/>
        <w:jc w:val="left"/>
        <w:rPr>
          <w:rFonts w:hint="eastAsia" w:ascii="宋体" w:hAnsi="宋体" w:eastAsia="宋体" w:cs="宋体"/>
          <w:color w:val="auto"/>
          <w:sz w:val="24"/>
        </w:rPr>
      </w:pPr>
      <w:r>
        <w:rPr>
          <w:rFonts w:hint="eastAsia" w:ascii="宋体" w:hAnsi="宋体" w:eastAsia="宋体" w:cs="宋体"/>
          <w:color w:val="auto"/>
          <w:sz w:val="24"/>
        </w:rPr>
        <w:t xml:space="preserve">各省、自治区、直辖市人民政府，国务院各部委、各直属机构及有关单位： </w:t>
      </w:r>
    </w:p>
    <w:p w14:paraId="20CB273E">
      <w:pPr>
        <w:widowControl/>
        <w:spacing w:line="5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 xml:space="preserve">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 </w:t>
      </w:r>
    </w:p>
    <w:p w14:paraId="35A89FEA">
      <w:pPr>
        <w:widowControl/>
        <w:spacing w:line="500" w:lineRule="exact"/>
        <w:jc w:val="right"/>
        <w:rPr>
          <w:rFonts w:hint="eastAsia" w:ascii="宋体" w:hAnsi="宋体" w:eastAsia="宋体" w:cs="宋体"/>
          <w:color w:val="auto"/>
          <w:sz w:val="24"/>
        </w:rPr>
      </w:pPr>
      <w:r>
        <w:rPr>
          <w:rFonts w:hint="eastAsia" w:ascii="宋体" w:hAnsi="宋体" w:eastAsia="宋体" w:cs="宋体"/>
          <w:color w:val="auto"/>
          <w:sz w:val="24"/>
        </w:rPr>
        <w:t xml:space="preserve">工业和信息化部 国家统计局 国家发展和改革委员会 财政部 </w:t>
      </w:r>
    </w:p>
    <w:p w14:paraId="3010A49F">
      <w:pPr>
        <w:widowControl/>
        <w:spacing w:line="500" w:lineRule="exact"/>
        <w:jc w:val="right"/>
        <w:rPr>
          <w:rFonts w:hint="eastAsia" w:ascii="宋体" w:hAnsi="宋体" w:eastAsia="宋体" w:cs="宋体"/>
          <w:color w:val="auto"/>
          <w:sz w:val="24"/>
        </w:rPr>
      </w:pPr>
      <w:r>
        <w:rPr>
          <w:rFonts w:hint="eastAsia" w:ascii="宋体" w:hAnsi="宋体" w:eastAsia="宋体" w:cs="宋体"/>
          <w:color w:val="auto"/>
          <w:sz w:val="24"/>
        </w:rPr>
        <w:t xml:space="preserve">二○一一年六月十八日 </w:t>
      </w:r>
    </w:p>
    <w:p w14:paraId="1F51B03A">
      <w:pPr>
        <w:widowControl/>
        <w:spacing w:line="500" w:lineRule="exact"/>
        <w:jc w:val="center"/>
        <w:rPr>
          <w:rFonts w:hint="eastAsia" w:ascii="宋体" w:hAnsi="宋体" w:eastAsia="宋体" w:cs="宋体"/>
          <w:b/>
          <w:bCs/>
          <w:color w:val="auto"/>
          <w:sz w:val="24"/>
        </w:rPr>
      </w:pPr>
      <w:r>
        <w:rPr>
          <w:rFonts w:hint="eastAsia" w:ascii="宋体" w:hAnsi="宋体" w:eastAsia="宋体" w:cs="宋体"/>
          <w:b/>
          <w:bCs/>
          <w:color w:val="auto"/>
          <w:sz w:val="24"/>
        </w:rPr>
        <w:t>中小企业划型标准规定</w:t>
      </w:r>
    </w:p>
    <w:p w14:paraId="0CBBCF45">
      <w:pPr>
        <w:widowControl/>
        <w:spacing w:line="5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 xml:space="preserve">一、根据《中华人民共和国中小企业促进法》和《国务院关于进一步促进中小企业发展的若干意见》(国发〔2009〕36号)，制定本规定。 </w:t>
      </w:r>
    </w:p>
    <w:p w14:paraId="4DBF58F4">
      <w:pPr>
        <w:widowControl/>
        <w:spacing w:line="5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 xml:space="preserve">二、中小企业划分为中型、小型、微型三种类型，具体标准根据企业从业人员、营业收入、资产总额等指标，结合行业特点制定。 </w:t>
      </w:r>
    </w:p>
    <w:p w14:paraId="6AE1B041">
      <w:pPr>
        <w:widowControl/>
        <w:spacing w:line="5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 xml:space="preserve">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073323F2">
      <w:pPr>
        <w:widowControl/>
        <w:spacing w:line="500" w:lineRule="exact"/>
        <w:ind w:firstLine="480" w:firstLineChars="200"/>
        <w:jc w:val="left"/>
        <w:rPr>
          <w:rFonts w:hint="eastAsia" w:ascii="宋体" w:hAnsi="宋体" w:eastAsia="宋体" w:cs="宋体"/>
          <w:color w:val="auto"/>
          <w:sz w:val="24"/>
        </w:rPr>
      </w:pPr>
      <w:bookmarkStart w:id="41" w:name="_Toc16544"/>
      <w:bookmarkStart w:id="42" w:name="_Toc26934"/>
      <w:r>
        <w:rPr>
          <w:rFonts w:hint="eastAsia" w:ascii="宋体" w:hAnsi="宋体" w:eastAsia="宋体" w:cs="宋体"/>
          <w:color w:val="auto"/>
          <w:sz w:val="24"/>
        </w:rPr>
        <w:t>四、各行业划型标准为</w:t>
      </w:r>
      <w:bookmarkEnd w:id="41"/>
      <w:bookmarkEnd w:id="42"/>
    </w:p>
    <w:p w14:paraId="1C416EE8">
      <w:pPr>
        <w:widowControl/>
        <w:spacing w:line="5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shd w:val="clear" w:color="auto" w:fill="FFFFFF"/>
        </w:rPr>
        <w:t>（一）农、林、牧、渔业。营业收入20000万元以下的为中小微型企业。其中，营业收入500万元及以上的为中型企业，营业收入50万元及以上的为小型企业，营业收入50万元以下的为微型企业。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color w:val="auto"/>
          <w:sz w:val="24"/>
          <w:shd w:val="clear" w:color="auto" w:fill="FFFFFF"/>
        </w:rPr>
        <w:br w:type="textWrapping"/>
      </w:r>
      <w:r>
        <w:rPr>
          <w:rFonts w:hint="eastAsia" w:ascii="宋体" w:hAnsi="宋体" w:eastAsia="宋体" w:cs="宋体"/>
          <w:color w:val="auto"/>
          <w:sz w:val="24"/>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color w:val="auto"/>
          <w:sz w:val="24"/>
          <w:shd w:val="clear" w:color="auto" w:fill="FFFFFF"/>
        </w:rPr>
        <w:br w:type="textWrapping"/>
      </w:r>
      <w:r>
        <w:rPr>
          <w:rFonts w:hint="eastAsia" w:ascii="宋体" w:hAnsi="宋体" w:eastAsia="宋体" w:cs="宋体"/>
          <w:color w:val="auto"/>
          <w:sz w:val="24"/>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color w:val="auto"/>
          <w:sz w:val="24"/>
          <w:shd w:val="clear" w:color="auto" w:fill="FFFFFF"/>
        </w:rPr>
        <w:br w:type="textWrapping"/>
      </w:r>
      <w:r>
        <w:rPr>
          <w:rFonts w:hint="eastAsia" w:ascii="宋体" w:hAnsi="宋体" w:eastAsia="宋体" w:cs="宋体"/>
          <w:color w:val="auto"/>
          <w:sz w:val="24"/>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color w:val="auto"/>
          <w:sz w:val="24"/>
          <w:shd w:val="clear" w:color="auto" w:fill="FFFFFF"/>
        </w:rPr>
        <w:br w:type="textWrapping"/>
      </w:r>
      <w:r>
        <w:rPr>
          <w:rFonts w:hint="eastAsia" w:ascii="宋体" w:hAnsi="宋体" w:eastAsia="宋体" w:cs="宋体"/>
          <w:color w:val="auto"/>
          <w:sz w:val="24"/>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sz w:val="24"/>
          <w:shd w:val="clear" w:color="auto" w:fill="FFFFFF"/>
        </w:rPr>
        <w:br w:type="textWrapping"/>
      </w:r>
      <w:r>
        <w:rPr>
          <w:rFonts w:hint="eastAsia" w:ascii="宋体" w:hAnsi="宋体" w:eastAsia="宋体" w:cs="宋体"/>
          <w:color w:val="auto"/>
          <w:sz w:val="24"/>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color w:val="auto"/>
          <w:sz w:val="24"/>
          <w:shd w:val="clear" w:color="auto" w:fill="FFFFFF"/>
        </w:rPr>
        <w:br w:type="textWrapping"/>
      </w:r>
      <w:r>
        <w:rPr>
          <w:rFonts w:hint="eastAsia" w:ascii="宋体" w:hAnsi="宋体" w:eastAsia="宋体" w:cs="宋体"/>
          <w:color w:val="auto"/>
          <w:sz w:val="24"/>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sz w:val="24"/>
          <w:shd w:val="clear" w:color="auto" w:fill="FFFFFF"/>
        </w:rPr>
        <w:br w:type="textWrapping"/>
      </w:r>
      <w:r>
        <w:rPr>
          <w:rFonts w:hint="eastAsia" w:ascii="宋体" w:hAnsi="宋体" w:eastAsia="宋体" w:cs="宋体"/>
          <w:color w:val="auto"/>
          <w:sz w:val="24"/>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sz w:val="24"/>
          <w:shd w:val="clear" w:color="auto" w:fill="FFFFFF"/>
        </w:rPr>
        <w:br w:type="textWrapping"/>
      </w:r>
      <w:r>
        <w:rPr>
          <w:rFonts w:hint="eastAsia" w:ascii="宋体" w:hAnsi="宋体" w:eastAsia="宋体" w:cs="宋体"/>
          <w:color w:val="auto"/>
          <w:sz w:val="24"/>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sz w:val="24"/>
          <w:shd w:val="clear" w:color="auto" w:fill="FFFFFF"/>
        </w:rPr>
        <w:br w:type="textWrapping"/>
      </w:r>
      <w:r>
        <w:rPr>
          <w:rFonts w:hint="eastAsia" w:ascii="宋体" w:hAnsi="宋体" w:eastAsia="宋体" w:cs="宋体"/>
          <w:color w:val="auto"/>
          <w:sz w:val="24"/>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sz w:val="24"/>
          <w:shd w:val="clear" w:color="auto" w:fill="FFFFFF"/>
        </w:rPr>
        <w:br w:type="textWrapping"/>
      </w:r>
      <w:r>
        <w:rPr>
          <w:rFonts w:hint="eastAsia" w:ascii="宋体" w:hAnsi="宋体" w:eastAsia="宋体" w:cs="宋体"/>
          <w:color w:val="auto"/>
          <w:sz w:val="24"/>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sz w:val="24"/>
          <w:shd w:val="clear" w:color="auto" w:fill="FFFFFF"/>
        </w:rPr>
        <w:br w:type="textWrapping"/>
      </w:r>
      <w:r>
        <w:rPr>
          <w:rFonts w:hint="eastAsia" w:ascii="宋体" w:hAnsi="宋体" w:eastAsia="宋体" w:cs="宋体"/>
          <w:color w:val="auto"/>
          <w:sz w:val="24"/>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color w:val="auto"/>
          <w:sz w:val="24"/>
          <w:shd w:val="clear" w:color="auto" w:fill="FFFFFF"/>
        </w:rPr>
        <w:br w:type="textWrapping"/>
      </w:r>
      <w:r>
        <w:rPr>
          <w:rFonts w:hint="eastAsia" w:ascii="宋体" w:hAnsi="宋体" w:eastAsia="宋体" w:cs="宋体"/>
          <w:color w:val="auto"/>
          <w:sz w:val="24"/>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color w:val="auto"/>
          <w:sz w:val="24"/>
          <w:shd w:val="clear" w:color="auto" w:fill="FFFFFF"/>
        </w:rPr>
        <w:br w:type="textWrapping"/>
      </w:r>
      <w:r>
        <w:rPr>
          <w:rFonts w:hint="eastAsia" w:ascii="宋体" w:hAnsi="宋体" w:eastAsia="宋体" w:cs="宋体"/>
          <w:color w:val="auto"/>
          <w:sz w:val="24"/>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color w:val="auto"/>
          <w:sz w:val="24"/>
          <w:shd w:val="clear" w:color="auto" w:fill="FFFFFF"/>
        </w:rPr>
        <w:br w:type="textWrapping"/>
      </w:r>
      <w:r>
        <w:rPr>
          <w:rFonts w:hint="eastAsia" w:ascii="宋体" w:hAnsi="宋体" w:eastAsia="宋体" w:cs="宋体"/>
          <w:color w:val="auto"/>
          <w:sz w:val="24"/>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color w:val="auto"/>
          <w:sz w:val="24"/>
          <w:shd w:val="clear" w:color="auto" w:fill="FFFFFF"/>
        </w:rPr>
        <w:br w:type="textWrapping"/>
      </w:r>
      <w:r>
        <w:rPr>
          <w:rFonts w:hint="eastAsia" w:ascii="宋体" w:hAnsi="宋体" w:eastAsia="宋体" w:cs="宋体"/>
          <w:color w:val="auto"/>
          <w:sz w:val="24"/>
          <w:shd w:val="clear" w:color="auto" w:fill="FFFFFF"/>
        </w:rPr>
        <w:t>　　（十六）其他未列明行业。从业人员300人以下的为中小微型企业。其中，从业人员100人及以上的为中型企业；从业人员10人及以上的为小型企业；从业人员10人以下的为微型企业。</w:t>
      </w:r>
    </w:p>
    <w:p w14:paraId="4FFAF828">
      <w:pPr>
        <w:widowControl/>
        <w:spacing w:line="500" w:lineRule="exact"/>
        <w:ind w:firstLine="480" w:firstLineChars="200"/>
        <w:jc w:val="left"/>
        <w:rPr>
          <w:rFonts w:hint="eastAsia" w:ascii="宋体" w:hAnsi="宋体" w:eastAsia="宋体" w:cs="宋体"/>
          <w:color w:val="auto"/>
          <w:sz w:val="24"/>
        </w:rPr>
      </w:pPr>
      <w:bookmarkStart w:id="43" w:name="_Toc30260"/>
      <w:bookmarkStart w:id="44" w:name="_Toc15897"/>
      <w:r>
        <w:rPr>
          <w:rFonts w:hint="eastAsia" w:ascii="宋体" w:hAnsi="宋体" w:eastAsia="宋体" w:cs="宋体"/>
          <w:color w:val="auto"/>
          <w:sz w:val="24"/>
        </w:rPr>
        <w:t>五、企业类型的划分以统计部门的统计数据为依据。</w:t>
      </w:r>
      <w:bookmarkEnd w:id="43"/>
      <w:bookmarkEnd w:id="44"/>
    </w:p>
    <w:p w14:paraId="594F6176">
      <w:pPr>
        <w:widowControl/>
        <w:spacing w:line="500" w:lineRule="exact"/>
        <w:jc w:val="left"/>
        <w:rPr>
          <w:rFonts w:hint="eastAsia" w:ascii="宋体" w:hAnsi="宋体" w:eastAsia="宋体" w:cs="宋体"/>
          <w:color w:val="auto"/>
          <w:sz w:val="24"/>
        </w:rPr>
      </w:pPr>
      <w:r>
        <w:rPr>
          <w:rFonts w:hint="eastAsia" w:ascii="宋体" w:hAnsi="宋体" w:eastAsia="宋体" w:cs="宋体"/>
          <w:color w:val="auto"/>
          <w:sz w:val="24"/>
        </w:rPr>
        <w:t xml:space="preserve">六、本规定适用于在中华人民共和国境内依法设立的各类所有制和各种组织形式的企业。个体工商户和本规定以外的行业，参照本规定进行划型。 </w:t>
      </w:r>
    </w:p>
    <w:p w14:paraId="285FB59A">
      <w:pPr>
        <w:widowControl/>
        <w:spacing w:line="500" w:lineRule="exact"/>
        <w:jc w:val="left"/>
        <w:rPr>
          <w:rFonts w:hint="eastAsia" w:ascii="宋体" w:hAnsi="宋体" w:eastAsia="宋体" w:cs="宋体"/>
          <w:color w:val="auto"/>
          <w:sz w:val="24"/>
        </w:rPr>
      </w:pPr>
      <w:r>
        <w:rPr>
          <w:rFonts w:hint="eastAsia" w:ascii="宋体" w:hAnsi="宋体" w:eastAsia="宋体" w:cs="宋体"/>
          <w:color w:val="auto"/>
          <w:sz w:val="24"/>
        </w:rPr>
        <w:t xml:space="preserve">七、本规定的中型企业标准上限即为大型企业标准的下限，国家统计部门据此制定大中小微型企业的统计分类。国务院有关部门据此进行相关数据分析，不得制定与本规定不一致的企业划型标准。 </w:t>
      </w:r>
    </w:p>
    <w:p w14:paraId="0E642B6E">
      <w:pPr>
        <w:widowControl/>
        <w:spacing w:line="500" w:lineRule="exact"/>
        <w:jc w:val="left"/>
        <w:rPr>
          <w:rFonts w:hint="eastAsia" w:ascii="宋体" w:hAnsi="宋体" w:eastAsia="宋体" w:cs="宋体"/>
          <w:color w:val="auto"/>
          <w:sz w:val="24"/>
        </w:rPr>
      </w:pPr>
      <w:r>
        <w:rPr>
          <w:rFonts w:hint="eastAsia" w:ascii="宋体" w:hAnsi="宋体" w:eastAsia="宋体" w:cs="宋体"/>
          <w:color w:val="auto"/>
          <w:sz w:val="24"/>
        </w:rPr>
        <w:t xml:space="preserve">八、本规定由工业和信息化部、国家统计局会同有关部门根据《国民经济行业分类》修订情况和企业发展变化情况适时修订。 </w:t>
      </w:r>
    </w:p>
    <w:p w14:paraId="7B4A319C">
      <w:pPr>
        <w:widowControl/>
        <w:spacing w:line="500" w:lineRule="exact"/>
        <w:jc w:val="left"/>
        <w:rPr>
          <w:rFonts w:hint="eastAsia" w:ascii="宋体" w:hAnsi="宋体" w:eastAsia="宋体" w:cs="宋体"/>
          <w:color w:val="auto"/>
          <w:sz w:val="24"/>
        </w:rPr>
      </w:pPr>
      <w:r>
        <w:rPr>
          <w:rFonts w:hint="eastAsia" w:ascii="宋体" w:hAnsi="宋体" w:eastAsia="宋体" w:cs="宋体"/>
          <w:color w:val="auto"/>
          <w:sz w:val="24"/>
        </w:rPr>
        <w:t xml:space="preserve">九、本规定由工业和信息化部、国家统计局会同有关部门负责解释。 </w:t>
      </w:r>
    </w:p>
    <w:p w14:paraId="3D379AA7">
      <w:pPr>
        <w:widowControl/>
        <w:spacing w:line="500" w:lineRule="exact"/>
        <w:rPr>
          <w:rFonts w:hint="eastAsia" w:ascii="宋体" w:hAnsi="宋体" w:eastAsia="宋体" w:cs="宋体"/>
          <w:color w:val="auto"/>
          <w:sz w:val="24"/>
        </w:rPr>
      </w:pPr>
      <w:r>
        <w:rPr>
          <w:rFonts w:hint="eastAsia" w:ascii="宋体" w:hAnsi="宋体" w:eastAsia="宋体" w:cs="宋体"/>
          <w:color w:val="auto"/>
          <w:sz w:val="24"/>
        </w:rPr>
        <w:t xml:space="preserve">十、本规定自发布之日起执行，原国家经贸委、原国家计委、财政部和国家统计局2003年颁布的《中小企业标准暂行规定》同时废止。 </w:t>
      </w:r>
    </w:p>
    <w:p w14:paraId="2821C422">
      <w:pPr>
        <w:rPr>
          <w:rFonts w:hint="eastAsia" w:ascii="宋体" w:hAnsi="宋体" w:eastAsia="宋体" w:cs="宋体"/>
          <w:color w:val="auto"/>
        </w:rPr>
      </w:pPr>
    </w:p>
    <w:p w14:paraId="4E8646B5">
      <w:pPr>
        <w:widowControl/>
        <w:spacing w:line="340" w:lineRule="exact"/>
        <w:rPr>
          <w:rFonts w:hint="eastAsia" w:ascii="宋体" w:hAnsi="宋体" w:eastAsia="宋体" w:cs="宋体"/>
          <w:b/>
          <w:color w:val="auto"/>
          <w:sz w:val="24"/>
          <w:szCs w:val="24"/>
        </w:rPr>
      </w:pPr>
    </w:p>
    <w:p w14:paraId="3F5B125C">
      <w:pPr>
        <w:widowControl/>
        <w:spacing w:before="100" w:beforeAutospacing="1" w:after="100" w:afterAutospacing="1" w:line="360" w:lineRule="auto"/>
        <w:jc w:val="center"/>
        <w:rPr>
          <w:rFonts w:hint="eastAsia" w:ascii="宋体" w:hAnsi="宋体" w:eastAsia="宋体" w:cs="宋体"/>
          <w:b/>
          <w:color w:val="auto"/>
          <w:kern w:val="0"/>
          <w:sz w:val="24"/>
          <w:szCs w:val="24"/>
        </w:rPr>
      </w:pPr>
      <w:r>
        <w:rPr>
          <w:rFonts w:hint="eastAsia" w:ascii="宋体" w:hAnsi="宋体" w:eastAsia="宋体" w:cs="宋体"/>
          <w:color w:val="auto"/>
          <w:sz w:val="24"/>
          <w:szCs w:val="24"/>
        </w:rPr>
        <w:br w:type="page"/>
      </w:r>
      <w:r>
        <w:rPr>
          <w:rFonts w:hint="eastAsia" w:ascii="宋体" w:hAnsi="宋体" w:eastAsia="宋体" w:cs="宋体"/>
          <w:b/>
          <w:bCs/>
          <w:color w:val="auto"/>
          <w:sz w:val="24"/>
          <w:szCs w:val="24"/>
        </w:rPr>
        <w:t>供应商监狱企业声明函</w:t>
      </w:r>
    </w:p>
    <w:p w14:paraId="7C24C068">
      <w:pPr>
        <w:widowControl/>
        <w:spacing w:before="100" w:beforeAutospacing="1" w:after="100" w:afterAutospacing="1" w:line="360" w:lineRule="auto"/>
        <w:ind w:firstLine="480" w:firstLineChars="20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（属于残疾人福利性单位的填写，不属于的无需填写此项内容）</w:t>
      </w:r>
    </w:p>
    <w:p w14:paraId="340E7D19">
      <w:pPr>
        <w:widowControl/>
        <w:spacing w:before="100" w:beforeAutospacing="1" w:after="100" w:afterAutospacing="1"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本企业（单位）郑重声明下列事项（按照实际情况填写：是、不是）：</w:t>
      </w:r>
    </w:p>
    <w:p w14:paraId="05D21853">
      <w:pPr>
        <w:widowControl/>
        <w:spacing w:before="100" w:beforeAutospacing="1" w:after="100" w:afterAutospacing="1"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本企业（单位）为直接供应商提供本企业（单位）制造的货物。</w:t>
      </w:r>
    </w:p>
    <w:p w14:paraId="6F54ADC3">
      <w:pPr>
        <w:widowControl/>
        <w:spacing w:before="100" w:beforeAutospacing="1" w:after="100" w:afterAutospacing="1" w:line="360" w:lineRule="auto"/>
        <w:ind w:firstLine="360" w:firstLineChars="1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（1）本企业（单位）（请填写：是、不是）监狱企业。后附省级以上监狱管理局、戒毒管理局（含新疆生产建设兵团）出具的属于监狱企业的证明文件。</w:t>
      </w:r>
    </w:p>
    <w:p w14:paraId="795B6C7E">
      <w:pPr>
        <w:widowControl/>
        <w:spacing w:before="100" w:beforeAutospacing="1" w:after="100" w:afterAutospacing="1" w:line="360" w:lineRule="auto"/>
        <w:ind w:firstLine="42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（2）本企业（单位）（请填写：是、不是）为联合体一方，提供本企业（单位）制造的货物，由本企业（单位）承担工程、提供服务。本企业（单位）提供协议合同金额占到共同</w:t>
      </w:r>
      <w:r>
        <w:rPr>
          <w:rFonts w:hint="eastAsia" w:ascii="宋体" w:hAnsi="宋体" w:cs="宋体"/>
          <w:color w:val="auto"/>
          <w:kern w:val="0"/>
          <w:sz w:val="24"/>
          <w:szCs w:val="24"/>
          <w:lang w:eastAsia="zh-CN"/>
        </w:rPr>
        <w:t>响应</w:t>
      </w:r>
      <w:r>
        <w:rPr>
          <w:rFonts w:hint="eastAsia" w:ascii="宋体" w:hAnsi="宋体" w:eastAsia="宋体" w:cs="宋体"/>
          <w:color w:val="auto"/>
          <w:kern w:val="0"/>
          <w:sz w:val="24"/>
          <w:szCs w:val="24"/>
        </w:rPr>
        <w:t>协议合同总金额的比例为</w:t>
      </w:r>
      <w:r>
        <w:rPr>
          <w:rFonts w:hint="eastAsia" w:ascii="宋体" w:hAnsi="宋体" w:cs="宋体"/>
          <w:color w:val="auto"/>
          <w:kern w:val="0"/>
          <w:sz w:val="24"/>
          <w:szCs w:val="24"/>
          <w:u w:val="single"/>
          <w:lang w:val="en-US" w:eastAsia="zh-CN"/>
        </w:rPr>
        <w:t xml:space="preserve">          </w:t>
      </w:r>
      <w:r>
        <w:rPr>
          <w:rFonts w:hint="eastAsia" w:ascii="宋体" w:hAnsi="宋体" w:eastAsia="宋体" w:cs="宋体"/>
          <w:color w:val="auto"/>
          <w:kern w:val="0"/>
          <w:sz w:val="24"/>
          <w:szCs w:val="24"/>
        </w:rPr>
        <w:t>。</w:t>
      </w:r>
    </w:p>
    <w:p w14:paraId="578BC145">
      <w:pPr>
        <w:widowControl/>
        <w:spacing w:before="100" w:beforeAutospacing="1" w:after="100" w:afterAutospacing="1" w:line="360" w:lineRule="auto"/>
        <w:ind w:firstLine="475"/>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本企业（单位）对上述声明的真实性负责。如有虚假，将依法承担相应责任。</w:t>
      </w:r>
    </w:p>
    <w:p w14:paraId="72696A8E">
      <w:pPr>
        <w:widowControl/>
        <w:spacing w:before="100" w:beforeAutospacing="1" w:after="100" w:afterAutospacing="1"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p w14:paraId="5C6344B7">
      <w:pPr>
        <w:widowControl/>
        <w:spacing w:before="100" w:beforeAutospacing="1" w:after="100" w:afterAutospacing="1" w:line="360" w:lineRule="auto"/>
        <w:jc w:val="left"/>
        <w:rPr>
          <w:rFonts w:hint="eastAsia" w:ascii="宋体" w:hAnsi="宋体" w:eastAsia="宋体" w:cs="宋体"/>
          <w:color w:val="auto"/>
          <w:kern w:val="0"/>
          <w:sz w:val="24"/>
          <w:szCs w:val="24"/>
        </w:rPr>
      </w:pPr>
    </w:p>
    <w:p w14:paraId="46FB9E6D">
      <w:pPr>
        <w:spacing w:line="360" w:lineRule="auto"/>
        <w:ind w:firstLine="4320" w:firstLineChars="1800"/>
        <w:rPr>
          <w:rFonts w:hint="eastAsia" w:ascii="宋体" w:hAnsi="宋体" w:eastAsia="宋体" w:cs="宋体"/>
          <w:color w:val="auto"/>
          <w:sz w:val="24"/>
          <w:szCs w:val="24"/>
        </w:rPr>
      </w:pPr>
      <w:r>
        <w:rPr>
          <w:rFonts w:hint="eastAsia" w:ascii="宋体" w:hAnsi="宋体" w:eastAsia="宋体" w:cs="宋体"/>
          <w:bCs/>
          <w:color w:val="auto"/>
          <w:sz w:val="24"/>
          <w:szCs w:val="24"/>
        </w:rPr>
        <w:t>供应商（盖公章）：</w:t>
      </w:r>
    </w:p>
    <w:p w14:paraId="1072D04C">
      <w:pPr>
        <w:spacing w:line="360" w:lineRule="auto"/>
        <w:ind w:firstLine="4320" w:firstLineChars="1800"/>
        <w:rPr>
          <w:rFonts w:hint="eastAsia" w:ascii="宋体" w:hAnsi="宋体" w:eastAsia="宋体" w:cs="宋体"/>
          <w:color w:val="auto"/>
          <w:sz w:val="24"/>
          <w:szCs w:val="24"/>
        </w:rPr>
      </w:pPr>
    </w:p>
    <w:p w14:paraId="57B0DD58">
      <w:pPr>
        <w:spacing w:line="360" w:lineRule="auto"/>
        <w:ind w:firstLine="4320" w:firstLineChars="1800"/>
        <w:rPr>
          <w:rFonts w:hint="eastAsia" w:ascii="宋体" w:hAnsi="宋体" w:eastAsia="宋体" w:cs="宋体"/>
          <w:color w:val="auto"/>
          <w:sz w:val="24"/>
          <w:szCs w:val="24"/>
        </w:rPr>
      </w:pPr>
      <w:r>
        <w:rPr>
          <w:rFonts w:hint="eastAsia" w:ascii="宋体" w:hAnsi="宋体" w:eastAsia="宋体" w:cs="宋体"/>
          <w:color w:val="auto"/>
          <w:sz w:val="24"/>
          <w:szCs w:val="24"/>
        </w:rPr>
        <w:t>日期：年月日</w:t>
      </w:r>
    </w:p>
    <w:p w14:paraId="06AE2C18">
      <w:pPr>
        <w:pStyle w:val="19"/>
        <w:ind w:firstLine="480"/>
        <w:rPr>
          <w:rFonts w:hint="eastAsia" w:ascii="宋体" w:hAnsi="宋体" w:eastAsia="宋体" w:cs="宋体"/>
          <w:color w:val="auto"/>
          <w:sz w:val="24"/>
          <w:szCs w:val="24"/>
          <w:lang w:eastAsia="zh-CN"/>
        </w:rPr>
      </w:pPr>
    </w:p>
    <w:p w14:paraId="74FA863E">
      <w:pPr>
        <w:pStyle w:val="19"/>
        <w:ind w:firstLine="480"/>
        <w:rPr>
          <w:rFonts w:hint="eastAsia" w:ascii="宋体" w:hAnsi="宋体" w:eastAsia="宋体" w:cs="宋体"/>
          <w:color w:val="auto"/>
          <w:sz w:val="24"/>
          <w:szCs w:val="24"/>
          <w:lang w:eastAsia="zh-CN"/>
        </w:rPr>
      </w:pPr>
    </w:p>
    <w:p w14:paraId="1A6C0369">
      <w:pPr>
        <w:pStyle w:val="19"/>
        <w:ind w:firstLine="480"/>
        <w:rPr>
          <w:rFonts w:hint="eastAsia" w:ascii="宋体" w:hAnsi="宋体" w:eastAsia="宋体" w:cs="宋体"/>
          <w:color w:val="auto"/>
          <w:sz w:val="24"/>
          <w:szCs w:val="24"/>
          <w:lang w:eastAsia="zh-CN"/>
        </w:rPr>
      </w:pPr>
    </w:p>
    <w:p w14:paraId="2B3CABE0">
      <w:pPr>
        <w:pStyle w:val="19"/>
        <w:ind w:firstLine="480"/>
        <w:rPr>
          <w:rFonts w:hint="eastAsia" w:ascii="宋体" w:hAnsi="宋体" w:eastAsia="宋体" w:cs="宋体"/>
          <w:color w:val="auto"/>
          <w:sz w:val="24"/>
          <w:szCs w:val="24"/>
          <w:lang w:eastAsia="zh-CN"/>
        </w:rPr>
      </w:pPr>
    </w:p>
    <w:p w14:paraId="484F2D70">
      <w:pPr>
        <w:pStyle w:val="5"/>
        <w:rPr>
          <w:rFonts w:hint="eastAsia" w:ascii="宋体" w:hAnsi="宋体" w:eastAsia="宋体" w:cs="宋体"/>
          <w:color w:val="auto"/>
        </w:rPr>
      </w:pPr>
    </w:p>
    <w:p w14:paraId="07E350F9">
      <w:pPr>
        <w:pStyle w:val="3"/>
        <w:numPr>
          <w:ilvl w:val="1"/>
          <w:numId w:val="0"/>
        </w:numPr>
        <w:wordWrap w:val="0"/>
        <w:topLinePunct/>
        <w:spacing w:before="0" w:after="0" w:line="360" w:lineRule="auto"/>
        <w:rPr>
          <w:rFonts w:hint="eastAsia" w:ascii="宋体" w:hAnsi="宋体" w:eastAsia="宋体" w:cs="宋体"/>
          <w:bCs/>
          <w:color w:val="auto"/>
          <w:sz w:val="24"/>
          <w:szCs w:val="24"/>
        </w:rPr>
      </w:pPr>
    </w:p>
    <w:p w14:paraId="068B5AA7">
      <w:pPr>
        <w:rPr>
          <w:rFonts w:hint="eastAsia" w:ascii="宋体" w:hAnsi="宋体" w:eastAsia="宋体" w:cs="宋体"/>
          <w:color w:val="auto"/>
          <w:sz w:val="24"/>
          <w:szCs w:val="24"/>
        </w:rPr>
      </w:pPr>
    </w:p>
    <w:p w14:paraId="58F9C928">
      <w:pPr>
        <w:widowControl/>
        <w:spacing w:before="100" w:beforeAutospacing="1" w:after="100" w:afterAutospacing="1" w:line="360" w:lineRule="auto"/>
        <w:ind w:firstLine="3120" w:firstLineChars="1300"/>
        <w:jc w:val="left"/>
        <w:rPr>
          <w:rFonts w:hint="eastAsia" w:ascii="宋体" w:hAnsi="宋体" w:eastAsia="宋体" w:cs="宋体"/>
          <w:b/>
          <w:bCs/>
          <w:color w:val="auto"/>
          <w:sz w:val="24"/>
          <w:szCs w:val="24"/>
        </w:rPr>
      </w:pPr>
      <w:r>
        <w:rPr>
          <w:rFonts w:hint="eastAsia" w:ascii="宋体" w:hAnsi="宋体" w:eastAsia="宋体" w:cs="宋体"/>
          <w:bCs/>
          <w:color w:val="auto"/>
          <w:sz w:val="24"/>
          <w:szCs w:val="24"/>
        </w:rPr>
        <w:br w:type="page"/>
      </w:r>
      <w:r>
        <w:rPr>
          <w:rFonts w:hint="eastAsia" w:ascii="宋体" w:hAnsi="宋体" w:eastAsia="宋体" w:cs="宋体"/>
          <w:b/>
          <w:bCs/>
          <w:color w:val="auto"/>
          <w:sz w:val="24"/>
          <w:szCs w:val="24"/>
        </w:rPr>
        <w:t>残疾人福利性单位声明函</w:t>
      </w:r>
    </w:p>
    <w:p w14:paraId="140536AE">
      <w:pPr>
        <w:spacing w:line="360" w:lineRule="auto"/>
        <w:jc w:val="center"/>
        <w:rPr>
          <w:rFonts w:hint="eastAsia" w:ascii="宋体" w:hAnsi="宋体" w:eastAsia="宋体" w:cs="宋体"/>
          <w:color w:val="auto"/>
        </w:rPr>
      </w:pPr>
      <w:r>
        <w:rPr>
          <w:rFonts w:hint="eastAsia" w:ascii="宋体" w:hAnsi="宋体" w:eastAsia="宋体" w:cs="宋体"/>
          <w:color w:val="auto"/>
          <w:kern w:val="0"/>
          <w:sz w:val="24"/>
          <w:szCs w:val="24"/>
        </w:rPr>
        <w:t>（属于监狱企业的提供，不属于的无需提供此项内容）</w:t>
      </w:r>
    </w:p>
    <w:p w14:paraId="6BADADAD">
      <w:pPr>
        <w:spacing w:line="360" w:lineRule="auto"/>
        <w:ind w:firstLine="504" w:firstLineChars="20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本单位郑重声明，根据《财政部 民政部 中国残疾人联合会关于促进残疾人就业政府采购政策的通知》（财库</w:t>
      </w:r>
      <w:r>
        <w:rPr>
          <w:rFonts w:hint="eastAsia" w:ascii="宋体" w:hAnsi="宋体" w:eastAsia="宋体" w:cs="宋体"/>
          <w:color w:val="auto"/>
          <w:sz w:val="24"/>
          <w:szCs w:val="24"/>
        </w:rPr>
        <w:t>〔2017〕141</w:t>
      </w:r>
      <w:r>
        <w:rPr>
          <w:rFonts w:hint="eastAsia" w:ascii="宋体" w:hAnsi="宋体" w:eastAsia="宋体" w:cs="宋体"/>
          <w:color w:val="auto"/>
          <w:spacing w:val="6"/>
          <w:sz w:val="24"/>
          <w:szCs w:val="24"/>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7E27D7C">
      <w:pPr>
        <w:spacing w:line="360" w:lineRule="auto"/>
        <w:ind w:firstLine="504" w:firstLineChars="20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本单位对上述声明的真实性负责。如有虚假，将依法承担相应责任。</w:t>
      </w:r>
    </w:p>
    <w:p w14:paraId="36E81F57">
      <w:pPr>
        <w:spacing w:line="360" w:lineRule="auto"/>
        <w:ind w:firstLine="4320" w:firstLineChars="1800"/>
        <w:rPr>
          <w:rFonts w:hint="eastAsia" w:ascii="宋体" w:hAnsi="宋体" w:eastAsia="宋体" w:cs="宋体"/>
          <w:bCs/>
          <w:color w:val="auto"/>
          <w:sz w:val="24"/>
          <w:szCs w:val="24"/>
        </w:rPr>
      </w:pPr>
    </w:p>
    <w:p w14:paraId="52B35F74">
      <w:pPr>
        <w:spacing w:line="360" w:lineRule="auto"/>
        <w:ind w:firstLine="4320" w:firstLineChars="1800"/>
        <w:rPr>
          <w:rFonts w:hint="eastAsia" w:ascii="宋体" w:hAnsi="宋体" w:eastAsia="宋体" w:cs="宋体"/>
          <w:color w:val="auto"/>
          <w:sz w:val="24"/>
          <w:szCs w:val="24"/>
        </w:rPr>
      </w:pPr>
      <w:r>
        <w:rPr>
          <w:rFonts w:hint="eastAsia" w:ascii="宋体" w:hAnsi="宋体" w:eastAsia="宋体" w:cs="宋体"/>
          <w:bCs/>
          <w:color w:val="auto"/>
          <w:sz w:val="24"/>
          <w:szCs w:val="24"/>
        </w:rPr>
        <w:t>供应商（盖公章）：</w:t>
      </w:r>
    </w:p>
    <w:p w14:paraId="144D3A43">
      <w:pPr>
        <w:spacing w:line="360" w:lineRule="auto"/>
        <w:ind w:firstLine="4320" w:firstLineChars="1800"/>
        <w:rPr>
          <w:rFonts w:hint="eastAsia" w:ascii="宋体" w:hAnsi="宋体" w:eastAsia="宋体" w:cs="宋体"/>
          <w:color w:val="auto"/>
          <w:sz w:val="24"/>
          <w:szCs w:val="24"/>
        </w:rPr>
      </w:pPr>
    </w:p>
    <w:p w14:paraId="099E8DD7">
      <w:pPr>
        <w:spacing w:line="360" w:lineRule="auto"/>
        <w:ind w:firstLine="4320" w:firstLineChars="1800"/>
        <w:rPr>
          <w:rFonts w:hint="eastAsia" w:ascii="宋体" w:hAnsi="宋体" w:eastAsia="宋体" w:cs="宋体"/>
          <w:b/>
          <w:color w:val="auto"/>
          <w:sz w:val="28"/>
          <w:szCs w:val="28"/>
        </w:rPr>
      </w:pPr>
      <w:r>
        <w:rPr>
          <w:rFonts w:hint="eastAsia" w:ascii="宋体" w:hAnsi="宋体" w:eastAsia="宋体" w:cs="宋体"/>
          <w:color w:val="auto"/>
          <w:sz w:val="24"/>
          <w:szCs w:val="24"/>
        </w:rPr>
        <w:t>日期：年月日</w:t>
      </w:r>
    </w:p>
    <w:p w14:paraId="50FB1AD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《财政部民政部中国残疾人联合会关于促进残疾人就业政府采购政策的通知》（财库2017〔141〕号）的规定：</w:t>
      </w:r>
    </w:p>
    <w:p w14:paraId="44B8B95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享受政府采购支持政策的残疾人福利性单位应当同时满足以下条件：</w:t>
      </w:r>
    </w:p>
    <w:p w14:paraId="57C6499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（1）安置的残疾人占本单位在职职工人数的比例不低于25%（含25%），并且安置的残疾人人数不少于10人（含10人）；</w:t>
      </w:r>
    </w:p>
    <w:p w14:paraId="17E5C1E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（2）依法与安置的每位残疾人签订了一年以上（含一年）的劳动合同或服务协议；</w:t>
      </w:r>
    </w:p>
    <w:p w14:paraId="780966D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（3）为安置的每位残疾人按月足额缴纳了基本养老保险、基本医疗保险、失业保险、工伤保险和生育保险等社会保险费；</w:t>
      </w:r>
    </w:p>
    <w:p w14:paraId="4788464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（4）通过银行等金融机构向安置的每位残疾人，按月支付了不低于单位所在区县适用的经省级人民政府批准的月最低工资标准的工资；</w:t>
      </w:r>
    </w:p>
    <w:p w14:paraId="22E4A56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（5）提供本单位制造的货物、承担的工程或者服务（以下简称产品），或者提供其他残疾人福利性单位制造的货物（不包括使用非残疾人福利性单位注册商标的货物）。</w:t>
      </w:r>
    </w:p>
    <w:p w14:paraId="264F52F7">
      <w:pPr>
        <w:pStyle w:val="9"/>
        <w:rPr>
          <w:rFonts w:hint="eastAsia" w:ascii="宋体" w:hAnsi="宋体" w:eastAsia="宋体" w:cs="宋体"/>
          <w:color w:val="auto"/>
        </w:rPr>
      </w:pPr>
      <w:r>
        <w:rPr>
          <w:rFonts w:hint="eastAsia" w:ascii="宋体" w:hAnsi="宋体" w:eastAsia="宋体" w:cs="宋体"/>
          <w:color w:val="auto"/>
          <w:sz w:val="24"/>
          <w:szCs w:val="24"/>
        </w:rPr>
        <w:t>2. 成交人为残疾人福利性单位的，采购人或者其委托的采购代理机构应当随成交、成交结果同时公告其《残疾人福利性单位声明函》，接受社会监督。</w:t>
      </w:r>
    </w:p>
    <w:p w14:paraId="2B55DCFD">
      <w:pPr>
        <w:rPr>
          <w:rFonts w:hint="eastAsia" w:ascii="宋体" w:hAnsi="宋体" w:eastAsia="宋体" w:cs="宋体"/>
          <w:color w:val="auto"/>
        </w:rPr>
      </w:pPr>
    </w:p>
    <w:sectPr>
      <w:footerReference r:id="rId6" w:type="default"/>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公文小标宋">
    <w:altName w:val="宋体"/>
    <w:panose1 w:val="02000500000000000000"/>
    <w:charset w:val="86"/>
    <w:family w:val="auto"/>
    <w:pitch w:val="default"/>
    <w:sig w:usb0="00000000" w:usb1="00000000"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64416">
    <w:pP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CB0D97">
                          <w:pPr>
                            <w:pStyle w:val="11"/>
                            <w:tabs>
                              <w:tab w:val="center" w:pos="4153"/>
                              <w:tab w:val="right"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CCB0D97">
                    <w:pPr>
                      <w:pStyle w:val="11"/>
                      <w:tabs>
                        <w:tab w:val="center" w:pos="4153"/>
                        <w:tab w:val="right"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r>
      <w:rPr>
        <w:rFonts w:hint="eastAsia"/>
      </w:rPr>
      <w:t xml:space="preserve"> </w:t>
    </w:r>
  </w:p>
  <w:p w14:paraId="695FFB81">
    <w:pPr>
      <w:pStyle w:val="11"/>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608F8">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01EDC4">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901EDC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E881E">
    <w:pPr>
      <w:widowControl/>
      <w:kinsoku w:val="0"/>
      <w:autoSpaceDE w:val="0"/>
      <w:autoSpaceDN w:val="0"/>
      <w:adjustRightInd w:val="0"/>
      <w:snapToGrid w:val="0"/>
      <w:spacing w:line="178" w:lineRule="auto"/>
      <w:ind w:left="4611"/>
      <w:jc w:val="left"/>
      <w:textAlignment w:val="baseline"/>
      <w:rPr>
        <w:rFonts w:ascii="Calibri" w:hAnsi="Calibri" w:eastAsia="Calibri" w:cs="Calibri"/>
        <w:snapToGrid w:val="0"/>
        <w:color w:val="000000"/>
        <w:kern w:val="0"/>
        <w:sz w:val="18"/>
        <w:szCs w:val="18"/>
      </w:rPr>
    </w:pPr>
    <w:r>
      <w:rPr>
        <w:rFonts w:ascii="Times New Roman" w:hAnsi="Times New Roman" w:eastAsia="宋体" w:cs="Times New Roman"/>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2B0598">
                          <w:pPr>
                            <w:widowControl w:val="0"/>
                            <w:snapToGrid w:val="0"/>
                            <w:jc w:val="left"/>
                            <w:rPr>
                              <w:rFonts w:ascii="Calibri" w:hAnsi="Calibri" w:eastAsia="宋体" w:cs="Times New Roman"/>
                              <w:kern w:val="0"/>
                              <w:sz w:val="18"/>
                              <w:szCs w:val="21"/>
                              <w:lang w:val="en-US" w:eastAsia="zh-CN" w:bidi="ar-SA"/>
                            </w:rPr>
                          </w:pPr>
                          <w:r>
                            <w:rPr>
                              <w:rFonts w:ascii="Calibri" w:hAnsi="Calibri" w:eastAsia="宋体" w:cs="Times New Roman"/>
                              <w:kern w:val="0"/>
                              <w:sz w:val="18"/>
                              <w:szCs w:val="21"/>
                              <w:lang w:val="en-US" w:eastAsia="zh-CN" w:bidi="ar-SA"/>
                            </w:rPr>
                            <w:fldChar w:fldCharType="begin"/>
                          </w:r>
                          <w:r>
                            <w:rPr>
                              <w:rFonts w:ascii="Calibri" w:hAnsi="Calibri" w:eastAsia="宋体" w:cs="Times New Roman"/>
                              <w:kern w:val="0"/>
                              <w:sz w:val="18"/>
                              <w:szCs w:val="21"/>
                              <w:lang w:val="en-US" w:eastAsia="zh-CN" w:bidi="ar-SA"/>
                            </w:rPr>
                            <w:instrText xml:space="preserve"> PAGE  \* MERGEFORMAT </w:instrText>
                          </w:r>
                          <w:r>
                            <w:rPr>
                              <w:rFonts w:ascii="Calibri" w:hAnsi="Calibri" w:eastAsia="宋体" w:cs="Times New Roman"/>
                              <w:kern w:val="0"/>
                              <w:sz w:val="18"/>
                              <w:szCs w:val="21"/>
                              <w:lang w:val="en-US" w:eastAsia="zh-CN" w:bidi="ar-SA"/>
                            </w:rPr>
                            <w:fldChar w:fldCharType="separate"/>
                          </w:r>
                          <w:r>
                            <w:rPr>
                              <w:rFonts w:ascii="Calibri" w:hAnsi="Calibri" w:eastAsia="宋体" w:cs="Times New Roman"/>
                              <w:kern w:val="0"/>
                              <w:sz w:val="18"/>
                              <w:szCs w:val="21"/>
                              <w:lang w:val="en-US" w:eastAsia="zh-CN" w:bidi="ar-SA"/>
                            </w:rPr>
                            <w:t>56</w:t>
                          </w:r>
                          <w:r>
                            <w:rPr>
                              <w:rFonts w:ascii="Calibri" w:hAnsi="Calibri" w:eastAsia="宋体" w:cs="Times New Roman"/>
                              <w:kern w:val="0"/>
                              <w:sz w:val="18"/>
                              <w:szCs w:val="21"/>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E2B0598">
                    <w:pPr>
                      <w:widowControl w:val="0"/>
                      <w:snapToGrid w:val="0"/>
                      <w:jc w:val="left"/>
                      <w:rPr>
                        <w:rFonts w:ascii="Calibri" w:hAnsi="Calibri" w:eastAsia="宋体" w:cs="Times New Roman"/>
                        <w:kern w:val="0"/>
                        <w:sz w:val="18"/>
                        <w:szCs w:val="21"/>
                        <w:lang w:val="en-US" w:eastAsia="zh-CN" w:bidi="ar-SA"/>
                      </w:rPr>
                    </w:pPr>
                    <w:r>
                      <w:rPr>
                        <w:rFonts w:ascii="Calibri" w:hAnsi="Calibri" w:eastAsia="宋体" w:cs="Times New Roman"/>
                        <w:kern w:val="0"/>
                        <w:sz w:val="18"/>
                        <w:szCs w:val="21"/>
                        <w:lang w:val="en-US" w:eastAsia="zh-CN" w:bidi="ar-SA"/>
                      </w:rPr>
                      <w:fldChar w:fldCharType="begin"/>
                    </w:r>
                    <w:r>
                      <w:rPr>
                        <w:rFonts w:ascii="Calibri" w:hAnsi="Calibri" w:eastAsia="宋体" w:cs="Times New Roman"/>
                        <w:kern w:val="0"/>
                        <w:sz w:val="18"/>
                        <w:szCs w:val="21"/>
                        <w:lang w:val="en-US" w:eastAsia="zh-CN" w:bidi="ar-SA"/>
                      </w:rPr>
                      <w:instrText xml:space="preserve"> PAGE  \* MERGEFORMAT </w:instrText>
                    </w:r>
                    <w:r>
                      <w:rPr>
                        <w:rFonts w:ascii="Calibri" w:hAnsi="Calibri" w:eastAsia="宋体" w:cs="Times New Roman"/>
                        <w:kern w:val="0"/>
                        <w:sz w:val="18"/>
                        <w:szCs w:val="21"/>
                        <w:lang w:val="en-US" w:eastAsia="zh-CN" w:bidi="ar-SA"/>
                      </w:rPr>
                      <w:fldChar w:fldCharType="separate"/>
                    </w:r>
                    <w:r>
                      <w:rPr>
                        <w:rFonts w:ascii="Calibri" w:hAnsi="Calibri" w:eastAsia="宋体" w:cs="Times New Roman"/>
                        <w:kern w:val="0"/>
                        <w:sz w:val="18"/>
                        <w:szCs w:val="21"/>
                        <w:lang w:val="en-US" w:eastAsia="zh-CN" w:bidi="ar-SA"/>
                      </w:rPr>
                      <w:t>56</w:t>
                    </w:r>
                    <w:r>
                      <w:rPr>
                        <w:rFonts w:ascii="Calibri" w:hAnsi="Calibri" w:eastAsia="宋体" w:cs="Times New Roman"/>
                        <w:kern w:val="0"/>
                        <w:sz w:val="18"/>
                        <w:szCs w:val="21"/>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0AD97">
    <w:pPr>
      <w:pStyle w:val="12"/>
      <w:pBdr>
        <w:bottom w:val="none" w:color="auto" w:sz="0" w:space="1"/>
      </w:pBdr>
      <w:jc w:val="both"/>
      <w:rPr>
        <w:rFonts w:hint="eastAsia" w:eastAsia="楷体_GB2312"/>
        <w:sz w:val="21"/>
        <w:shd w:val="pct10" w:color="auto" w:fill="FFFFFF"/>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B32FD"/>
    <w:multiLevelType w:val="singleLevel"/>
    <w:tmpl w:val="84CB32FD"/>
    <w:lvl w:ilvl="0" w:tentative="0">
      <w:start w:val="1"/>
      <w:numFmt w:val="decimal"/>
      <w:suff w:val="nothing"/>
      <w:lvlText w:val="%1．"/>
      <w:lvlJc w:val="left"/>
    </w:lvl>
  </w:abstractNum>
  <w:abstractNum w:abstractNumId="1">
    <w:nsid w:val="4D288D75"/>
    <w:multiLevelType w:val="singleLevel"/>
    <w:tmpl w:val="4D288D75"/>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MzQ5Yjk2ZGI3MjFhZGM1NzkyOTg2MDVkN2IyYjMifQ=="/>
  </w:docVars>
  <w:rsids>
    <w:rsidRoot w:val="00000000"/>
    <w:rsid w:val="007D623A"/>
    <w:rsid w:val="010E1A9E"/>
    <w:rsid w:val="017C2024"/>
    <w:rsid w:val="018362EB"/>
    <w:rsid w:val="01AA3534"/>
    <w:rsid w:val="01D02473"/>
    <w:rsid w:val="025E49B5"/>
    <w:rsid w:val="02AB7BCB"/>
    <w:rsid w:val="02D277CC"/>
    <w:rsid w:val="02F55DCF"/>
    <w:rsid w:val="03C1684E"/>
    <w:rsid w:val="03E80CD5"/>
    <w:rsid w:val="03FE2AA0"/>
    <w:rsid w:val="041D1922"/>
    <w:rsid w:val="047F723D"/>
    <w:rsid w:val="04F449E4"/>
    <w:rsid w:val="05017737"/>
    <w:rsid w:val="062B53E9"/>
    <w:rsid w:val="07B62F76"/>
    <w:rsid w:val="080A60FE"/>
    <w:rsid w:val="08B33959"/>
    <w:rsid w:val="091044E3"/>
    <w:rsid w:val="09AC45E5"/>
    <w:rsid w:val="0A1E192C"/>
    <w:rsid w:val="0A2C7464"/>
    <w:rsid w:val="0A9C19C8"/>
    <w:rsid w:val="0AFB1087"/>
    <w:rsid w:val="0C8F4FAD"/>
    <w:rsid w:val="0E097652"/>
    <w:rsid w:val="0E1E00BD"/>
    <w:rsid w:val="0E320E7D"/>
    <w:rsid w:val="0F791001"/>
    <w:rsid w:val="109F15B9"/>
    <w:rsid w:val="112D5D20"/>
    <w:rsid w:val="117D41DC"/>
    <w:rsid w:val="1193257A"/>
    <w:rsid w:val="11C56289"/>
    <w:rsid w:val="13BB4D62"/>
    <w:rsid w:val="13ED41C3"/>
    <w:rsid w:val="15147BAB"/>
    <w:rsid w:val="167A23FB"/>
    <w:rsid w:val="17896C10"/>
    <w:rsid w:val="18351C95"/>
    <w:rsid w:val="19E5593D"/>
    <w:rsid w:val="1A33403F"/>
    <w:rsid w:val="1AE8597C"/>
    <w:rsid w:val="1BC07217"/>
    <w:rsid w:val="1C6761D9"/>
    <w:rsid w:val="1CB5754E"/>
    <w:rsid w:val="1E447DCD"/>
    <w:rsid w:val="1EB66D1F"/>
    <w:rsid w:val="1FAA610D"/>
    <w:rsid w:val="20857532"/>
    <w:rsid w:val="21625D51"/>
    <w:rsid w:val="218D51B0"/>
    <w:rsid w:val="221D1D08"/>
    <w:rsid w:val="23250B5A"/>
    <w:rsid w:val="23CC114F"/>
    <w:rsid w:val="24300971"/>
    <w:rsid w:val="24F25ADF"/>
    <w:rsid w:val="254E5A36"/>
    <w:rsid w:val="27FA08BD"/>
    <w:rsid w:val="29D41D8C"/>
    <w:rsid w:val="2B490F98"/>
    <w:rsid w:val="2B884CFD"/>
    <w:rsid w:val="2BFA5278"/>
    <w:rsid w:val="2C7E7C57"/>
    <w:rsid w:val="2C9E7773"/>
    <w:rsid w:val="2CC524C5"/>
    <w:rsid w:val="2D200D0E"/>
    <w:rsid w:val="2D965D5F"/>
    <w:rsid w:val="2E554EA6"/>
    <w:rsid w:val="2EA133D1"/>
    <w:rsid w:val="2F155F25"/>
    <w:rsid w:val="2F462582"/>
    <w:rsid w:val="2FBF25C3"/>
    <w:rsid w:val="315216B2"/>
    <w:rsid w:val="31B05492"/>
    <w:rsid w:val="325672C6"/>
    <w:rsid w:val="325A72EB"/>
    <w:rsid w:val="32DB0CF8"/>
    <w:rsid w:val="338973E0"/>
    <w:rsid w:val="341300DC"/>
    <w:rsid w:val="342A426F"/>
    <w:rsid w:val="34565015"/>
    <w:rsid w:val="35DC65C4"/>
    <w:rsid w:val="365D29F7"/>
    <w:rsid w:val="36FD79CA"/>
    <w:rsid w:val="374D38C1"/>
    <w:rsid w:val="37517D16"/>
    <w:rsid w:val="37D87C8E"/>
    <w:rsid w:val="38323A20"/>
    <w:rsid w:val="393E3225"/>
    <w:rsid w:val="39A93E39"/>
    <w:rsid w:val="39B06EA7"/>
    <w:rsid w:val="39D46A6F"/>
    <w:rsid w:val="3C820B92"/>
    <w:rsid w:val="3CE8111C"/>
    <w:rsid w:val="3D7D42CA"/>
    <w:rsid w:val="3F300D14"/>
    <w:rsid w:val="3F8B5CAB"/>
    <w:rsid w:val="3FBD5D22"/>
    <w:rsid w:val="40B67C10"/>
    <w:rsid w:val="40B72B6C"/>
    <w:rsid w:val="41CE6E1A"/>
    <w:rsid w:val="4247088E"/>
    <w:rsid w:val="428A38B6"/>
    <w:rsid w:val="441553C5"/>
    <w:rsid w:val="46364D58"/>
    <w:rsid w:val="46A62983"/>
    <w:rsid w:val="46C21DEB"/>
    <w:rsid w:val="46C86449"/>
    <w:rsid w:val="47086643"/>
    <w:rsid w:val="47B91468"/>
    <w:rsid w:val="47F06A69"/>
    <w:rsid w:val="48582ADB"/>
    <w:rsid w:val="49FA150A"/>
    <w:rsid w:val="4A5D5169"/>
    <w:rsid w:val="4CAC7A71"/>
    <w:rsid w:val="4D33474B"/>
    <w:rsid w:val="4D573E80"/>
    <w:rsid w:val="4D602609"/>
    <w:rsid w:val="4D930C30"/>
    <w:rsid w:val="4DBE5CAD"/>
    <w:rsid w:val="4E59377A"/>
    <w:rsid w:val="4E93331A"/>
    <w:rsid w:val="4F93316A"/>
    <w:rsid w:val="4FC97F74"/>
    <w:rsid w:val="504979F3"/>
    <w:rsid w:val="5114309A"/>
    <w:rsid w:val="513A1AEF"/>
    <w:rsid w:val="53042CF9"/>
    <w:rsid w:val="53FD0BB2"/>
    <w:rsid w:val="54D87F56"/>
    <w:rsid w:val="55202DAA"/>
    <w:rsid w:val="55DC6E08"/>
    <w:rsid w:val="56815ACA"/>
    <w:rsid w:val="568F468B"/>
    <w:rsid w:val="56C4440E"/>
    <w:rsid w:val="57793B44"/>
    <w:rsid w:val="57AA2DFF"/>
    <w:rsid w:val="59266DFD"/>
    <w:rsid w:val="59A3044D"/>
    <w:rsid w:val="5ABE2FC1"/>
    <w:rsid w:val="5C2E2250"/>
    <w:rsid w:val="5CDF2D64"/>
    <w:rsid w:val="5E015742"/>
    <w:rsid w:val="5F770AF6"/>
    <w:rsid w:val="600B025F"/>
    <w:rsid w:val="60E00C13"/>
    <w:rsid w:val="617701F5"/>
    <w:rsid w:val="62C462FD"/>
    <w:rsid w:val="637E1BB3"/>
    <w:rsid w:val="63D85856"/>
    <w:rsid w:val="64133100"/>
    <w:rsid w:val="64E7589A"/>
    <w:rsid w:val="665A314B"/>
    <w:rsid w:val="66803392"/>
    <w:rsid w:val="66D87988"/>
    <w:rsid w:val="68295FC1"/>
    <w:rsid w:val="68F77E6E"/>
    <w:rsid w:val="69B813AB"/>
    <w:rsid w:val="6A461FC6"/>
    <w:rsid w:val="6ABC136F"/>
    <w:rsid w:val="6CBA00EA"/>
    <w:rsid w:val="6CCD33BF"/>
    <w:rsid w:val="6CDB5C47"/>
    <w:rsid w:val="6D4B2536"/>
    <w:rsid w:val="71107825"/>
    <w:rsid w:val="713F665E"/>
    <w:rsid w:val="715B3690"/>
    <w:rsid w:val="71E60A7F"/>
    <w:rsid w:val="721101F2"/>
    <w:rsid w:val="738F5872"/>
    <w:rsid w:val="743261B5"/>
    <w:rsid w:val="74DC361D"/>
    <w:rsid w:val="74F95639"/>
    <w:rsid w:val="75262AE9"/>
    <w:rsid w:val="759572A2"/>
    <w:rsid w:val="76A81A2D"/>
    <w:rsid w:val="76E61C4D"/>
    <w:rsid w:val="77207516"/>
    <w:rsid w:val="77356731"/>
    <w:rsid w:val="774C293D"/>
    <w:rsid w:val="78681D5F"/>
    <w:rsid w:val="78CE1DCE"/>
    <w:rsid w:val="7A23674E"/>
    <w:rsid w:val="7B3B184D"/>
    <w:rsid w:val="7DE22A43"/>
    <w:rsid w:val="7E691CC3"/>
    <w:rsid w:val="7F842940"/>
    <w:rsid w:val="7FC328D4"/>
    <w:rsid w:val="7FDF5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6"/>
    <w:qFormat/>
    <w:uiPriority w:val="0"/>
    <w:pPr>
      <w:keepNext/>
      <w:keepLines/>
      <w:spacing w:before="340" w:after="330" w:line="578" w:lineRule="auto"/>
      <w:outlineLvl w:val="0"/>
    </w:pPr>
    <w:rPr>
      <w:rFonts w:ascii="Calibri" w:hAnsi="Calibri" w:eastAsia="仿宋"/>
      <w:b/>
      <w:bCs/>
      <w:kern w:val="44"/>
      <w:sz w:val="32"/>
      <w:szCs w:val="44"/>
    </w:rPr>
  </w:style>
  <w:style w:type="paragraph" w:styleId="3">
    <w:name w:val="heading 2"/>
    <w:basedOn w:val="1"/>
    <w:next w:val="1"/>
    <w:qFormat/>
    <w:uiPriority w:val="0"/>
    <w:pPr>
      <w:keepNext/>
      <w:keepLines/>
      <w:spacing w:before="100" w:beforeAutospacing="1" w:after="100" w:afterAutospacing="1" w:line="240" w:lineRule="atLeast"/>
      <w:ind w:left="419"/>
      <w:jc w:val="center"/>
      <w:textAlignment w:val="baseline"/>
      <w:outlineLvl w:val="1"/>
    </w:pPr>
    <w:rPr>
      <w:rFonts w:ascii="宋体" w:hAnsi="宋体" w:cs="宋体"/>
      <w:b/>
      <w:sz w:val="28"/>
      <w:szCs w:val="2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unhideWhenUsed/>
    <w:qFormat/>
    <w:uiPriority w:val="99"/>
    <w:pPr>
      <w:spacing w:after="120"/>
    </w:pPr>
    <w:rPr>
      <w:kern w:val="0"/>
      <w:sz w:val="20"/>
    </w:rPr>
  </w:style>
  <w:style w:type="paragraph" w:styleId="6">
    <w:name w:val="Body Text Indent"/>
    <w:basedOn w:val="1"/>
    <w:next w:val="7"/>
    <w:unhideWhenUsed/>
    <w:qFormat/>
    <w:uiPriority w:val="0"/>
    <w:pPr>
      <w:spacing w:after="120"/>
      <w:ind w:left="420" w:leftChars="200"/>
    </w:pPr>
    <w:rPr>
      <w:kern w:val="0"/>
      <w:sz w:val="20"/>
    </w:rPr>
  </w:style>
  <w:style w:type="paragraph" w:styleId="7">
    <w:name w:val="envelope return"/>
    <w:basedOn w:val="1"/>
    <w:unhideWhenUsed/>
    <w:qFormat/>
    <w:uiPriority w:val="99"/>
    <w:pPr>
      <w:snapToGrid w:val="0"/>
    </w:pPr>
    <w:rPr>
      <w:rFonts w:ascii="等线 Light" w:hAnsi="等线 Light" w:eastAsia="等线 Light" w:cs="Times New Roman"/>
    </w:rPr>
  </w:style>
  <w:style w:type="paragraph" w:styleId="8">
    <w:name w:val="List 2"/>
    <w:basedOn w:val="1"/>
    <w:qFormat/>
    <w:uiPriority w:val="0"/>
    <w:pPr>
      <w:ind w:left="100" w:leftChars="200" w:hanging="200" w:hangingChars="200"/>
    </w:pPr>
  </w:style>
  <w:style w:type="paragraph" w:styleId="9">
    <w:name w:val="Plain Text"/>
    <w:basedOn w:val="1"/>
    <w:qFormat/>
    <w:uiPriority w:val="99"/>
    <w:pPr>
      <w:adjustRightInd w:val="0"/>
      <w:textAlignment w:val="baseline"/>
    </w:pPr>
    <w:rPr>
      <w:rFonts w:ascii="宋体" w:hAnsi="Courier New"/>
      <w:kern w:val="0"/>
      <w:sz w:val="20"/>
      <w:szCs w:val="20"/>
    </w:rPr>
  </w:style>
  <w:style w:type="paragraph" w:styleId="10">
    <w:name w:val="Body Text Indent 2"/>
    <w:basedOn w:val="1"/>
    <w:qFormat/>
    <w:uiPriority w:val="99"/>
    <w:pPr>
      <w:spacing w:line="500" w:lineRule="exact"/>
      <w:ind w:firstLine="420" w:firstLineChars="200"/>
    </w:pPr>
    <w:rPr>
      <w:rFonts w:ascii="Calibri" w:hAnsi="Calibri"/>
      <w:kern w:val="0"/>
      <w:sz w:val="24"/>
    </w:rPr>
  </w:style>
  <w:style w:type="paragraph" w:styleId="11">
    <w:name w:val="footer"/>
    <w:basedOn w:val="1"/>
    <w:unhideWhenUsed/>
    <w:qFormat/>
    <w:uiPriority w:val="99"/>
    <w:pPr>
      <w:snapToGrid w:val="0"/>
      <w:jc w:val="left"/>
    </w:pPr>
    <w:rPr>
      <w:kern w:val="0"/>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tabs>
        <w:tab w:val="right" w:leader="dot" w:pos="9060"/>
      </w:tabs>
      <w:jc w:val="center"/>
    </w:pPr>
    <w:rPr>
      <w:rFonts w:ascii="方正小标宋简体" w:hAnsi="方正小标宋简体" w:eastAsia="宋体"/>
      <w:sz w:val="28"/>
      <w:szCs w:val="32"/>
    </w:rPr>
  </w:style>
  <w:style w:type="paragraph" w:styleId="14">
    <w:name w:val="footnote text"/>
    <w:basedOn w:val="1"/>
    <w:qFormat/>
    <w:uiPriority w:val="0"/>
    <w:pPr>
      <w:snapToGrid w:val="0"/>
      <w:jc w:val="left"/>
    </w:pPr>
    <w:rPr>
      <w:rFonts w:asciiTheme="minorHAnsi" w:hAnsiTheme="minorHAnsi" w:eastAsiaTheme="minorEastAsia" w:cstheme="minorBidi"/>
      <w:sz w:val="18"/>
      <w:szCs w:val="18"/>
    </w:rPr>
  </w:style>
  <w:style w:type="paragraph" w:styleId="15">
    <w:name w:val="Body Text 2"/>
    <w:basedOn w:val="1"/>
    <w:next w:val="5"/>
    <w:unhideWhenUsed/>
    <w:qFormat/>
    <w:uiPriority w:val="99"/>
    <w:pPr>
      <w:spacing w:after="120" w:line="480" w:lineRule="auto"/>
    </w:pPr>
  </w:style>
  <w:style w:type="paragraph" w:styleId="16">
    <w:name w:val="Message Header"/>
    <w:basedOn w:val="1"/>
    <w:next w:val="1"/>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8">
    <w:name w:val="Body Text First Indent"/>
    <w:basedOn w:val="1"/>
    <w:next w:val="19"/>
    <w:unhideWhenUsed/>
    <w:qFormat/>
    <w:uiPriority w:val="99"/>
    <w:pPr>
      <w:ind w:firstLine="420" w:firstLineChars="100"/>
    </w:pPr>
  </w:style>
  <w:style w:type="paragraph" w:styleId="19">
    <w:name w:val="Body Text First Indent 2"/>
    <w:basedOn w:val="1"/>
    <w:next w:val="1"/>
    <w:unhideWhenUsed/>
    <w:qFormat/>
    <w:uiPriority w:val="0"/>
    <w:pPr>
      <w:ind w:firstLine="420" w:firstLineChars="200"/>
    </w:pPr>
  </w:style>
  <w:style w:type="table" w:styleId="21">
    <w:name w:val="Table Grid"/>
    <w:basedOn w:val="20"/>
    <w:qFormat/>
    <w:uiPriority w:val="0"/>
    <w:pPr>
      <w:widowControl w:val="0"/>
      <w:spacing w:after="0" w:line="240" w:lineRule="auto"/>
      <w:jc w:val="both"/>
    </w:pPr>
    <w:rPr>
      <w:rFonts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qFormat/>
    <w:uiPriority w:val="0"/>
    <w:rPr>
      <w:color w:val="0000FF"/>
      <w:u w:val="single"/>
    </w:rPr>
  </w:style>
  <w:style w:type="paragraph" w:customStyle="1" w:styleId="24">
    <w:name w:val="Default"/>
    <w:next w:val="25"/>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大标题"/>
    <w:basedOn w:val="1"/>
    <w:next w:val="19"/>
    <w:qFormat/>
    <w:uiPriority w:val="0"/>
    <w:pPr>
      <w:pageBreakBefore/>
      <w:spacing w:after="200" w:line="720" w:lineRule="auto"/>
      <w:jc w:val="center"/>
      <w:outlineLvl w:val="0"/>
    </w:pPr>
    <w:rPr>
      <w:rFonts w:ascii="黑体" w:hAnsi="Calibri" w:eastAsia="黑体"/>
      <w:sz w:val="32"/>
      <w:szCs w:val="30"/>
      <w:lang w:eastAsia="en-US" w:bidi="en-US"/>
    </w:rPr>
  </w:style>
  <w:style w:type="character" w:customStyle="1" w:styleId="26">
    <w:name w:val="标题 1 Char"/>
    <w:link w:val="2"/>
    <w:qFormat/>
    <w:uiPriority w:val="0"/>
    <w:rPr>
      <w:rFonts w:ascii="Calibri" w:hAnsi="Calibri" w:eastAsia="仿宋"/>
      <w:b/>
      <w:bCs/>
      <w:kern w:val="44"/>
      <w:sz w:val="32"/>
      <w:szCs w:val="44"/>
    </w:rPr>
  </w:style>
  <w:style w:type="paragraph" w:styleId="27">
    <w:name w:val="List Paragraph"/>
    <w:basedOn w:val="1"/>
    <w:qFormat/>
    <w:uiPriority w:val="34"/>
    <w:pPr>
      <w:ind w:firstLine="420" w:firstLineChars="200"/>
    </w:pPr>
    <w:rPr>
      <w:szCs w:val="24"/>
    </w:rPr>
  </w:style>
  <w:style w:type="table" w:customStyle="1" w:styleId="28">
    <w:name w:val="TableGrid"/>
    <w:qFormat/>
    <w:uiPriority w:val="0"/>
    <w:tblPr>
      <w:tblCellMar>
        <w:top w:w="0" w:type="dxa"/>
        <w:left w:w="0" w:type="dxa"/>
        <w:bottom w:w="0" w:type="dxa"/>
        <w:right w:w="0" w:type="dxa"/>
      </w:tblCellMar>
    </w:tblPr>
  </w:style>
  <w:style w:type="paragraph" w:customStyle="1" w:styleId="29">
    <w:name w:val="WPSOffice手动目录 1"/>
    <w:qFormat/>
    <w:uiPriority w:val="0"/>
    <w:pPr>
      <w:ind w:leftChars="0"/>
    </w:pPr>
    <w:rPr>
      <w:rFonts w:asciiTheme="minorHAnsi" w:hAnsiTheme="minorHAnsi" w:eastAsiaTheme="minorEastAsia" w:cstheme="minorBidi"/>
      <w:sz w:val="20"/>
      <w:szCs w:val="20"/>
    </w:rPr>
  </w:style>
  <w:style w:type="paragraph" w:customStyle="1" w:styleId="30">
    <w:name w:val="Table Paragraph"/>
    <w:basedOn w:val="1"/>
    <w:qFormat/>
    <w:uiPriority w:val="1"/>
  </w:style>
  <w:style w:type="paragraph" w:customStyle="1" w:styleId="31">
    <w:name w:val="Heading2"/>
    <w:basedOn w:val="1"/>
    <w:next w:val="1"/>
    <w:autoRedefine/>
    <w:qFormat/>
    <w:uiPriority w:val="0"/>
    <w:pPr>
      <w:keepNext/>
      <w:keepLines/>
      <w:spacing w:before="260" w:after="260" w:line="415" w:lineRule="auto"/>
    </w:pPr>
    <w:rPr>
      <w:rFonts w:ascii="Arial" w:hAnsi="Arial" w:eastAsia="黑体"/>
      <w:kern w:val="0"/>
      <w:sz w:val="32"/>
      <w:szCs w:val="32"/>
    </w:rPr>
  </w:style>
  <w:style w:type="paragraph" w:customStyle="1" w:styleId="32">
    <w:name w:val="Table Text"/>
    <w:basedOn w:val="1"/>
    <w:semiHidden/>
    <w:qFormat/>
    <w:uiPriority w:val="0"/>
    <w:rPr>
      <w:rFonts w:ascii="宋体" w:hAnsi="宋体" w:eastAsia="宋体" w:cs="宋体"/>
      <w:sz w:val="20"/>
      <w:szCs w:val="20"/>
      <w:lang w:val="en-US" w:eastAsia="en-US" w:bidi="ar-SA"/>
    </w:rPr>
  </w:style>
  <w:style w:type="table" w:customStyle="1" w:styleId="33">
    <w:name w:val="Table Normal"/>
    <w:unhideWhenUsed/>
    <w:qFormat/>
    <w:uiPriority w:val="0"/>
    <w:tblPr>
      <w:tblCellMar>
        <w:top w:w="0" w:type="dxa"/>
        <w:left w:w="0" w:type="dxa"/>
        <w:bottom w:w="0" w:type="dxa"/>
        <w:right w:w="0" w:type="dxa"/>
      </w:tblCellMar>
    </w:tblPr>
  </w:style>
  <w:style w:type="character" w:customStyle="1" w:styleId="34">
    <w:name w:val="NormalCharacter"/>
    <w:qFormat/>
    <w:uiPriority w:val="0"/>
    <w:rPr>
      <w:rFonts w:ascii="Times New Roman" w:hAnsi="Times New Roman" w:eastAsia="宋体"/>
    </w:rPr>
  </w:style>
  <w:style w:type="paragraph" w:customStyle="1" w:styleId="35">
    <w:name w:val="cjk"/>
    <w:basedOn w:val="1"/>
    <w:qFormat/>
    <w:uiPriority w:val="0"/>
    <w:pPr>
      <w:widowControl/>
      <w:spacing w:line="480" w:lineRule="auto"/>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25069</Words>
  <Characters>27214</Characters>
  <Lines>0</Lines>
  <Paragraphs>0</Paragraphs>
  <TotalTime>23</TotalTime>
  <ScaleCrop>false</ScaleCrop>
  <LinksUpToDate>false</LinksUpToDate>
  <CharactersWithSpaces>28312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2023-10-15T16:37:00Z</dcterms:created>
  <dc:creator>DELL</dc:creator>
  <cp:lastModifiedBy>Administrator</cp:lastModifiedBy>
  <cp:lastPrinted>2026-01-12T03:31:00Z</cp:lastPrinted>
  <dcterms:modified xsi:type="dcterms:W3CDTF">2026-03-03T00:43:00Z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6464B7BE9F0B4A449A2B29B42C695B7D_13</vt:lpwstr>
  </property>
  <property fmtid="{D5CDD505-2E9C-101B-9397-08002B2CF9AE}" pid="4" name="KSOTemplateDocerSaveRecord">
    <vt:lpwstr>eyJoZGlkIjoiMmQ2MjI1NmU1YzY5ZmFlOWRlYTA4NzliZGE3NTZiOWEiLCJ1c2VySWQiOiI3NTU5ODA1OTUifQ==</vt:lpwstr>
  </property>
</Properties>
</file>