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AB05A">
      <w:pPr>
        <w:tabs>
          <w:tab w:val="left" w:pos="420"/>
        </w:tabs>
        <w:spacing w:line="1700" w:lineRule="exact"/>
        <w:jc w:val="center"/>
        <w:rPr>
          <w:rFonts w:hint="eastAsia" w:ascii="宋体" w:hAnsi="宋体" w:cs="宋体"/>
          <w:b/>
          <w:color w:val="auto"/>
          <w:spacing w:val="36"/>
          <w:sz w:val="72"/>
          <w:szCs w:val="72"/>
        </w:rPr>
      </w:pPr>
      <w:r>
        <w:rPr>
          <w:rFonts w:hint="eastAsia" w:ascii="宋体" w:hAnsi="宋体" w:cs="宋体"/>
          <w:b/>
          <w:bCs/>
          <w:color w:val="auto"/>
          <w:kern w:val="0"/>
          <w:sz w:val="72"/>
          <w:szCs w:val="72"/>
        </w:rPr>
        <w:t>周口市公共资源交易中心</w:t>
      </w:r>
    </w:p>
    <w:p w14:paraId="31FC62DC">
      <w:pPr>
        <w:tabs>
          <w:tab w:val="left" w:pos="315"/>
          <w:tab w:val="left" w:pos="8820"/>
        </w:tabs>
        <w:spacing w:line="500" w:lineRule="exact"/>
        <w:ind w:right="267" w:rightChars="127"/>
        <w:jc w:val="center"/>
        <w:rPr>
          <w:rFonts w:hint="eastAsia" w:ascii="宋体" w:hAnsi="宋体" w:cs="宋体"/>
          <w:b/>
          <w:bCs/>
          <w:color w:val="auto"/>
          <w:sz w:val="52"/>
        </w:rPr>
      </w:pPr>
    </w:p>
    <w:p w14:paraId="3A69568F">
      <w:pPr>
        <w:tabs>
          <w:tab w:val="left" w:pos="315"/>
          <w:tab w:val="left" w:pos="8820"/>
        </w:tabs>
        <w:spacing w:line="500" w:lineRule="exact"/>
        <w:ind w:right="267" w:rightChars="127"/>
        <w:jc w:val="center"/>
        <w:rPr>
          <w:rFonts w:hint="eastAsia" w:ascii="宋体" w:hAnsi="宋体" w:cs="宋体"/>
          <w:b/>
          <w:bCs/>
          <w:color w:val="auto"/>
          <w:sz w:val="52"/>
        </w:rPr>
      </w:pPr>
    </w:p>
    <w:p w14:paraId="762A6E1C">
      <w:pPr>
        <w:tabs>
          <w:tab w:val="left" w:pos="315"/>
          <w:tab w:val="left" w:pos="8820"/>
        </w:tabs>
        <w:spacing w:line="500" w:lineRule="exact"/>
        <w:ind w:right="267" w:rightChars="127"/>
        <w:jc w:val="center"/>
        <w:rPr>
          <w:rFonts w:hint="eastAsia" w:ascii="宋体" w:hAnsi="宋体" w:cs="宋体"/>
          <w:b/>
          <w:bCs/>
          <w:color w:val="auto"/>
          <w:sz w:val="52"/>
        </w:rPr>
      </w:pPr>
      <w:r>
        <w:rPr>
          <w:rFonts w:hint="eastAsia" w:ascii="宋体" w:hAnsi="宋体" w:cs="宋体"/>
          <w:b/>
          <w:bCs/>
          <w:color w:val="auto"/>
          <w:sz w:val="52"/>
        </w:rPr>
        <w:t>政 府 采 购 招 标 文 件</w:t>
      </w:r>
    </w:p>
    <w:p w14:paraId="54CF10EC">
      <w:pPr>
        <w:tabs>
          <w:tab w:val="left" w:pos="315"/>
          <w:tab w:val="left" w:pos="8820"/>
        </w:tabs>
        <w:spacing w:line="500" w:lineRule="exact"/>
        <w:ind w:right="267" w:rightChars="127"/>
        <w:jc w:val="center"/>
        <w:rPr>
          <w:rFonts w:hint="eastAsia" w:ascii="宋体" w:hAnsi="宋体" w:cs="宋体"/>
          <w:color w:val="auto"/>
          <w:sz w:val="44"/>
        </w:rPr>
      </w:pPr>
    </w:p>
    <w:p w14:paraId="26C9052D">
      <w:pPr>
        <w:tabs>
          <w:tab w:val="left" w:pos="315"/>
          <w:tab w:val="left" w:pos="8820"/>
        </w:tabs>
        <w:ind w:right="267" w:rightChars="127"/>
        <w:rPr>
          <w:rFonts w:hint="eastAsia" w:ascii="宋体" w:hAnsi="宋体" w:cs="宋体"/>
          <w:color w:val="auto"/>
          <w:sz w:val="44"/>
        </w:rPr>
      </w:pPr>
    </w:p>
    <w:p w14:paraId="08D86837">
      <w:pPr>
        <w:tabs>
          <w:tab w:val="left" w:pos="315"/>
          <w:tab w:val="left" w:pos="8820"/>
        </w:tabs>
        <w:ind w:right="267" w:rightChars="127"/>
        <w:rPr>
          <w:rFonts w:hint="eastAsia" w:ascii="宋体" w:hAnsi="宋体" w:cs="宋体"/>
          <w:color w:val="auto"/>
          <w:sz w:val="44"/>
        </w:rPr>
      </w:pPr>
    </w:p>
    <w:p w14:paraId="7122C9CA">
      <w:pPr>
        <w:tabs>
          <w:tab w:val="left" w:pos="315"/>
          <w:tab w:val="left" w:pos="8820"/>
        </w:tabs>
        <w:ind w:right="267" w:rightChars="127"/>
        <w:rPr>
          <w:rFonts w:hint="eastAsia" w:ascii="宋体" w:hAnsi="宋体" w:cs="宋体"/>
          <w:color w:val="auto"/>
          <w:sz w:val="44"/>
        </w:rPr>
      </w:pPr>
    </w:p>
    <w:p w14:paraId="5EA432FB">
      <w:pPr>
        <w:tabs>
          <w:tab w:val="left" w:pos="315"/>
          <w:tab w:val="left" w:pos="8820"/>
        </w:tabs>
        <w:ind w:right="267" w:rightChars="127"/>
        <w:rPr>
          <w:rFonts w:hint="eastAsia" w:ascii="宋体" w:hAnsi="宋体" w:cs="宋体"/>
          <w:color w:val="auto"/>
          <w:sz w:val="44"/>
        </w:rPr>
      </w:pPr>
    </w:p>
    <w:p w14:paraId="5C44B6E6">
      <w:pPr>
        <w:tabs>
          <w:tab w:val="left" w:pos="315"/>
          <w:tab w:val="left" w:pos="8820"/>
        </w:tabs>
        <w:spacing w:line="500" w:lineRule="exact"/>
        <w:ind w:right="267" w:rightChars="127"/>
        <w:rPr>
          <w:rFonts w:hint="eastAsia" w:ascii="宋体" w:hAnsi="宋体" w:cs="宋体"/>
          <w:color w:val="auto"/>
          <w:sz w:val="36"/>
        </w:rPr>
      </w:pPr>
    </w:p>
    <w:p w14:paraId="53298F16">
      <w:pPr>
        <w:pStyle w:val="10"/>
        <w:spacing w:line="360" w:lineRule="auto"/>
        <w:ind w:left="1606" w:hanging="1606" w:hangingChars="500"/>
        <w:rPr>
          <w:rFonts w:hint="eastAsia" w:ascii="宋体" w:hAnsi="宋体" w:eastAsia="宋体" w:cs="宋体"/>
          <w:color w:val="auto"/>
          <w:sz w:val="32"/>
        </w:rPr>
      </w:pPr>
    </w:p>
    <w:p w14:paraId="7C6330A8">
      <w:pPr>
        <w:pStyle w:val="10"/>
        <w:spacing w:line="360" w:lineRule="auto"/>
        <w:ind w:left="1606" w:hanging="1606" w:hangingChars="500"/>
        <w:rPr>
          <w:rFonts w:hint="eastAsia" w:ascii="宋体" w:hAnsi="宋体" w:eastAsia="宋体" w:cs="宋体"/>
          <w:color w:val="auto"/>
          <w:sz w:val="32"/>
        </w:rPr>
      </w:pPr>
    </w:p>
    <w:p w14:paraId="044E8BEE">
      <w:pPr>
        <w:pStyle w:val="10"/>
        <w:spacing w:line="360" w:lineRule="auto"/>
        <w:ind w:left="1606" w:hanging="1606" w:hangingChars="500"/>
        <w:rPr>
          <w:rFonts w:hint="eastAsia" w:ascii="宋体" w:hAnsi="宋体" w:eastAsia="宋体" w:cs="宋体"/>
          <w:color w:val="auto"/>
          <w:sz w:val="32"/>
        </w:rPr>
      </w:pPr>
    </w:p>
    <w:p w14:paraId="545AD658">
      <w:pPr>
        <w:pStyle w:val="10"/>
        <w:spacing w:line="360" w:lineRule="auto"/>
        <w:ind w:left="1606" w:hanging="1606" w:hangingChars="500"/>
        <w:rPr>
          <w:rFonts w:hint="eastAsia" w:ascii="宋体" w:hAnsi="宋体" w:eastAsia="宋体" w:cs="宋体"/>
          <w:color w:val="auto"/>
          <w:sz w:val="32"/>
        </w:rPr>
      </w:pPr>
    </w:p>
    <w:p w14:paraId="3BDDC03E">
      <w:pPr>
        <w:pStyle w:val="10"/>
        <w:spacing w:line="360" w:lineRule="auto"/>
        <w:ind w:left="1606" w:hanging="1606" w:hangingChars="500"/>
        <w:rPr>
          <w:rFonts w:hint="eastAsia" w:ascii="宋体" w:hAnsi="宋体" w:eastAsia="宋体" w:cs="宋体"/>
          <w:color w:val="auto"/>
          <w:sz w:val="32"/>
        </w:rPr>
      </w:pPr>
    </w:p>
    <w:p w14:paraId="4524CEEF">
      <w:pPr>
        <w:pStyle w:val="10"/>
        <w:spacing w:line="360" w:lineRule="auto"/>
        <w:ind w:left="1606" w:hanging="1606" w:hangingChars="500"/>
        <w:rPr>
          <w:rFonts w:hint="eastAsia" w:ascii="宋体" w:hAnsi="宋体" w:eastAsia="宋体" w:cs="宋体"/>
          <w:color w:val="auto"/>
          <w:sz w:val="32"/>
        </w:rPr>
      </w:pPr>
    </w:p>
    <w:p w14:paraId="30237A72">
      <w:pPr>
        <w:pStyle w:val="10"/>
        <w:spacing w:line="360" w:lineRule="auto"/>
        <w:ind w:left="1600" w:hanging="1600" w:hangingChars="500"/>
        <w:rPr>
          <w:rFonts w:hint="eastAsia" w:ascii="宋体" w:hAnsi="宋体" w:eastAsia="宋体" w:cs="宋体"/>
          <w:b w:val="0"/>
          <w:bCs/>
          <w:color w:val="auto"/>
          <w:sz w:val="32"/>
          <w:szCs w:val="32"/>
        </w:rPr>
      </w:pPr>
      <w:r>
        <w:rPr>
          <w:rFonts w:hint="eastAsia" w:ascii="宋体" w:hAnsi="宋体" w:eastAsia="宋体" w:cs="宋体"/>
          <w:b w:val="0"/>
          <w:bCs/>
          <w:color w:val="auto"/>
          <w:sz w:val="32"/>
          <w:szCs w:val="32"/>
        </w:rPr>
        <w:t>项目名称：周口市生态环境局郸城分局郸城县入河排污口规范化建设工程</w:t>
      </w:r>
    </w:p>
    <w:p w14:paraId="5C1D362A">
      <w:pPr>
        <w:pStyle w:val="10"/>
        <w:spacing w:line="360" w:lineRule="auto"/>
        <w:ind w:left="1600" w:hanging="1600" w:hangingChars="500"/>
        <w:rPr>
          <w:rFonts w:hint="default" w:ascii="宋体" w:hAnsi="宋体" w:eastAsia="宋体"/>
          <w:b w:val="0"/>
          <w:bCs/>
          <w:color w:val="auto"/>
          <w:spacing w:val="-4"/>
          <w:sz w:val="32"/>
          <w:szCs w:val="32"/>
          <w:lang w:val="en-US" w:eastAsia="zh-CN"/>
        </w:rPr>
      </w:pPr>
      <w:r>
        <w:rPr>
          <w:rFonts w:hint="eastAsia" w:ascii="宋体" w:hAnsi="宋体" w:eastAsia="宋体" w:cs="宋体"/>
          <w:b w:val="0"/>
          <w:bCs/>
          <w:color w:val="auto"/>
          <w:sz w:val="32"/>
          <w:szCs w:val="32"/>
        </w:rPr>
        <w:t>项目编号：郸财招标采购-2025-</w:t>
      </w:r>
      <w:r>
        <w:rPr>
          <w:rFonts w:hint="eastAsia" w:ascii="宋体" w:hAnsi="宋体" w:eastAsia="宋体" w:cs="宋体"/>
          <w:b w:val="0"/>
          <w:bCs/>
          <w:color w:val="auto"/>
          <w:sz w:val="32"/>
          <w:szCs w:val="32"/>
          <w:lang w:val="en-US" w:eastAsia="zh-CN"/>
        </w:rPr>
        <w:t>30</w:t>
      </w:r>
    </w:p>
    <w:p w14:paraId="67B3BF6C">
      <w:pPr>
        <w:tabs>
          <w:tab w:val="left" w:pos="315"/>
          <w:tab w:val="left" w:pos="8820"/>
        </w:tabs>
        <w:spacing w:line="500" w:lineRule="exact"/>
        <w:ind w:right="267" w:rightChars="127"/>
        <w:jc w:val="center"/>
        <w:rPr>
          <w:rFonts w:hint="eastAsia" w:ascii="宋体" w:hAnsi="宋体" w:cs="宋体"/>
          <w:bCs/>
          <w:color w:val="auto"/>
          <w:sz w:val="32"/>
          <w:szCs w:val="32"/>
        </w:rPr>
      </w:pPr>
    </w:p>
    <w:p w14:paraId="75C38E16">
      <w:pPr>
        <w:tabs>
          <w:tab w:val="left" w:pos="315"/>
          <w:tab w:val="left" w:pos="8820"/>
        </w:tabs>
        <w:spacing w:line="500" w:lineRule="exact"/>
        <w:ind w:right="267" w:rightChars="127"/>
        <w:jc w:val="center"/>
        <w:rPr>
          <w:rFonts w:hint="eastAsia" w:ascii="宋体" w:hAnsi="宋体" w:cs="宋体"/>
          <w:b/>
          <w:bCs/>
          <w:color w:val="auto"/>
          <w:sz w:val="36"/>
        </w:rPr>
      </w:pPr>
      <w:r>
        <w:rPr>
          <w:rFonts w:hint="eastAsia" w:ascii="宋体" w:hAnsi="宋体" w:cs="宋体"/>
          <w:bCs/>
          <w:color w:val="auto"/>
          <w:sz w:val="32"/>
          <w:szCs w:val="32"/>
        </w:rPr>
        <w:t>2025年</w:t>
      </w:r>
      <w:r>
        <w:rPr>
          <w:rFonts w:hint="eastAsia" w:ascii="宋体" w:hAnsi="宋体" w:cs="宋体"/>
          <w:bCs/>
          <w:color w:val="auto"/>
          <w:sz w:val="32"/>
          <w:szCs w:val="32"/>
          <w:lang w:val="en-US" w:eastAsia="zh-CN"/>
        </w:rPr>
        <w:t>11</w:t>
      </w:r>
      <w:r>
        <w:rPr>
          <w:rFonts w:hint="eastAsia" w:ascii="宋体" w:hAnsi="宋体" w:cs="宋体"/>
          <w:bCs/>
          <w:color w:val="auto"/>
          <w:sz w:val="32"/>
          <w:szCs w:val="32"/>
        </w:rPr>
        <w:t>月</w:t>
      </w:r>
      <w:r>
        <w:rPr>
          <w:rFonts w:hint="eastAsia" w:ascii="宋体" w:hAnsi="宋体" w:cs="宋体"/>
          <w:bCs/>
          <w:color w:val="auto"/>
          <w:sz w:val="32"/>
          <w:szCs w:val="32"/>
          <w:lang w:val="en-US" w:eastAsia="zh-CN"/>
        </w:rPr>
        <w:t>7</w:t>
      </w:r>
      <w:r>
        <w:rPr>
          <w:rFonts w:hint="eastAsia" w:ascii="宋体" w:hAnsi="宋体" w:cs="宋体"/>
          <w:bCs/>
          <w:color w:val="auto"/>
          <w:sz w:val="32"/>
          <w:szCs w:val="32"/>
        </w:rPr>
        <w:t>日</w:t>
      </w:r>
    </w:p>
    <w:p w14:paraId="6A2EEBDC">
      <w:pPr>
        <w:spacing w:line="360" w:lineRule="auto"/>
        <w:jc w:val="left"/>
        <w:rPr>
          <w:rFonts w:hint="eastAsia" w:ascii="宋体" w:hAnsi="宋体"/>
          <w:bCs/>
          <w:color w:val="auto"/>
          <w:spacing w:val="-4"/>
          <w:sz w:val="44"/>
        </w:rPr>
      </w:pPr>
      <w:bookmarkStart w:id="173" w:name="_GoBack"/>
      <w:bookmarkEnd w:id="173"/>
    </w:p>
    <w:p w14:paraId="251B3928">
      <w:pPr>
        <w:pStyle w:val="10"/>
        <w:jc w:val="center"/>
        <w:rPr>
          <w:rFonts w:hint="eastAsia" w:ascii="宋体" w:hAnsi="宋体" w:eastAsia="宋体" w:cs="宋体"/>
          <w:color w:val="auto"/>
        </w:rPr>
      </w:pPr>
    </w:p>
    <w:p w14:paraId="206C6C08">
      <w:pPr>
        <w:tabs>
          <w:tab w:val="left" w:pos="4620"/>
        </w:tabs>
        <w:spacing w:line="500" w:lineRule="exact"/>
        <w:jc w:val="center"/>
        <w:rPr>
          <w:rFonts w:hint="eastAsia" w:ascii="宋体" w:hAnsi="宋体" w:cs="宋体"/>
          <w:b/>
          <w:color w:val="auto"/>
          <w:sz w:val="32"/>
        </w:rPr>
      </w:pPr>
      <w:r>
        <w:rPr>
          <w:rFonts w:hint="eastAsia" w:ascii="宋体" w:hAnsi="宋体" w:cs="宋体"/>
          <w:b/>
          <w:color w:val="auto"/>
          <w:sz w:val="32"/>
        </w:rPr>
        <w:t>目  录</w:t>
      </w:r>
    </w:p>
    <w:p w14:paraId="7A7920BB">
      <w:pPr>
        <w:pStyle w:val="22"/>
        <w:tabs>
          <w:tab w:val="right" w:leader="dot" w:pos="8380"/>
        </w:tabs>
        <w:spacing w:line="360" w:lineRule="auto"/>
        <w:rPr>
          <w:b/>
          <w:color w:val="auto"/>
          <w:sz w:val="24"/>
          <w:szCs w:val="22"/>
        </w:rPr>
      </w:pPr>
      <w:bookmarkStart w:id="0" w:name="_Hlt526418134"/>
      <w:bookmarkEnd w:id="0"/>
      <w:bookmarkStart w:id="1" w:name="_Hlt533241375"/>
      <w:bookmarkEnd w:id="1"/>
      <w:bookmarkStart w:id="2" w:name="_Hlt519045295"/>
      <w:bookmarkEnd w:id="2"/>
      <w:r>
        <w:rPr>
          <w:rFonts w:hint="eastAsia"/>
          <w:b/>
          <w:color w:val="auto"/>
          <w:sz w:val="24"/>
          <w:szCs w:val="22"/>
        </w:rPr>
        <w:fldChar w:fldCharType="begin"/>
      </w:r>
      <w:r>
        <w:rPr>
          <w:rFonts w:hint="eastAsia"/>
          <w:b/>
          <w:color w:val="auto"/>
          <w:sz w:val="24"/>
          <w:szCs w:val="22"/>
        </w:rPr>
        <w:instrText xml:space="preserve"> TOC \o "1-3" \h \z </w:instrText>
      </w:r>
      <w:r>
        <w:rPr>
          <w:rFonts w:hint="eastAsia"/>
          <w:b/>
          <w:color w:val="auto"/>
          <w:sz w:val="24"/>
          <w:szCs w:val="22"/>
        </w:rPr>
        <w:fldChar w:fldCharType="separate"/>
      </w:r>
      <w:r>
        <w:rPr>
          <w:color w:val="auto"/>
        </w:rPr>
        <w:fldChar w:fldCharType="begin"/>
      </w:r>
      <w:r>
        <w:rPr>
          <w:color w:val="auto"/>
        </w:rPr>
        <w:instrText xml:space="preserve"> HYPERLINK \l "_Toc40975436" </w:instrText>
      </w:r>
      <w:r>
        <w:rPr>
          <w:color w:val="auto"/>
        </w:rPr>
        <w:fldChar w:fldCharType="separate"/>
      </w:r>
      <w:r>
        <w:rPr>
          <w:rFonts w:hint="eastAsia"/>
          <w:b/>
          <w:color w:val="auto"/>
          <w:sz w:val="24"/>
          <w:szCs w:val="22"/>
        </w:rPr>
        <w:t>第一章</w:t>
      </w:r>
      <w:r>
        <w:rPr>
          <w:b/>
          <w:color w:val="auto"/>
          <w:sz w:val="24"/>
          <w:szCs w:val="22"/>
        </w:rPr>
        <w:t xml:space="preserve">  </w:t>
      </w:r>
      <w:r>
        <w:rPr>
          <w:rFonts w:hint="eastAsia"/>
          <w:b/>
          <w:color w:val="auto"/>
          <w:sz w:val="24"/>
          <w:szCs w:val="22"/>
        </w:rPr>
        <w:t>招标公告</w:t>
      </w:r>
      <w:r>
        <w:rPr>
          <w:b/>
          <w:color w:val="auto"/>
          <w:sz w:val="24"/>
          <w:szCs w:val="22"/>
        </w:rPr>
        <w:tab/>
      </w:r>
      <w:r>
        <w:rPr>
          <w:b/>
          <w:color w:val="auto"/>
          <w:sz w:val="24"/>
          <w:szCs w:val="22"/>
        </w:rPr>
        <w:fldChar w:fldCharType="begin"/>
      </w:r>
      <w:r>
        <w:rPr>
          <w:b/>
          <w:color w:val="auto"/>
          <w:sz w:val="24"/>
          <w:szCs w:val="22"/>
        </w:rPr>
        <w:instrText xml:space="preserve"> PAGEREF _Toc40975436 \h </w:instrText>
      </w:r>
      <w:r>
        <w:rPr>
          <w:b/>
          <w:color w:val="auto"/>
          <w:sz w:val="24"/>
          <w:szCs w:val="22"/>
        </w:rPr>
        <w:fldChar w:fldCharType="separate"/>
      </w:r>
      <w:r>
        <w:rPr>
          <w:b/>
          <w:color w:val="auto"/>
          <w:sz w:val="24"/>
          <w:szCs w:val="22"/>
        </w:rPr>
        <w:t>3</w:t>
      </w:r>
      <w:r>
        <w:rPr>
          <w:b/>
          <w:color w:val="auto"/>
          <w:sz w:val="24"/>
          <w:szCs w:val="22"/>
        </w:rPr>
        <w:fldChar w:fldCharType="end"/>
      </w:r>
      <w:r>
        <w:rPr>
          <w:b/>
          <w:color w:val="auto"/>
          <w:sz w:val="24"/>
          <w:szCs w:val="22"/>
        </w:rPr>
        <w:fldChar w:fldCharType="end"/>
      </w:r>
    </w:p>
    <w:p w14:paraId="13E99E1F">
      <w:pPr>
        <w:pStyle w:val="22"/>
        <w:tabs>
          <w:tab w:val="right" w:leader="dot" w:pos="8380"/>
        </w:tabs>
        <w:spacing w:line="360" w:lineRule="auto"/>
        <w:rPr>
          <w:b/>
          <w:color w:val="auto"/>
          <w:sz w:val="24"/>
          <w:szCs w:val="22"/>
        </w:rPr>
      </w:pPr>
      <w:r>
        <w:rPr>
          <w:color w:val="auto"/>
        </w:rPr>
        <w:fldChar w:fldCharType="begin"/>
      </w:r>
      <w:r>
        <w:rPr>
          <w:color w:val="auto"/>
        </w:rPr>
        <w:instrText xml:space="preserve"> HYPERLINK \l "_Toc40975437" </w:instrText>
      </w:r>
      <w:r>
        <w:rPr>
          <w:color w:val="auto"/>
        </w:rPr>
        <w:fldChar w:fldCharType="separate"/>
      </w:r>
      <w:r>
        <w:rPr>
          <w:rFonts w:hint="eastAsia"/>
          <w:b/>
          <w:color w:val="auto"/>
          <w:sz w:val="24"/>
          <w:szCs w:val="22"/>
        </w:rPr>
        <w:t>第二章</w:t>
      </w:r>
      <w:r>
        <w:rPr>
          <w:b/>
          <w:color w:val="auto"/>
          <w:sz w:val="24"/>
          <w:szCs w:val="22"/>
        </w:rPr>
        <w:t xml:space="preserve"> </w:t>
      </w:r>
      <w:r>
        <w:rPr>
          <w:rFonts w:hint="eastAsia"/>
          <w:b/>
          <w:color w:val="auto"/>
          <w:sz w:val="24"/>
          <w:szCs w:val="22"/>
        </w:rPr>
        <w:t>投标人须知前附表</w:t>
      </w:r>
      <w:r>
        <w:rPr>
          <w:b/>
          <w:color w:val="auto"/>
          <w:sz w:val="24"/>
          <w:szCs w:val="22"/>
        </w:rPr>
        <w:tab/>
      </w:r>
      <w:r>
        <w:rPr>
          <w:rFonts w:hint="eastAsia"/>
          <w:b/>
          <w:color w:val="auto"/>
          <w:sz w:val="24"/>
          <w:szCs w:val="22"/>
        </w:rPr>
        <w:t>6</w:t>
      </w:r>
      <w:r>
        <w:rPr>
          <w:rFonts w:hint="eastAsia"/>
          <w:b/>
          <w:color w:val="auto"/>
          <w:sz w:val="24"/>
          <w:szCs w:val="22"/>
        </w:rPr>
        <w:fldChar w:fldCharType="end"/>
      </w:r>
    </w:p>
    <w:p w14:paraId="0463CC3A">
      <w:pPr>
        <w:pStyle w:val="22"/>
        <w:tabs>
          <w:tab w:val="right" w:leader="dot" w:pos="8380"/>
        </w:tabs>
        <w:spacing w:line="360" w:lineRule="auto"/>
        <w:rPr>
          <w:b/>
          <w:color w:val="auto"/>
          <w:sz w:val="24"/>
          <w:szCs w:val="22"/>
        </w:rPr>
      </w:pPr>
      <w:r>
        <w:rPr>
          <w:color w:val="auto"/>
        </w:rPr>
        <w:fldChar w:fldCharType="begin"/>
      </w:r>
      <w:r>
        <w:rPr>
          <w:color w:val="auto"/>
        </w:rPr>
        <w:instrText xml:space="preserve"> HYPERLINK \l "_Toc40975438" </w:instrText>
      </w:r>
      <w:r>
        <w:rPr>
          <w:color w:val="auto"/>
        </w:rPr>
        <w:fldChar w:fldCharType="separate"/>
      </w:r>
      <w:r>
        <w:rPr>
          <w:rFonts w:hint="eastAsia"/>
          <w:b/>
          <w:color w:val="auto"/>
          <w:sz w:val="24"/>
          <w:szCs w:val="22"/>
        </w:rPr>
        <w:t>第三章</w:t>
      </w:r>
      <w:r>
        <w:rPr>
          <w:b/>
          <w:color w:val="auto"/>
          <w:sz w:val="24"/>
          <w:szCs w:val="22"/>
        </w:rPr>
        <w:t xml:space="preserve"> </w:t>
      </w:r>
      <w:r>
        <w:rPr>
          <w:rFonts w:hint="eastAsia"/>
          <w:b/>
          <w:color w:val="auto"/>
          <w:sz w:val="24"/>
          <w:szCs w:val="22"/>
        </w:rPr>
        <w:t>货物需求一览表</w:t>
      </w:r>
      <w:r>
        <w:rPr>
          <w:b/>
          <w:color w:val="auto"/>
          <w:sz w:val="24"/>
          <w:szCs w:val="22"/>
        </w:rPr>
        <w:tab/>
      </w:r>
      <w:r>
        <w:rPr>
          <w:rFonts w:hint="eastAsia"/>
          <w:b/>
          <w:color w:val="auto"/>
          <w:sz w:val="24"/>
          <w:szCs w:val="22"/>
        </w:rPr>
        <w:t>8</w:t>
      </w:r>
      <w:r>
        <w:rPr>
          <w:rFonts w:hint="eastAsia"/>
          <w:b/>
          <w:color w:val="auto"/>
          <w:sz w:val="24"/>
          <w:szCs w:val="22"/>
        </w:rPr>
        <w:fldChar w:fldCharType="end"/>
      </w:r>
    </w:p>
    <w:p w14:paraId="039E930F">
      <w:pPr>
        <w:pStyle w:val="22"/>
        <w:tabs>
          <w:tab w:val="right" w:leader="dot" w:pos="8380"/>
        </w:tabs>
        <w:spacing w:line="360" w:lineRule="auto"/>
        <w:rPr>
          <w:b/>
          <w:color w:val="auto"/>
          <w:sz w:val="24"/>
          <w:szCs w:val="22"/>
        </w:rPr>
      </w:pPr>
      <w:r>
        <w:rPr>
          <w:color w:val="auto"/>
        </w:rPr>
        <w:fldChar w:fldCharType="begin"/>
      </w:r>
      <w:r>
        <w:rPr>
          <w:color w:val="auto"/>
        </w:rPr>
        <w:instrText xml:space="preserve"> HYPERLINK \l "_Toc40975439" </w:instrText>
      </w:r>
      <w:r>
        <w:rPr>
          <w:color w:val="auto"/>
        </w:rPr>
        <w:fldChar w:fldCharType="separate"/>
      </w:r>
      <w:r>
        <w:rPr>
          <w:rFonts w:hint="eastAsia"/>
          <w:b/>
          <w:color w:val="auto"/>
          <w:sz w:val="24"/>
          <w:szCs w:val="22"/>
        </w:rPr>
        <w:t>第四章</w:t>
      </w:r>
      <w:r>
        <w:rPr>
          <w:b/>
          <w:color w:val="auto"/>
          <w:sz w:val="24"/>
          <w:szCs w:val="22"/>
        </w:rPr>
        <w:t xml:space="preserve"> </w:t>
      </w:r>
      <w:r>
        <w:rPr>
          <w:rFonts w:hint="eastAsia"/>
          <w:b/>
          <w:color w:val="auto"/>
          <w:sz w:val="24"/>
          <w:szCs w:val="22"/>
        </w:rPr>
        <w:t>评标</w:t>
      </w:r>
      <w:bookmarkStart w:id="3" w:name="_Hlt47544340"/>
      <w:bookmarkStart w:id="4" w:name="_Hlt47544341"/>
      <w:r>
        <w:rPr>
          <w:rFonts w:hint="eastAsia"/>
          <w:b/>
          <w:color w:val="auto"/>
          <w:sz w:val="24"/>
          <w:szCs w:val="22"/>
        </w:rPr>
        <w:t>办</w:t>
      </w:r>
      <w:bookmarkEnd w:id="3"/>
      <w:bookmarkEnd w:id="4"/>
      <w:r>
        <w:rPr>
          <w:rFonts w:hint="eastAsia"/>
          <w:b/>
          <w:color w:val="auto"/>
          <w:sz w:val="24"/>
          <w:szCs w:val="22"/>
        </w:rPr>
        <w:t>法</w:t>
      </w:r>
      <w:r>
        <w:rPr>
          <w:b/>
          <w:color w:val="auto"/>
          <w:sz w:val="24"/>
          <w:szCs w:val="22"/>
        </w:rPr>
        <w:tab/>
      </w:r>
      <w:r>
        <w:rPr>
          <w:rFonts w:hint="eastAsia"/>
          <w:b/>
          <w:color w:val="auto"/>
          <w:sz w:val="24"/>
          <w:szCs w:val="22"/>
        </w:rPr>
        <w:t>1</w:t>
      </w:r>
      <w:r>
        <w:rPr>
          <w:rFonts w:hint="eastAsia"/>
          <w:b/>
          <w:color w:val="auto"/>
          <w:sz w:val="24"/>
          <w:szCs w:val="22"/>
        </w:rPr>
        <w:fldChar w:fldCharType="end"/>
      </w:r>
      <w:r>
        <w:rPr>
          <w:rFonts w:hint="eastAsia"/>
          <w:b/>
          <w:color w:val="auto"/>
          <w:sz w:val="24"/>
          <w:szCs w:val="22"/>
        </w:rPr>
        <w:t>1</w:t>
      </w:r>
    </w:p>
    <w:p w14:paraId="757C4C96">
      <w:pPr>
        <w:pStyle w:val="22"/>
        <w:tabs>
          <w:tab w:val="right" w:leader="dot" w:pos="8380"/>
        </w:tabs>
        <w:spacing w:line="360" w:lineRule="auto"/>
        <w:rPr>
          <w:b/>
          <w:color w:val="auto"/>
          <w:sz w:val="24"/>
          <w:szCs w:val="22"/>
        </w:rPr>
      </w:pPr>
      <w:r>
        <w:rPr>
          <w:color w:val="auto"/>
        </w:rPr>
        <w:fldChar w:fldCharType="begin"/>
      </w:r>
      <w:r>
        <w:rPr>
          <w:color w:val="auto"/>
        </w:rPr>
        <w:instrText xml:space="preserve"> HYPERLINK \l "_Toc40975441" </w:instrText>
      </w:r>
      <w:r>
        <w:rPr>
          <w:color w:val="auto"/>
        </w:rPr>
        <w:fldChar w:fldCharType="separate"/>
      </w:r>
      <w:r>
        <w:rPr>
          <w:rFonts w:hint="eastAsia"/>
          <w:b/>
          <w:color w:val="auto"/>
          <w:sz w:val="24"/>
          <w:szCs w:val="22"/>
        </w:rPr>
        <w:t>第五章</w:t>
      </w:r>
      <w:r>
        <w:rPr>
          <w:b/>
          <w:color w:val="auto"/>
          <w:sz w:val="24"/>
          <w:szCs w:val="22"/>
        </w:rPr>
        <w:t xml:space="preserve"> </w:t>
      </w:r>
      <w:r>
        <w:rPr>
          <w:rFonts w:hint="eastAsia"/>
          <w:b/>
          <w:color w:val="auto"/>
          <w:sz w:val="24"/>
          <w:szCs w:val="22"/>
        </w:rPr>
        <w:t>投标人须知</w:t>
      </w:r>
      <w:r>
        <w:rPr>
          <w:b/>
          <w:color w:val="auto"/>
          <w:sz w:val="24"/>
          <w:szCs w:val="22"/>
        </w:rPr>
        <w:tab/>
      </w:r>
      <w:r>
        <w:rPr>
          <w:rFonts w:hint="eastAsia"/>
          <w:b/>
          <w:color w:val="auto"/>
          <w:sz w:val="24"/>
          <w:szCs w:val="22"/>
        </w:rPr>
        <w:t>1</w:t>
      </w:r>
      <w:r>
        <w:rPr>
          <w:rFonts w:hint="eastAsia"/>
          <w:b/>
          <w:color w:val="auto"/>
          <w:sz w:val="24"/>
          <w:szCs w:val="22"/>
        </w:rPr>
        <w:fldChar w:fldCharType="end"/>
      </w:r>
      <w:r>
        <w:rPr>
          <w:rFonts w:hint="eastAsia"/>
          <w:b/>
          <w:color w:val="auto"/>
          <w:sz w:val="24"/>
          <w:szCs w:val="22"/>
        </w:rPr>
        <w:t>6</w:t>
      </w:r>
    </w:p>
    <w:p w14:paraId="3C9301CA">
      <w:pPr>
        <w:pStyle w:val="22"/>
        <w:tabs>
          <w:tab w:val="right" w:leader="dot" w:pos="8380"/>
        </w:tabs>
        <w:spacing w:line="360" w:lineRule="auto"/>
        <w:rPr>
          <w:b/>
          <w:color w:val="auto"/>
          <w:sz w:val="24"/>
          <w:szCs w:val="22"/>
        </w:rPr>
      </w:pPr>
      <w:r>
        <w:rPr>
          <w:color w:val="auto"/>
        </w:rPr>
        <w:fldChar w:fldCharType="begin"/>
      </w:r>
      <w:r>
        <w:rPr>
          <w:color w:val="auto"/>
        </w:rPr>
        <w:instrText xml:space="preserve"> HYPERLINK \l "_Toc40975448" </w:instrText>
      </w:r>
      <w:r>
        <w:rPr>
          <w:color w:val="auto"/>
        </w:rPr>
        <w:fldChar w:fldCharType="separate"/>
      </w:r>
      <w:r>
        <w:rPr>
          <w:rFonts w:hint="eastAsia"/>
          <w:b/>
          <w:color w:val="auto"/>
          <w:sz w:val="24"/>
          <w:szCs w:val="22"/>
        </w:rPr>
        <w:t>第六章</w:t>
      </w:r>
      <w:r>
        <w:rPr>
          <w:b/>
          <w:color w:val="auto"/>
          <w:sz w:val="24"/>
          <w:szCs w:val="22"/>
        </w:rPr>
        <w:t xml:space="preserve"> </w:t>
      </w:r>
      <w:r>
        <w:rPr>
          <w:rFonts w:hint="eastAsia"/>
          <w:b/>
          <w:color w:val="auto"/>
          <w:sz w:val="24"/>
          <w:szCs w:val="22"/>
        </w:rPr>
        <w:t>周口市政府采购合同（货物类）标准文本、合同签订指引、供应商履约验收指引</w:t>
      </w:r>
      <w:r>
        <w:rPr>
          <w:b/>
          <w:color w:val="auto"/>
          <w:sz w:val="24"/>
          <w:szCs w:val="22"/>
        </w:rPr>
        <w:tab/>
      </w:r>
      <w:r>
        <w:rPr>
          <w:rFonts w:hint="eastAsia"/>
          <w:b/>
          <w:color w:val="auto"/>
          <w:sz w:val="24"/>
          <w:szCs w:val="22"/>
        </w:rPr>
        <w:t>2</w:t>
      </w:r>
      <w:r>
        <w:rPr>
          <w:rFonts w:hint="eastAsia"/>
          <w:b/>
          <w:color w:val="auto"/>
          <w:sz w:val="24"/>
          <w:szCs w:val="22"/>
        </w:rPr>
        <w:fldChar w:fldCharType="end"/>
      </w:r>
      <w:r>
        <w:rPr>
          <w:rFonts w:hint="eastAsia"/>
          <w:b/>
          <w:color w:val="auto"/>
          <w:sz w:val="24"/>
          <w:szCs w:val="22"/>
        </w:rPr>
        <w:t>9</w:t>
      </w:r>
    </w:p>
    <w:p w14:paraId="6EB8806A">
      <w:pPr>
        <w:pStyle w:val="22"/>
        <w:tabs>
          <w:tab w:val="right" w:leader="dot" w:pos="8380"/>
        </w:tabs>
        <w:spacing w:line="360" w:lineRule="auto"/>
        <w:rPr>
          <w:b/>
          <w:color w:val="auto"/>
          <w:sz w:val="24"/>
          <w:szCs w:val="22"/>
        </w:rPr>
      </w:pPr>
      <w:r>
        <w:rPr>
          <w:rFonts w:hint="eastAsia"/>
          <w:b/>
          <w:color w:val="auto"/>
          <w:sz w:val="24"/>
          <w:szCs w:val="22"/>
        </w:rPr>
        <w:t>第七章 投标文件格式</w:t>
      </w:r>
      <w:r>
        <w:rPr>
          <w:rFonts w:hint="eastAsia"/>
          <w:b/>
          <w:color w:val="auto"/>
          <w:sz w:val="24"/>
          <w:szCs w:val="22"/>
        </w:rPr>
        <w:tab/>
      </w:r>
      <w:r>
        <w:rPr>
          <w:rFonts w:hint="eastAsia"/>
          <w:b/>
          <w:color w:val="auto"/>
          <w:sz w:val="24"/>
          <w:szCs w:val="22"/>
        </w:rPr>
        <w:t>36</w:t>
      </w:r>
    </w:p>
    <w:p w14:paraId="37236123">
      <w:pPr>
        <w:pStyle w:val="22"/>
        <w:tabs>
          <w:tab w:val="right" w:leader="dot" w:pos="8380"/>
        </w:tabs>
        <w:spacing w:line="360" w:lineRule="auto"/>
        <w:rPr>
          <w:b/>
          <w:color w:val="auto"/>
          <w:sz w:val="24"/>
          <w:szCs w:val="22"/>
        </w:rPr>
      </w:pPr>
      <w:r>
        <w:rPr>
          <w:rFonts w:hint="eastAsia"/>
          <w:b/>
          <w:color w:val="auto"/>
          <w:sz w:val="24"/>
          <w:szCs w:val="22"/>
        </w:rPr>
        <w:t>周口市政府采购合同融资政策告知函</w:t>
      </w:r>
      <w:r>
        <w:rPr>
          <w:rFonts w:hint="eastAsia"/>
          <w:b/>
          <w:color w:val="auto"/>
          <w:sz w:val="24"/>
          <w:szCs w:val="22"/>
        </w:rPr>
        <w:tab/>
      </w:r>
      <w:r>
        <w:rPr>
          <w:rFonts w:hint="eastAsia"/>
          <w:b/>
          <w:color w:val="auto"/>
          <w:sz w:val="24"/>
          <w:szCs w:val="22"/>
        </w:rPr>
        <w:t>48</w:t>
      </w:r>
    </w:p>
    <w:p w14:paraId="635254A7">
      <w:pPr>
        <w:pStyle w:val="22"/>
        <w:tabs>
          <w:tab w:val="right" w:leader="dot" w:pos="8380"/>
        </w:tabs>
        <w:spacing w:line="360" w:lineRule="auto"/>
        <w:rPr>
          <w:b/>
          <w:color w:val="auto"/>
          <w:sz w:val="24"/>
          <w:szCs w:val="22"/>
        </w:rPr>
      </w:pPr>
    </w:p>
    <w:p w14:paraId="68867BCF">
      <w:pPr>
        <w:rPr>
          <w:color w:val="auto"/>
        </w:rPr>
      </w:pPr>
    </w:p>
    <w:p w14:paraId="0A4898AF">
      <w:pPr>
        <w:rPr>
          <w:color w:val="auto"/>
        </w:rPr>
      </w:pPr>
    </w:p>
    <w:p w14:paraId="1E1614F1">
      <w:pPr>
        <w:pStyle w:val="22"/>
        <w:tabs>
          <w:tab w:val="right" w:leader="dot" w:pos="8380"/>
        </w:tabs>
        <w:spacing w:line="360" w:lineRule="auto"/>
        <w:rPr>
          <w:b/>
          <w:color w:val="auto"/>
          <w:sz w:val="24"/>
          <w:szCs w:val="22"/>
        </w:rPr>
      </w:pPr>
    </w:p>
    <w:p w14:paraId="502E3133">
      <w:pPr>
        <w:pStyle w:val="22"/>
        <w:tabs>
          <w:tab w:val="right" w:leader="dot" w:pos="8380"/>
        </w:tabs>
        <w:spacing w:line="360" w:lineRule="auto"/>
        <w:rPr>
          <w:b/>
          <w:color w:val="auto"/>
          <w:sz w:val="24"/>
          <w:szCs w:val="22"/>
        </w:rPr>
      </w:pPr>
      <w:r>
        <w:rPr>
          <w:rFonts w:hint="eastAsia"/>
          <w:b/>
          <w:color w:val="auto"/>
          <w:sz w:val="24"/>
          <w:szCs w:val="22"/>
        </w:rPr>
        <w:fldChar w:fldCharType="end"/>
      </w:r>
    </w:p>
    <w:p w14:paraId="17224E97">
      <w:pPr>
        <w:rPr>
          <w:rFonts w:hint="eastAsia" w:ascii="宋体" w:hAnsi="宋体" w:cs="宋体"/>
          <w:b/>
          <w:bCs/>
          <w:caps/>
          <w:color w:val="auto"/>
          <w:sz w:val="24"/>
          <w:szCs w:val="24"/>
        </w:rPr>
      </w:pPr>
    </w:p>
    <w:p w14:paraId="1A2DC143">
      <w:pPr>
        <w:rPr>
          <w:rFonts w:hint="eastAsia" w:ascii="宋体" w:hAnsi="宋体" w:cs="宋体"/>
          <w:b/>
          <w:bCs/>
          <w:caps/>
          <w:color w:val="auto"/>
          <w:sz w:val="24"/>
          <w:szCs w:val="24"/>
        </w:rPr>
      </w:pPr>
    </w:p>
    <w:p w14:paraId="685BE8FA">
      <w:pPr>
        <w:rPr>
          <w:rFonts w:hint="eastAsia" w:ascii="宋体" w:hAnsi="宋体" w:cs="宋体"/>
          <w:b/>
          <w:bCs/>
          <w:caps/>
          <w:color w:val="auto"/>
          <w:sz w:val="24"/>
          <w:szCs w:val="24"/>
        </w:rPr>
      </w:pPr>
    </w:p>
    <w:p w14:paraId="29059D28">
      <w:pPr>
        <w:rPr>
          <w:rFonts w:hint="eastAsia" w:ascii="宋体" w:hAnsi="宋体" w:cs="宋体"/>
          <w:b/>
          <w:bCs/>
          <w:caps/>
          <w:color w:val="auto"/>
          <w:sz w:val="24"/>
          <w:szCs w:val="24"/>
        </w:rPr>
      </w:pPr>
    </w:p>
    <w:p w14:paraId="576AD54E">
      <w:pPr>
        <w:rPr>
          <w:rFonts w:hint="eastAsia" w:ascii="宋体" w:hAnsi="宋体" w:cs="宋体"/>
          <w:b/>
          <w:bCs/>
          <w:caps/>
          <w:color w:val="auto"/>
          <w:sz w:val="24"/>
          <w:szCs w:val="24"/>
        </w:rPr>
      </w:pPr>
    </w:p>
    <w:p w14:paraId="38860001">
      <w:pPr>
        <w:rPr>
          <w:rFonts w:hint="eastAsia" w:ascii="宋体" w:hAnsi="宋体" w:cs="宋体"/>
          <w:b/>
          <w:bCs/>
          <w:caps/>
          <w:color w:val="auto"/>
          <w:sz w:val="24"/>
          <w:szCs w:val="24"/>
        </w:rPr>
      </w:pPr>
    </w:p>
    <w:p w14:paraId="07BB0B12">
      <w:pPr>
        <w:rPr>
          <w:rFonts w:hint="eastAsia" w:ascii="宋体" w:hAnsi="宋体" w:cs="宋体"/>
          <w:b/>
          <w:bCs/>
          <w:caps/>
          <w:color w:val="auto"/>
          <w:sz w:val="24"/>
          <w:szCs w:val="24"/>
        </w:rPr>
      </w:pPr>
    </w:p>
    <w:p w14:paraId="2DA469D0">
      <w:pPr>
        <w:rPr>
          <w:rFonts w:hint="eastAsia" w:ascii="宋体" w:hAnsi="宋体" w:cs="宋体"/>
          <w:b/>
          <w:bCs/>
          <w:caps/>
          <w:color w:val="auto"/>
          <w:sz w:val="24"/>
          <w:szCs w:val="24"/>
        </w:rPr>
      </w:pPr>
    </w:p>
    <w:p w14:paraId="177C13DA">
      <w:pPr>
        <w:rPr>
          <w:rFonts w:hint="eastAsia" w:ascii="宋体" w:hAnsi="宋体" w:cs="宋体"/>
          <w:b/>
          <w:bCs/>
          <w:caps/>
          <w:color w:val="auto"/>
          <w:sz w:val="24"/>
          <w:szCs w:val="24"/>
        </w:rPr>
      </w:pPr>
    </w:p>
    <w:p w14:paraId="0E124A05">
      <w:pPr>
        <w:jc w:val="center"/>
        <w:rPr>
          <w:rFonts w:hint="eastAsia" w:ascii="宋体" w:hAnsi="宋体" w:cs="宋体"/>
          <w:b/>
          <w:bCs/>
          <w:caps/>
          <w:color w:val="auto"/>
          <w:sz w:val="24"/>
          <w:szCs w:val="24"/>
        </w:rPr>
      </w:pPr>
      <w:r>
        <w:rPr>
          <w:rFonts w:ascii="宋体" w:hAnsi="宋体" w:cs="宋体"/>
          <w:b/>
          <w:bCs/>
          <w:caps/>
          <w:color w:val="auto"/>
          <w:sz w:val="24"/>
          <w:szCs w:val="24"/>
        </w:rPr>
        <w:br w:type="page"/>
      </w:r>
    </w:p>
    <w:p w14:paraId="6EAE61A7">
      <w:pPr>
        <w:pStyle w:val="3"/>
        <w:spacing w:before="0" w:after="0" w:line="240" w:lineRule="auto"/>
        <w:ind w:firstLine="0"/>
        <w:rPr>
          <w:rFonts w:hint="eastAsia" w:ascii="宋体" w:hAnsi="宋体" w:eastAsia="宋体" w:cs="宋体"/>
          <w:color w:val="auto"/>
        </w:rPr>
      </w:pPr>
      <w:bookmarkStart w:id="5" w:name="_Toc40975436"/>
      <w:bookmarkStart w:id="6" w:name="_Toc28426_WPSOffice_Level1"/>
      <w:r>
        <w:rPr>
          <w:rFonts w:hint="eastAsia" w:ascii="宋体" w:hAnsi="宋体" w:eastAsia="宋体" w:cs="宋体"/>
          <w:color w:val="auto"/>
        </w:rPr>
        <w:t>第一章  招标公告</w:t>
      </w:r>
      <w:bookmarkEnd w:id="5"/>
      <w:bookmarkEnd w:id="6"/>
    </w:p>
    <w:p w14:paraId="32E53A95">
      <w:pPr>
        <w:pStyle w:val="25"/>
        <w:shd w:val="clear" w:color="auto" w:fill="FFFFFF"/>
        <w:snapToGrid w:val="0"/>
        <w:spacing w:before="0" w:beforeAutospacing="0" w:after="0" w:afterAutospacing="0" w:line="360" w:lineRule="auto"/>
        <w:ind w:firstLine="480"/>
        <w:jc w:val="both"/>
        <w:rPr>
          <w:rFonts w:hint="eastAsia" w:cs="宋体"/>
          <w:color w:val="auto"/>
          <w:shd w:val="clear" w:color="auto" w:fill="FFFFFF"/>
        </w:rPr>
      </w:pPr>
    </w:p>
    <w:p w14:paraId="1F0523CC">
      <w:pPr>
        <w:spacing w:line="360" w:lineRule="auto"/>
        <w:ind w:firstLine="480" w:firstLineChars="200"/>
        <w:jc w:val="left"/>
        <w:rPr>
          <w:rFonts w:hint="eastAsia" w:ascii="宋体" w:hAnsi="宋体" w:cs="宋体"/>
          <w:color w:val="auto"/>
          <w:sz w:val="24"/>
          <w:szCs w:val="24"/>
        </w:rPr>
      </w:pPr>
      <w:bookmarkStart w:id="7" w:name="_Hlt510343011"/>
      <w:bookmarkStart w:id="8" w:name="_Hlt510342998"/>
      <w:bookmarkStart w:id="9" w:name="_Toc7329_WPSOffice_Level1"/>
      <w:r>
        <w:rPr>
          <w:rFonts w:hint="eastAsia" w:ascii="宋体" w:hAnsi="宋体" w:cs="宋体"/>
          <w:color w:val="auto"/>
          <w:sz w:val="24"/>
          <w:szCs w:val="24"/>
        </w:rPr>
        <w:t>项目概况</w:t>
      </w:r>
    </w:p>
    <w:p w14:paraId="233B0F65">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周口市生态环境局郸城分局郸城县入河排污口规范化建设工程(项目名称)的潜在投标人应在周口市公共资源交易中心网（http://jyzx.zhoukou.gov.cn）获取招标文件，并于2025年  月   日10点00分（北京时间）前递交投标文件。</w:t>
      </w:r>
    </w:p>
    <w:p w14:paraId="2BCA57B4">
      <w:pPr>
        <w:spacing w:line="360" w:lineRule="auto"/>
        <w:ind w:firstLine="480" w:firstLineChars="200"/>
        <w:jc w:val="left"/>
        <w:rPr>
          <w:rFonts w:hint="eastAsia" w:ascii="宋体" w:hAnsi="宋体" w:cs="宋体"/>
          <w:color w:val="auto"/>
          <w:sz w:val="24"/>
          <w:szCs w:val="24"/>
        </w:rPr>
      </w:pPr>
      <w:bookmarkStart w:id="10" w:name="_Toc35393621"/>
      <w:bookmarkStart w:id="11" w:name="_Toc28359002"/>
      <w:bookmarkStart w:id="12" w:name="_Toc35393790"/>
      <w:bookmarkStart w:id="13" w:name="_Toc28359079"/>
      <w:bookmarkStart w:id="14" w:name="_Hlk24379207"/>
      <w:r>
        <w:rPr>
          <w:rFonts w:hint="eastAsia" w:ascii="宋体" w:hAnsi="宋体" w:cs="宋体"/>
          <w:color w:val="auto"/>
          <w:sz w:val="24"/>
          <w:szCs w:val="24"/>
        </w:rPr>
        <w:t>一、项目基本情况</w:t>
      </w:r>
      <w:bookmarkEnd w:id="10"/>
      <w:bookmarkEnd w:id="11"/>
      <w:bookmarkEnd w:id="12"/>
      <w:bookmarkEnd w:id="13"/>
    </w:p>
    <w:p w14:paraId="0C936F35">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项目编号：郸财招标采购-2025-</w:t>
      </w:r>
      <w:r>
        <w:rPr>
          <w:rFonts w:hint="eastAsia" w:ascii="宋体" w:hAnsi="宋体" w:cs="宋体"/>
          <w:color w:val="auto"/>
          <w:sz w:val="24"/>
          <w:szCs w:val="24"/>
          <w:lang w:val="en-US" w:eastAsia="zh-CN"/>
        </w:rPr>
        <w:t>30</w:t>
      </w:r>
      <w:r>
        <w:rPr>
          <w:rFonts w:hint="eastAsia" w:ascii="宋体" w:hAnsi="宋体" w:cs="宋体"/>
          <w:color w:val="auto"/>
          <w:sz w:val="24"/>
          <w:szCs w:val="24"/>
        </w:rPr>
        <w:t xml:space="preserve"> </w:t>
      </w:r>
    </w:p>
    <w:p w14:paraId="0F1DFD6D">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项目名称：</w:t>
      </w:r>
      <w:bookmarkEnd w:id="14"/>
      <w:r>
        <w:rPr>
          <w:rFonts w:hint="eastAsia" w:ascii="宋体" w:hAnsi="宋体" w:cs="宋体"/>
          <w:color w:val="auto"/>
          <w:sz w:val="24"/>
          <w:szCs w:val="24"/>
        </w:rPr>
        <w:t>周口市生态环境局郸城分局郸城县入河排污口规范化建设工程</w:t>
      </w:r>
    </w:p>
    <w:p w14:paraId="0C9008C8">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预算金额：</w:t>
      </w:r>
      <w:r>
        <w:rPr>
          <w:rFonts w:hint="eastAsia" w:ascii="宋体" w:hAnsi="宋体" w:cs="宋体"/>
          <w:color w:val="auto"/>
          <w:sz w:val="24"/>
          <w:szCs w:val="24"/>
          <w:lang w:eastAsia="zh-CN"/>
        </w:rPr>
        <w:t>771.979936</w:t>
      </w:r>
      <w:r>
        <w:rPr>
          <w:rFonts w:hint="eastAsia" w:ascii="宋体" w:hAnsi="宋体" w:cs="宋体"/>
          <w:color w:val="auto"/>
          <w:sz w:val="24"/>
          <w:szCs w:val="24"/>
        </w:rPr>
        <w:t>万元</w:t>
      </w:r>
    </w:p>
    <w:p w14:paraId="0CAD8D64">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 xml:space="preserve">最高限价（如有）： </w:t>
      </w:r>
      <w:r>
        <w:rPr>
          <w:rFonts w:hint="eastAsia" w:ascii="宋体" w:hAnsi="宋体" w:cs="宋体"/>
          <w:color w:val="auto"/>
          <w:sz w:val="24"/>
          <w:szCs w:val="24"/>
          <w:lang w:eastAsia="zh-CN"/>
        </w:rPr>
        <w:t>771.979936</w:t>
      </w:r>
      <w:r>
        <w:rPr>
          <w:rFonts w:hint="eastAsia" w:ascii="宋体" w:hAnsi="宋体" w:cs="宋体"/>
          <w:color w:val="auto"/>
          <w:sz w:val="24"/>
          <w:szCs w:val="24"/>
        </w:rPr>
        <w:t>万元</w:t>
      </w:r>
    </w:p>
    <w:p w14:paraId="7915F9A9">
      <w:pPr>
        <w:pStyle w:val="11"/>
        <w:adjustRightInd w:val="0"/>
        <w:snapToGrid w:val="0"/>
        <w:spacing w:line="360" w:lineRule="auto"/>
        <w:ind w:firstLine="480" w:firstLineChars="200"/>
        <w:rPr>
          <w:color w:val="auto"/>
        </w:rPr>
      </w:pPr>
      <w:r>
        <w:rPr>
          <w:rFonts w:hint="eastAsia" w:hAnsi="宋体" w:cs="宋体"/>
          <w:color w:val="auto"/>
          <w:kern w:val="0"/>
          <w:sz w:val="24"/>
          <w:szCs w:val="24"/>
        </w:rPr>
        <w:t>采购方式：公开招标</w:t>
      </w:r>
    </w:p>
    <w:p w14:paraId="5B17BB68">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包别划分：</w:t>
      </w:r>
      <w:r>
        <w:rPr>
          <w:rFonts w:hint="eastAsia" w:ascii="宋体" w:hAnsi="宋体" w:cs="宋体"/>
          <w:color w:val="auto"/>
          <w:sz w:val="24"/>
          <w:szCs w:val="24"/>
          <w:u w:val="single"/>
        </w:rPr>
        <w:t>1</w:t>
      </w:r>
      <w:r>
        <w:rPr>
          <w:rFonts w:hint="eastAsia" w:ascii="宋体" w:hAnsi="宋体" w:cs="宋体"/>
          <w:color w:val="auto"/>
          <w:sz w:val="24"/>
          <w:szCs w:val="24"/>
        </w:rPr>
        <w:t>个包</w:t>
      </w:r>
    </w:p>
    <w:tbl>
      <w:tblPr>
        <w:tblStyle w:val="29"/>
        <w:tblpPr w:leftFromText="180" w:rightFromText="180" w:vertAnchor="text" w:horzAnchor="margin" w:tblpXSpec="center" w:tblpY="154"/>
        <w:tblW w:w="8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6150"/>
        <w:gridCol w:w="1635"/>
      </w:tblGrid>
      <w:tr w14:paraId="1B01D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 w:type="dxa"/>
            <w:vAlign w:val="center"/>
          </w:tcPr>
          <w:p w14:paraId="387D7E17">
            <w:pPr>
              <w:spacing w:line="360" w:lineRule="auto"/>
              <w:jc w:val="left"/>
              <w:rPr>
                <w:rFonts w:hint="eastAsia" w:ascii="宋体" w:hAnsi="宋体" w:cs="宋体"/>
                <w:color w:val="auto"/>
                <w:sz w:val="24"/>
                <w:szCs w:val="24"/>
              </w:rPr>
            </w:pPr>
            <w:r>
              <w:rPr>
                <w:rFonts w:hint="eastAsia" w:ascii="宋体" w:hAnsi="宋体" w:cs="宋体"/>
                <w:color w:val="auto"/>
                <w:sz w:val="24"/>
                <w:szCs w:val="24"/>
              </w:rPr>
              <w:t>包号</w:t>
            </w:r>
          </w:p>
        </w:tc>
        <w:tc>
          <w:tcPr>
            <w:tcW w:w="6150" w:type="dxa"/>
            <w:vAlign w:val="center"/>
          </w:tcPr>
          <w:p w14:paraId="415B151E">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包名称</w:t>
            </w:r>
          </w:p>
        </w:tc>
        <w:tc>
          <w:tcPr>
            <w:tcW w:w="1635" w:type="dxa"/>
            <w:vAlign w:val="center"/>
          </w:tcPr>
          <w:p w14:paraId="5E45F4CA">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包最高限价</w:t>
            </w:r>
          </w:p>
          <w:p w14:paraId="3CCCE1DE">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万元</w:t>
            </w:r>
          </w:p>
        </w:tc>
      </w:tr>
      <w:tr w14:paraId="5B697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722" w:type="dxa"/>
            <w:vAlign w:val="center"/>
          </w:tcPr>
          <w:p w14:paraId="31C116E9">
            <w:pPr>
              <w:spacing w:line="360" w:lineRule="auto"/>
              <w:jc w:val="center"/>
              <w:rPr>
                <w:rFonts w:hint="eastAsia" w:ascii="宋体" w:hAnsi="宋体" w:cs="宋体"/>
                <w:color w:val="auto"/>
                <w:sz w:val="24"/>
                <w:szCs w:val="24"/>
              </w:rPr>
            </w:pPr>
            <w:r>
              <w:rPr>
                <w:rFonts w:hint="eastAsia" w:ascii="宋体" w:hAnsi="宋体" w:cs="宋体"/>
                <w:color w:val="auto"/>
                <w:sz w:val="24"/>
                <w:szCs w:val="24"/>
              </w:rPr>
              <w:t>1</w:t>
            </w:r>
          </w:p>
        </w:tc>
        <w:tc>
          <w:tcPr>
            <w:tcW w:w="6150" w:type="dxa"/>
            <w:vAlign w:val="center"/>
          </w:tcPr>
          <w:p w14:paraId="5798B6A5">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周口市生态环境局郸城分局郸城县入河排污口规范化建设工程</w:t>
            </w:r>
          </w:p>
        </w:tc>
        <w:tc>
          <w:tcPr>
            <w:tcW w:w="1635" w:type="dxa"/>
            <w:vAlign w:val="center"/>
          </w:tcPr>
          <w:p w14:paraId="18A3B528">
            <w:pPr>
              <w:spacing w:line="360" w:lineRule="auto"/>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771.979936</w:t>
            </w:r>
          </w:p>
        </w:tc>
      </w:tr>
    </w:tbl>
    <w:p w14:paraId="773467FB">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采购需求：周口市生态环境局郸城分局郸城县入河排污口规范化建设工程（包括但不限于标的的名称、数量、简要技术需求或服务要求等）</w:t>
      </w:r>
    </w:p>
    <w:p w14:paraId="30860DA2">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合同履行期限：合同签订后</w:t>
      </w:r>
      <w:r>
        <w:rPr>
          <w:rFonts w:hint="eastAsia" w:ascii="宋体" w:hAnsi="宋体" w:cs="宋体"/>
          <w:color w:val="auto"/>
          <w:sz w:val="24"/>
          <w:szCs w:val="24"/>
          <w:lang w:val="en-US" w:eastAsia="zh-CN"/>
        </w:rPr>
        <w:t>3个月</w:t>
      </w:r>
      <w:r>
        <w:rPr>
          <w:rFonts w:hint="eastAsia" w:ascii="宋体" w:hAnsi="宋体" w:cs="宋体"/>
          <w:color w:val="auto"/>
          <w:sz w:val="24"/>
          <w:szCs w:val="24"/>
        </w:rPr>
        <w:t>内完成供货、安装及调试工作。</w:t>
      </w:r>
    </w:p>
    <w:p w14:paraId="21C5C6A9">
      <w:pPr>
        <w:spacing w:line="360" w:lineRule="auto"/>
        <w:ind w:firstLine="480" w:firstLineChars="200"/>
        <w:jc w:val="left"/>
        <w:rPr>
          <w:rFonts w:hint="eastAsia" w:ascii="宋体" w:hAnsi="宋体" w:cs="宋体"/>
          <w:color w:val="auto"/>
          <w:sz w:val="24"/>
          <w:szCs w:val="24"/>
        </w:rPr>
      </w:pPr>
      <w:bookmarkStart w:id="15" w:name="_Toc28359003"/>
      <w:bookmarkStart w:id="16" w:name="_Toc35393622"/>
      <w:bookmarkStart w:id="17" w:name="_Toc35393791"/>
      <w:bookmarkStart w:id="18" w:name="_Toc28359080"/>
      <w:r>
        <w:rPr>
          <w:rFonts w:hint="eastAsia" w:ascii="宋体" w:hAnsi="宋体" w:cs="宋体"/>
          <w:color w:val="auto"/>
          <w:sz w:val="24"/>
          <w:szCs w:val="24"/>
        </w:rPr>
        <w:t>是否接受进口产品：否</w:t>
      </w:r>
    </w:p>
    <w:p w14:paraId="3B630DD2">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本项目是否接受联合体投标：否</w:t>
      </w:r>
    </w:p>
    <w:p w14:paraId="6216159E">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本项目</w:t>
      </w:r>
      <w:r>
        <w:rPr>
          <w:rFonts w:hint="eastAsia" w:ascii="宋体" w:hAnsi="宋体" w:cs="宋体"/>
          <w:color w:val="auto"/>
          <w:sz w:val="24"/>
          <w:szCs w:val="24"/>
          <w:lang w:eastAsia="zh-CN"/>
        </w:rPr>
        <w:t>是否</w:t>
      </w:r>
      <w:r>
        <w:rPr>
          <w:rFonts w:hint="eastAsia" w:ascii="宋体" w:hAnsi="宋体" w:cs="宋体"/>
          <w:color w:val="auto"/>
          <w:sz w:val="24"/>
          <w:szCs w:val="24"/>
          <w:lang w:val="en-US" w:eastAsia="zh-CN"/>
        </w:rPr>
        <w:t>专门</w:t>
      </w:r>
      <w:r>
        <w:rPr>
          <w:rFonts w:hint="eastAsia" w:ascii="宋体" w:hAnsi="宋体" w:cs="宋体"/>
          <w:color w:val="auto"/>
          <w:sz w:val="24"/>
          <w:szCs w:val="24"/>
        </w:rPr>
        <w:t>面向中小企业采购：否</w:t>
      </w:r>
    </w:p>
    <w:p w14:paraId="0448308F">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二、申请人的资格要求：</w:t>
      </w:r>
      <w:bookmarkEnd w:id="15"/>
      <w:bookmarkEnd w:id="16"/>
      <w:bookmarkEnd w:id="17"/>
      <w:bookmarkEnd w:id="18"/>
    </w:p>
    <w:p w14:paraId="607B8F7A">
      <w:pPr>
        <w:spacing w:line="360" w:lineRule="auto"/>
        <w:jc w:val="left"/>
        <w:rPr>
          <w:rFonts w:hint="eastAsia" w:ascii="宋体" w:hAnsi="宋体" w:cs="宋体"/>
          <w:color w:val="auto"/>
          <w:spacing w:val="-1"/>
          <w:sz w:val="24"/>
          <w:szCs w:val="24"/>
          <w:lang w:val="zh-CN" w:bidi="zh-CN"/>
        </w:rPr>
      </w:pPr>
      <w:bookmarkStart w:id="19" w:name="_Toc28359004"/>
      <w:bookmarkStart w:id="20" w:name="_Toc28359081"/>
      <w:r>
        <w:rPr>
          <w:rFonts w:hint="eastAsia" w:ascii="宋体" w:hAnsi="宋体" w:cs="宋体"/>
          <w:color w:val="auto"/>
          <w:spacing w:val="-1"/>
          <w:sz w:val="24"/>
          <w:szCs w:val="24"/>
          <w:lang w:val="zh-CN" w:bidi="zh-CN"/>
        </w:rPr>
        <w:t>1.满足《中华人民共和国政府采购法》第二十二条规定；</w:t>
      </w:r>
    </w:p>
    <w:p w14:paraId="7F3C17A1">
      <w:pPr>
        <w:pStyle w:val="11"/>
        <w:adjustRightInd w:val="0"/>
        <w:snapToGrid w:val="0"/>
        <w:spacing w:line="360" w:lineRule="auto"/>
        <w:ind w:firstLine="476" w:firstLineChars="200"/>
        <w:rPr>
          <w:rFonts w:hint="eastAsia" w:hAnsi="宋体" w:cs="宋体"/>
          <w:color w:val="auto"/>
          <w:spacing w:val="-1"/>
          <w:sz w:val="24"/>
          <w:szCs w:val="24"/>
          <w:lang w:val="zh-CN" w:bidi="zh-CN"/>
        </w:rPr>
      </w:pPr>
      <w:r>
        <w:rPr>
          <w:rFonts w:hint="eastAsia" w:hAnsi="宋体" w:cs="宋体"/>
          <w:color w:val="auto"/>
          <w:spacing w:val="-1"/>
          <w:sz w:val="24"/>
          <w:szCs w:val="24"/>
          <w:lang w:val="zh-CN" w:bidi="zh-CN"/>
        </w:rPr>
        <w:t>（1）具有独立承担民事责任的能力；</w:t>
      </w:r>
    </w:p>
    <w:p w14:paraId="3F63734D">
      <w:pPr>
        <w:pStyle w:val="11"/>
        <w:adjustRightInd w:val="0"/>
        <w:snapToGrid w:val="0"/>
        <w:spacing w:line="360" w:lineRule="auto"/>
        <w:ind w:firstLine="476" w:firstLineChars="200"/>
        <w:rPr>
          <w:rFonts w:hint="eastAsia" w:hAnsi="宋体" w:cs="宋体"/>
          <w:color w:val="auto"/>
          <w:spacing w:val="-1"/>
          <w:sz w:val="24"/>
          <w:szCs w:val="24"/>
          <w:lang w:val="zh-CN" w:bidi="zh-CN"/>
        </w:rPr>
      </w:pPr>
      <w:r>
        <w:rPr>
          <w:rFonts w:hint="eastAsia" w:hAnsi="宋体" w:cs="宋体"/>
          <w:color w:val="auto"/>
          <w:spacing w:val="-1"/>
          <w:sz w:val="24"/>
          <w:szCs w:val="24"/>
          <w:lang w:val="zh-CN" w:bidi="zh-CN"/>
        </w:rPr>
        <w:t>（2）具有良好的商业信誉和健全的财务会计制度；</w:t>
      </w:r>
    </w:p>
    <w:p w14:paraId="654B1588">
      <w:pPr>
        <w:pStyle w:val="11"/>
        <w:adjustRightInd w:val="0"/>
        <w:snapToGrid w:val="0"/>
        <w:spacing w:line="360" w:lineRule="auto"/>
        <w:ind w:firstLine="476" w:firstLineChars="200"/>
        <w:rPr>
          <w:rFonts w:hint="eastAsia" w:hAnsi="宋体" w:cs="宋体"/>
          <w:color w:val="auto"/>
          <w:spacing w:val="-1"/>
          <w:sz w:val="24"/>
          <w:szCs w:val="24"/>
          <w:lang w:val="zh-CN" w:bidi="zh-CN"/>
        </w:rPr>
      </w:pPr>
      <w:r>
        <w:rPr>
          <w:rFonts w:hint="eastAsia" w:hAnsi="宋体" w:cs="宋体"/>
          <w:color w:val="auto"/>
          <w:spacing w:val="-1"/>
          <w:sz w:val="24"/>
          <w:szCs w:val="24"/>
          <w:lang w:val="zh-CN" w:bidi="zh-CN"/>
        </w:rPr>
        <w:t>（3）具有履行合同所必需的设备和专业技术能力；</w:t>
      </w:r>
    </w:p>
    <w:p w14:paraId="0C85E3F7">
      <w:pPr>
        <w:pStyle w:val="11"/>
        <w:adjustRightInd w:val="0"/>
        <w:snapToGrid w:val="0"/>
        <w:spacing w:line="360" w:lineRule="auto"/>
        <w:ind w:firstLine="476" w:firstLineChars="200"/>
        <w:rPr>
          <w:rFonts w:hint="eastAsia" w:hAnsi="宋体" w:cs="宋体"/>
          <w:color w:val="auto"/>
          <w:spacing w:val="-1"/>
          <w:sz w:val="24"/>
          <w:szCs w:val="24"/>
          <w:lang w:val="zh-CN" w:bidi="zh-CN"/>
        </w:rPr>
      </w:pPr>
      <w:r>
        <w:rPr>
          <w:rFonts w:hint="eastAsia" w:hAnsi="宋体" w:cs="宋体"/>
          <w:color w:val="auto"/>
          <w:spacing w:val="-1"/>
          <w:sz w:val="24"/>
          <w:szCs w:val="24"/>
          <w:lang w:val="zh-CN" w:bidi="zh-CN"/>
        </w:rPr>
        <w:t>（4）有依法缴纳税收和社会保障资金的良好记录；</w:t>
      </w:r>
    </w:p>
    <w:p w14:paraId="0787413E">
      <w:pPr>
        <w:pStyle w:val="11"/>
        <w:adjustRightInd w:val="0"/>
        <w:snapToGrid w:val="0"/>
        <w:spacing w:line="360" w:lineRule="auto"/>
        <w:ind w:firstLine="476" w:firstLineChars="200"/>
        <w:rPr>
          <w:rFonts w:hint="eastAsia" w:hAnsi="宋体" w:cs="宋体"/>
          <w:color w:val="auto"/>
          <w:spacing w:val="-1"/>
          <w:sz w:val="24"/>
          <w:szCs w:val="24"/>
          <w:lang w:val="zh-CN" w:bidi="zh-CN"/>
        </w:rPr>
      </w:pPr>
      <w:r>
        <w:rPr>
          <w:rFonts w:hint="eastAsia" w:hAnsi="宋体" w:cs="宋体"/>
          <w:color w:val="auto"/>
          <w:spacing w:val="-1"/>
          <w:sz w:val="24"/>
          <w:szCs w:val="24"/>
          <w:lang w:val="zh-CN" w:bidi="zh-CN"/>
        </w:rPr>
        <w:t>（5）参加政府采购活动前三年内，在经营活动中没有重大违法记录；</w:t>
      </w:r>
    </w:p>
    <w:p w14:paraId="6ADE9813">
      <w:pPr>
        <w:spacing w:line="360" w:lineRule="auto"/>
        <w:ind w:firstLine="476" w:firstLineChars="200"/>
        <w:jc w:val="left"/>
        <w:rPr>
          <w:rFonts w:hint="eastAsia" w:ascii="宋体" w:hAnsi="宋体" w:cs="宋体"/>
          <w:color w:val="auto"/>
          <w:spacing w:val="-1"/>
          <w:sz w:val="24"/>
          <w:szCs w:val="24"/>
          <w:lang w:val="zh-CN" w:bidi="zh-CN"/>
        </w:rPr>
      </w:pPr>
      <w:r>
        <w:rPr>
          <w:rFonts w:hint="eastAsia" w:ascii="宋体" w:hAnsi="宋体" w:cs="宋体"/>
          <w:color w:val="auto"/>
          <w:spacing w:val="-1"/>
          <w:sz w:val="24"/>
          <w:szCs w:val="24"/>
          <w:lang w:val="zh-CN" w:bidi="zh-CN"/>
        </w:rPr>
        <w:t xml:space="preserve">2.落实政府采购政策需满足的资格要求：促进中小企业和监狱企业发展扶持政策、政府强制采购节能产品强制采购、节能产品及环境标志产品优先采购、促进残疾人就业政府采购政策。  </w:t>
      </w:r>
    </w:p>
    <w:p w14:paraId="787D05B6">
      <w:pPr>
        <w:spacing w:line="360" w:lineRule="auto"/>
        <w:ind w:firstLine="476" w:firstLineChars="200"/>
        <w:jc w:val="left"/>
        <w:rPr>
          <w:rFonts w:hint="eastAsia" w:ascii="宋体" w:hAnsi="宋体" w:cs="宋体"/>
          <w:color w:val="auto"/>
          <w:spacing w:val="-1"/>
          <w:sz w:val="24"/>
          <w:szCs w:val="24"/>
          <w:lang w:val="zh-CN" w:bidi="zh-CN"/>
        </w:rPr>
      </w:pPr>
      <w:r>
        <w:rPr>
          <w:rFonts w:hint="eastAsia" w:ascii="宋体" w:hAnsi="宋体" w:cs="宋体"/>
          <w:color w:val="auto"/>
          <w:spacing w:val="-1"/>
          <w:sz w:val="24"/>
          <w:szCs w:val="24"/>
          <w:lang w:val="zh-CN" w:bidi="zh-CN"/>
        </w:rPr>
        <w:t>3.本项目的特定资格要求：</w:t>
      </w:r>
    </w:p>
    <w:p w14:paraId="6F511E36">
      <w:pPr>
        <w:spacing w:line="360" w:lineRule="auto"/>
        <w:ind w:firstLine="476" w:firstLineChars="200"/>
        <w:jc w:val="left"/>
        <w:rPr>
          <w:rFonts w:cs="宋体"/>
          <w:color w:val="auto"/>
          <w:spacing w:val="-1"/>
          <w:sz w:val="24"/>
          <w:szCs w:val="24"/>
          <w:lang w:val="zh-CN" w:bidi="zh-CN"/>
        </w:rPr>
      </w:pPr>
      <w:r>
        <w:rPr>
          <w:rFonts w:hint="eastAsia" w:cs="宋体"/>
          <w:color w:val="auto"/>
          <w:spacing w:val="-1"/>
          <w:sz w:val="24"/>
          <w:szCs w:val="24"/>
          <w:lang w:val="zh-CN" w:bidi="zh-CN"/>
        </w:rPr>
        <w:t>（</w:t>
      </w:r>
      <w:r>
        <w:rPr>
          <w:rFonts w:hint="eastAsia" w:cs="宋体"/>
          <w:color w:val="auto"/>
          <w:spacing w:val="-1"/>
          <w:sz w:val="24"/>
          <w:szCs w:val="24"/>
          <w:lang w:bidi="zh-CN"/>
        </w:rPr>
        <w:t>1）</w:t>
      </w:r>
      <w:r>
        <w:rPr>
          <w:rFonts w:hint="eastAsia" w:cs="宋体"/>
          <w:color w:val="auto"/>
          <w:spacing w:val="-1"/>
          <w:sz w:val="24"/>
          <w:szCs w:val="24"/>
          <w:lang w:val="zh-CN" w:bidi="zh-CN"/>
        </w:rPr>
        <w:t>根据《关于在政府采购活动中查询及使用信用记录有关问题的通知》(财库[2016]125号)和豫财购【2016】15号的规定，对列入“信用中国”网站（www.creditchina.gov.cn）的“失信被执行人”、“政府采购严重违法失信行为记录名单”、“重大税收违法失信主体”的供应商和法定代表人和“中国政府采购”网站(www.ccgp.gov.cn)的“政府采购严重违法失信行为记录名单”的供应商，将拒绝其参加政府采购活动；</w:t>
      </w:r>
    </w:p>
    <w:p w14:paraId="1600EAA4">
      <w:pPr>
        <w:spacing w:line="360" w:lineRule="auto"/>
        <w:ind w:firstLine="476" w:firstLineChars="200"/>
        <w:jc w:val="left"/>
        <w:rPr>
          <w:rFonts w:hint="eastAsia" w:ascii="宋体" w:hAnsi="宋体" w:cs="宋体"/>
          <w:color w:val="auto"/>
          <w:spacing w:val="-1"/>
          <w:sz w:val="24"/>
          <w:szCs w:val="24"/>
          <w:lang w:bidi="zh-CN"/>
        </w:rPr>
      </w:pPr>
      <w:r>
        <w:rPr>
          <w:rFonts w:hint="eastAsia" w:ascii="宋体" w:hAnsi="宋体" w:cs="宋体"/>
          <w:color w:val="auto"/>
          <w:spacing w:val="-1"/>
          <w:sz w:val="24"/>
          <w:szCs w:val="24"/>
          <w:lang w:bidi="zh-CN"/>
        </w:rPr>
        <w:t>（2）投标人应具有电子与智能化工程专业承包二级及以上</w:t>
      </w:r>
      <w:r>
        <w:rPr>
          <w:rFonts w:hint="eastAsia" w:ascii="宋体" w:hAnsi="宋体" w:cs="宋体"/>
          <w:color w:val="auto"/>
          <w:spacing w:val="-1"/>
          <w:sz w:val="24"/>
          <w:szCs w:val="24"/>
          <w:lang w:val="en-US" w:bidi="zh-CN"/>
        </w:rPr>
        <w:t>和环保工程专业承包二级及以上资质</w:t>
      </w:r>
      <w:r>
        <w:rPr>
          <w:rFonts w:hint="eastAsia" w:ascii="宋体" w:hAnsi="宋体" w:cs="宋体"/>
          <w:color w:val="auto"/>
          <w:spacing w:val="-1"/>
          <w:sz w:val="24"/>
          <w:szCs w:val="24"/>
          <w:lang w:bidi="zh-CN"/>
        </w:rPr>
        <w:t>；拟派项目负责人应具有机电工程专业二级及以上建造师证书或具有电子与智能化工程相关专业副高级以及以上工程师证书，并提供</w:t>
      </w:r>
      <w:r>
        <w:rPr>
          <w:rFonts w:hint="eastAsia" w:ascii="宋体" w:hAnsi="宋体" w:cs="宋体"/>
          <w:color w:val="auto"/>
          <w:spacing w:val="-1"/>
          <w:sz w:val="24"/>
          <w:szCs w:val="24"/>
          <w:lang w:val="en-US" w:bidi="zh-CN"/>
        </w:rPr>
        <w:t>身份证、</w:t>
      </w:r>
      <w:r>
        <w:rPr>
          <w:rFonts w:hint="eastAsia" w:ascii="宋体" w:hAnsi="宋体" w:cs="宋体"/>
          <w:color w:val="auto"/>
          <w:spacing w:val="-1"/>
          <w:sz w:val="24"/>
          <w:szCs w:val="24"/>
          <w:lang w:bidi="zh-CN"/>
        </w:rPr>
        <w:t>劳动合同及2025年1月1日以来任意1个月的养老保险缴纳证明(以劳动和社会保障部门出具的书面证明或查询清单为准，</w:t>
      </w:r>
      <w:r>
        <w:rPr>
          <w:rFonts w:hint="eastAsia" w:ascii="宋体" w:hAnsi="宋体" w:cs="宋体"/>
          <w:color w:val="auto"/>
          <w:spacing w:val="-1"/>
          <w:sz w:val="24"/>
          <w:szCs w:val="24"/>
          <w:lang w:val="en-US" w:eastAsia="zh-CN" w:bidi="zh-CN"/>
        </w:rPr>
        <w:t>若为新聘用的人员无法出具</w:t>
      </w:r>
      <w:r>
        <w:rPr>
          <w:rFonts w:hint="eastAsia" w:ascii="宋体" w:hAnsi="宋体" w:cs="宋体"/>
          <w:color w:val="auto"/>
          <w:spacing w:val="-1"/>
          <w:sz w:val="24"/>
          <w:szCs w:val="24"/>
          <w:lang w:bidi="zh-CN"/>
        </w:rPr>
        <w:t>社保缴纳证明材料</w:t>
      </w:r>
      <w:r>
        <w:rPr>
          <w:rFonts w:hint="eastAsia" w:ascii="宋体" w:hAnsi="宋体" w:cs="宋体"/>
          <w:color w:val="auto"/>
          <w:spacing w:val="-1"/>
          <w:sz w:val="24"/>
          <w:szCs w:val="24"/>
          <w:lang w:val="en-US" w:eastAsia="zh-CN" w:bidi="zh-CN"/>
        </w:rPr>
        <w:t>时，此项材料可不提供</w:t>
      </w:r>
      <w:r>
        <w:rPr>
          <w:rFonts w:hint="eastAsia" w:ascii="宋体" w:hAnsi="宋体" w:cs="宋体"/>
          <w:color w:val="auto"/>
          <w:spacing w:val="-1"/>
          <w:sz w:val="24"/>
          <w:szCs w:val="24"/>
          <w:lang w:bidi="zh-CN"/>
        </w:rPr>
        <w:t>)；</w:t>
      </w:r>
    </w:p>
    <w:p w14:paraId="3C365425">
      <w:pPr>
        <w:spacing w:line="360" w:lineRule="auto"/>
        <w:ind w:firstLine="476" w:firstLineChars="200"/>
        <w:jc w:val="left"/>
        <w:rPr>
          <w:rFonts w:hint="eastAsia" w:ascii="宋体" w:hAnsi="宋体" w:cs="宋体"/>
          <w:color w:val="auto"/>
          <w:spacing w:val="-1"/>
          <w:sz w:val="24"/>
          <w:szCs w:val="24"/>
          <w:lang w:val="zh-CN" w:bidi="zh-CN"/>
        </w:rPr>
      </w:pPr>
      <w:r>
        <w:rPr>
          <w:rFonts w:hint="eastAsia" w:ascii="宋体" w:hAnsi="宋体" w:cs="宋体"/>
          <w:color w:val="auto"/>
          <w:spacing w:val="-1"/>
          <w:sz w:val="24"/>
          <w:szCs w:val="24"/>
          <w:lang w:val="zh-CN" w:bidi="zh-CN"/>
        </w:rPr>
        <w:t>（</w:t>
      </w:r>
      <w:r>
        <w:rPr>
          <w:rFonts w:hint="eastAsia" w:ascii="宋体" w:hAnsi="宋体" w:cs="宋体"/>
          <w:color w:val="auto"/>
          <w:spacing w:val="-1"/>
          <w:sz w:val="24"/>
          <w:szCs w:val="24"/>
          <w:lang w:bidi="zh-CN"/>
        </w:rPr>
        <w:t>3</w:t>
      </w:r>
      <w:r>
        <w:rPr>
          <w:rFonts w:hint="eastAsia" w:ascii="宋体" w:hAnsi="宋体" w:cs="宋体"/>
          <w:color w:val="auto"/>
          <w:spacing w:val="-1"/>
          <w:sz w:val="24"/>
          <w:szCs w:val="24"/>
          <w:lang w:val="zh-CN" w:bidi="zh-CN"/>
        </w:rPr>
        <w:t>）本项目不接收联合体投标</w:t>
      </w:r>
    </w:p>
    <w:p w14:paraId="0B46DC9F">
      <w:pPr>
        <w:spacing w:line="360" w:lineRule="auto"/>
        <w:ind w:firstLine="480" w:firstLineChars="200"/>
        <w:jc w:val="left"/>
        <w:rPr>
          <w:rFonts w:hint="eastAsia" w:ascii="宋体" w:hAnsi="宋体" w:cs="宋体"/>
          <w:color w:val="auto"/>
          <w:sz w:val="24"/>
          <w:szCs w:val="24"/>
        </w:rPr>
      </w:pPr>
      <w:bookmarkStart w:id="21" w:name="_Toc35393792"/>
      <w:bookmarkStart w:id="22" w:name="_Toc35393623"/>
      <w:r>
        <w:rPr>
          <w:rFonts w:hint="eastAsia" w:ascii="宋体" w:hAnsi="宋体" w:cs="宋体"/>
          <w:color w:val="auto"/>
          <w:sz w:val="24"/>
          <w:szCs w:val="24"/>
        </w:rPr>
        <w:t>三、获取招标文件</w:t>
      </w:r>
      <w:bookmarkEnd w:id="19"/>
      <w:bookmarkEnd w:id="20"/>
      <w:bookmarkEnd w:id="21"/>
      <w:bookmarkEnd w:id="22"/>
    </w:p>
    <w:p w14:paraId="388A76AF">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时间：2025年</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hint="eastAsia" w:ascii="宋体" w:hAnsi="宋体" w:cs="宋体"/>
          <w:color w:val="auto"/>
          <w:sz w:val="24"/>
          <w:szCs w:val="24"/>
          <w:lang w:val="en-US" w:eastAsia="zh-CN"/>
        </w:rPr>
        <w:t>7</w:t>
      </w:r>
      <w:r>
        <w:rPr>
          <w:rFonts w:hint="eastAsia" w:ascii="宋体" w:hAnsi="宋体" w:cs="宋体"/>
          <w:color w:val="auto"/>
          <w:sz w:val="24"/>
          <w:szCs w:val="24"/>
        </w:rPr>
        <w:t>日至2025年</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hint="eastAsia" w:ascii="宋体" w:hAnsi="宋体" w:cs="宋体"/>
          <w:color w:val="auto"/>
          <w:sz w:val="24"/>
          <w:szCs w:val="24"/>
          <w:lang w:val="en-US" w:eastAsia="zh-CN"/>
        </w:rPr>
        <w:t>14</w:t>
      </w:r>
      <w:r>
        <w:rPr>
          <w:rFonts w:hint="eastAsia" w:ascii="宋体" w:hAnsi="宋体" w:cs="宋体"/>
          <w:color w:val="auto"/>
          <w:sz w:val="24"/>
          <w:szCs w:val="24"/>
        </w:rPr>
        <w:t>日（北京时间，法定节假日除外）</w:t>
      </w:r>
    </w:p>
    <w:p w14:paraId="32F7F6E2">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地点：周口市公共资源交易中心网（http://jyzx.zhoukou.gov.cn）</w:t>
      </w:r>
    </w:p>
    <w:p w14:paraId="6DC717BD">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方式：供应商请在网站自主注册后下载采购文件（zkzf格式）及资料，需办理CA数字证书后方可提交响应文件，具体办理事宜请查阅周口市公共资源交易中心网站。</w:t>
      </w:r>
    </w:p>
    <w:p w14:paraId="09E68D1F">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售价：0元</w:t>
      </w:r>
    </w:p>
    <w:p w14:paraId="6CC0A19F">
      <w:pPr>
        <w:spacing w:line="360" w:lineRule="auto"/>
        <w:ind w:firstLine="480" w:firstLineChars="200"/>
        <w:jc w:val="left"/>
        <w:rPr>
          <w:rFonts w:hint="eastAsia" w:ascii="宋体" w:hAnsi="宋体" w:cs="宋体"/>
          <w:color w:val="auto"/>
          <w:sz w:val="24"/>
          <w:szCs w:val="24"/>
        </w:rPr>
      </w:pPr>
      <w:bookmarkStart w:id="23" w:name="_Toc28359082"/>
      <w:bookmarkStart w:id="24" w:name="_Toc28359005"/>
      <w:bookmarkStart w:id="25" w:name="_Toc35393793"/>
      <w:bookmarkStart w:id="26" w:name="_Toc35393624"/>
      <w:r>
        <w:rPr>
          <w:rFonts w:hint="eastAsia" w:ascii="宋体" w:hAnsi="宋体" w:cs="宋体"/>
          <w:color w:val="auto"/>
          <w:sz w:val="24"/>
          <w:szCs w:val="24"/>
        </w:rPr>
        <w:t>四、提交投标文件</w:t>
      </w:r>
      <w:bookmarkEnd w:id="23"/>
      <w:bookmarkEnd w:id="24"/>
      <w:r>
        <w:rPr>
          <w:rFonts w:hint="eastAsia" w:ascii="宋体" w:hAnsi="宋体" w:cs="宋体"/>
          <w:color w:val="auto"/>
          <w:sz w:val="24"/>
          <w:szCs w:val="24"/>
        </w:rPr>
        <w:t>截止时间、开标时间和地点</w:t>
      </w:r>
      <w:bookmarkEnd w:id="25"/>
      <w:bookmarkEnd w:id="26"/>
    </w:p>
    <w:p w14:paraId="350535EA">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时间：2025年</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hint="eastAsia" w:ascii="宋体" w:hAnsi="宋体" w:cs="宋体"/>
          <w:color w:val="auto"/>
          <w:sz w:val="24"/>
          <w:szCs w:val="24"/>
          <w:lang w:val="en-US" w:eastAsia="zh-CN"/>
        </w:rPr>
        <w:t>28</w:t>
      </w:r>
      <w:r>
        <w:rPr>
          <w:rFonts w:hint="eastAsia" w:ascii="宋体" w:hAnsi="宋体" w:cs="宋体"/>
          <w:color w:val="auto"/>
          <w:sz w:val="24"/>
          <w:szCs w:val="24"/>
        </w:rPr>
        <w:t>日10点00分（北京时间）</w:t>
      </w:r>
    </w:p>
    <w:p w14:paraId="23F2343E">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地点：周口市公共资源交易中心开标室</w:t>
      </w:r>
    </w:p>
    <w:p w14:paraId="1DCAE706">
      <w:pPr>
        <w:spacing w:line="360" w:lineRule="auto"/>
        <w:ind w:firstLine="480" w:firstLineChars="200"/>
        <w:jc w:val="left"/>
        <w:rPr>
          <w:rFonts w:hint="eastAsia" w:ascii="宋体" w:hAnsi="宋体" w:cs="宋体"/>
          <w:color w:val="auto"/>
          <w:sz w:val="24"/>
          <w:szCs w:val="24"/>
        </w:rPr>
      </w:pPr>
      <w:bookmarkStart w:id="27" w:name="_Toc35393794"/>
      <w:bookmarkStart w:id="28" w:name="_Toc28359007"/>
      <w:bookmarkStart w:id="29" w:name="_Toc35393625"/>
      <w:bookmarkStart w:id="30" w:name="_Toc28359084"/>
      <w:r>
        <w:rPr>
          <w:rFonts w:hint="eastAsia" w:ascii="宋体" w:hAnsi="宋体" w:cs="宋体"/>
          <w:color w:val="auto"/>
          <w:sz w:val="24"/>
          <w:szCs w:val="24"/>
        </w:rPr>
        <w:t>五、公告期限</w:t>
      </w:r>
      <w:bookmarkEnd w:id="27"/>
      <w:bookmarkEnd w:id="28"/>
      <w:bookmarkEnd w:id="29"/>
      <w:bookmarkEnd w:id="30"/>
    </w:p>
    <w:p w14:paraId="0C0D8303">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自本公告发布之日起5个工作日。</w:t>
      </w:r>
    </w:p>
    <w:p w14:paraId="7D67B58B">
      <w:pPr>
        <w:spacing w:line="360" w:lineRule="auto"/>
        <w:ind w:firstLine="480" w:firstLineChars="200"/>
        <w:jc w:val="left"/>
        <w:rPr>
          <w:rFonts w:hint="eastAsia" w:ascii="宋体" w:hAnsi="宋体" w:cs="宋体"/>
          <w:color w:val="auto"/>
          <w:sz w:val="24"/>
          <w:szCs w:val="24"/>
        </w:rPr>
      </w:pPr>
      <w:bookmarkStart w:id="31" w:name="_Toc35393626"/>
      <w:bookmarkStart w:id="32" w:name="_Toc35393795"/>
      <w:r>
        <w:rPr>
          <w:rFonts w:hint="eastAsia" w:ascii="宋体" w:hAnsi="宋体" w:cs="宋体"/>
          <w:color w:val="auto"/>
          <w:sz w:val="24"/>
          <w:szCs w:val="24"/>
        </w:rPr>
        <w:t>六、其他补充事宜</w:t>
      </w:r>
      <w:bookmarkEnd w:id="31"/>
      <w:bookmarkEnd w:id="32"/>
    </w:p>
    <w:p w14:paraId="0EACA330">
      <w:pPr>
        <w:spacing w:line="360" w:lineRule="auto"/>
        <w:ind w:firstLine="480" w:firstLineChars="200"/>
        <w:jc w:val="left"/>
        <w:rPr>
          <w:rFonts w:hint="eastAsia" w:ascii="宋体" w:hAnsi="宋体" w:cs="宋体"/>
          <w:color w:val="auto"/>
          <w:sz w:val="24"/>
          <w:szCs w:val="24"/>
        </w:rPr>
      </w:pPr>
      <w:bookmarkStart w:id="33" w:name="_Toc28359008"/>
      <w:bookmarkStart w:id="34" w:name="_Toc28359085"/>
      <w:bookmarkStart w:id="35" w:name="_Toc35393627"/>
      <w:bookmarkStart w:id="36" w:name="_Toc35393796"/>
      <w:r>
        <w:rPr>
          <w:rFonts w:hint="eastAsia" w:ascii="宋体" w:hAnsi="宋体" w:cs="宋体"/>
          <w:color w:val="auto"/>
          <w:sz w:val="24"/>
          <w:szCs w:val="24"/>
        </w:rPr>
        <w:t>无</w:t>
      </w:r>
    </w:p>
    <w:p w14:paraId="0FFD2E80">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七、对本次招标提出询问，请按以下方式联系。</w:t>
      </w:r>
      <w:bookmarkEnd w:id="33"/>
      <w:bookmarkEnd w:id="34"/>
      <w:bookmarkEnd w:id="35"/>
      <w:bookmarkEnd w:id="36"/>
    </w:p>
    <w:p w14:paraId="7EED919A">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1.采购人信息</w:t>
      </w:r>
    </w:p>
    <w:p w14:paraId="7AF7CE7B">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名称：周口市生态环境局郸城分局　　　　　　　　　　</w:t>
      </w:r>
    </w:p>
    <w:p w14:paraId="0FB9498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地址：周口市郸城县城区　　　　　　　　　　　　　</w:t>
      </w:r>
    </w:p>
    <w:p w14:paraId="5246C231">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项目联系人：</w:t>
      </w:r>
      <w:r>
        <w:rPr>
          <w:rFonts w:hint="default" w:ascii="宋体" w:hAnsi="宋体" w:cs="宋体"/>
          <w:color w:val="auto"/>
          <w:sz w:val="24"/>
          <w:szCs w:val="24"/>
        </w:rPr>
        <w:t>张勇</w:t>
      </w:r>
      <w:r>
        <w:rPr>
          <w:rFonts w:hint="eastAsia" w:ascii="宋体" w:hAnsi="宋体" w:cs="宋体"/>
          <w:color w:val="auto"/>
          <w:sz w:val="24"/>
          <w:szCs w:val="24"/>
        </w:rPr>
        <w:t xml:space="preserve"> </w:t>
      </w:r>
      <w:r>
        <w:rPr>
          <w:rFonts w:hint="eastAsia" w:ascii="宋体" w:hAnsi="宋体" w:cs="宋体"/>
          <w:color w:val="auto"/>
          <w:sz w:val="24"/>
          <w:szCs w:val="24"/>
        </w:rPr>
        <w:tab/>
      </w:r>
      <w:r>
        <w:rPr>
          <w:rFonts w:hint="eastAsia" w:ascii="宋体" w:hAnsi="宋体" w:cs="宋体"/>
          <w:color w:val="auto"/>
          <w:sz w:val="24"/>
          <w:szCs w:val="24"/>
        </w:rPr>
        <w:t xml:space="preserve">    </w:t>
      </w:r>
    </w:p>
    <w:p w14:paraId="7F94BF31">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 xml:space="preserve">联系方式：15297129759 　　　　　　　　　 </w:t>
      </w:r>
      <w:bookmarkStart w:id="37" w:name="_Toc28359086"/>
      <w:bookmarkStart w:id="38" w:name="_Toc28359009"/>
    </w:p>
    <w:p w14:paraId="0877C280">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2.采购代理机构信息</w:t>
      </w:r>
      <w:bookmarkEnd w:id="37"/>
      <w:bookmarkEnd w:id="38"/>
    </w:p>
    <w:p w14:paraId="756D5A2D">
      <w:pPr>
        <w:pStyle w:val="11"/>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名称：周口市公共资源交易中心政府采购中心　　　　　　　　　　　　</w:t>
      </w:r>
    </w:p>
    <w:p w14:paraId="7F295A98">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地址：周口市光明路与政通路交叉口向北100米路东</w:t>
      </w:r>
    </w:p>
    <w:p w14:paraId="708568EF">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项目联系人：</w:t>
      </w:r>
      <w:r>
        <w:rPr>
          <w:rFonts w:hint="eastAsia" w:ascii="宋体" w:hAnsi="宋体" w:cs="宋体"/>
          <w:color w:val="auto"/>
          <w:sz w:val="24"/>
          <w:szCs w:val="24"/>
          <w:lang w:val="en-US" w:eastAsia="zh-CN"/>
        </w:rPr>
        <w:t>郭战伟</w:t>
      </w:r>
      <w:r>
        <w:rPr>
          <w:rFonts w:hint="eastAsia" w:ascii="宋体" w:hAnsi="宋体" w:cs="宋体"/>
          <w:color w:val="auto"/>
          <w:sz w:val="24"/>
          <w:szCs w:val="24"/>
        </w:rPr>
        <w:t xml:space="preserve"> </w:t>
      </w:r>
    </w:p>
    <w:p w14:paraId="4917926F">
      <w:pPr>
        <w:spacing w:line="360" w:lineRule="auto"/>
        <w:ind w:firstLine="480" w:firstLineChars="200"/>
        <w:jc w:val="left"/>
        <w:rPr>
          <w:rFonts w:hint="default" w:ascii="宋体" w:hAnsi="宋体" w:eastAsia="宋体" w:cs="宋体"/>
          <w:color w:val="auto"/>
          <w:sz w:val="24"/>
          <w:szCs w:val="24"/>
          <w:lang w:val="en-US" w:eastAsia="zh-CN"/>
        </w:rPr>
      </w:pPr>
      <w:r>
        <w:rPr>
          <w:rFonts w:hint="eastAsia" w:ascii="宋体" w:hAnsi="宋体" w:cs="宋体"/>
          <w:color w:val="auto"/>
          <w:sz w:val="24"/>
          <w:szCs w:val="24"/>
        </w:rPr>
        <w:t>联系方式：</w:t>
      </w:r>
      <w:bookmarkStart w:id="39" w:name="_Toc28359010"/>
      <w:bookmarkStart w:id="40" w:name="_Toc28359087"/>
      <w:r>
        <w:rPr>
          <w:rFonts w:hint="eastAsia" w:ascii="宋体" w:hAnsi="宋体" w:cs="宋体"/>
          <w:color w:val="auto"/>
          <w:sz w:val="24"/>
          <w:szCs w:val="24"/>
          <w:lang w:val="en-US" w:eastAsia="zh-CN"/>
        </w:rPr>
        <w:t>0394-8106517、19913276009</w:t>
      </w:r>
    </w:p>
    <w:bookmarkEnd w:id="39"/>
    <w:bookmarkEnd w:id="40"/>
    <w:p w14:paraId="28597EAC">
      <w:pPr>
        <w:numPr>
          <w:ilvl w:val="0"/>
          <w:numId w:val="1"/>
        </w:num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监督单位：郸城县政府采购办</w:t>
      </w:r>
    </w:p>
    <w:p w14:paraId="0C5D57DE">
      <w:pPr>
        <w:spacing w:line="360" w:lineRule="auto"/>
        <w:ind w:firstLine="480" w:firstLineChars="200"/>
        <w:jc w:val="left"/>
        <w:rPr>
          <w:color w:val="auto"/>
        </w:rPr>
      </w:pPr>
      <w:r>
        <w:rPr>
          <w:rFonts w:hint="eastAsia" w:ascii="宋体" w:hAnsi="宋体" w:cs="宋体"/>
          <w:color w:val="auto"/>
          <w:sz w:val="24"/>
          <w:szCs w:val="24"/>
        </w:rPr>
        <w:t xml:space="preserve">联系方式：0394-3298829 </w:t>
      </w:r>
    </w:p>
    <w:p w14:paraId="740088C8">
      <w:pPr>
        <w:pStyle w:val="45"/>
        <w:ind w:firstLine="0" w:firstLineChars="0"/>
        <w:rPr>
          <w:color w:val="auto"/>
        </w:rPr>
      </w:pPr>
    </w:p>
    <w:p w14:paraId="538C5625">
      <w:pPr>
        <w:pStyle w:val="11"/>
        <w:adjustRightInd w:val="0"/>
        <w:snapToGrid w:val="0"/>
        <w:spacing w:line="360" w:lineRule="auto"/>
        <w:ind w:firstLine="2520" w:firstLineChars="1050"/>
        <w:rPr>
          <w:rFonts w:hint="eastAsia" w:hAnsi="宋体" w:cs="宋体"/>
          <w:color w:val="auto"/>
          <w:sz w:val="24"/>
          <w:szCs w:val="24"/>
        </w:rPr>
      </w:pPr>
    </w:p>
    <w:p w14:paraId="095DDF3F">
      <w:pPr>
        <w:pStyle w:val="11"/>
        <w:adjustRightInd w:val="0"/>
        <w:snapToGrid w:val="0"/>
        <w:spacing w:line="360" w:lineRule="auto"/>
        <w:ind w:firstLine="2520" w:firstLineChars="1050"/>
        <w:rPr>
          <w:rFonts w:hint="eastAsia" w:hAnsi="宋体" w:cs="宋体"/>
          <w:color w:val="auto"/>
          <w:sz w:val="24"/>
          <w:szCs w:val="24"/>
        </w:rPr>
      </w:pPr>
      <w:r>
        <w:rPr>
          <w:rFonts w:hint="eastAsia" w:hAnsi="宋体" w:cs="宋体"/>
          <w:color w:val="auto"/>
          <w:sz w:val="24"/>
          <w:szCs w:val="24"/>
        </w:rPr>
        <w:t>周口市公共资源交易中心政府采购中心</w:t>
      </w:r>
    </w:p>
    <w:p w14:paraId="714A32E6">
      <w:pPr>
        <w:pStyle w:val="20"/>
        <w:adjustRightInd w:val="0"/>
        <w:spacing w:line="360" w:lineRule="auto"/>
        <w:ind w:firstLine="3360" w:firstLineChars="1400"/>
        <w:rPr>
          <w:rFonts w:hint="eastAsia" w:ascii="宋体" w:hAnsi="宋体" w:cs="宋体"/>
          <w:color w:val="auto"/>
        </w:rPr>
      </w:pPr>
      <w:r>
        <w:rPr>
          <w:rFonts w:hint="eastAsia" w:ascii="宋体" w:hAnsi="宋体" w:cs="宋体"/>
          <w:color w:val="auto"/>
          <w:sz w:val="24"/>
          <w:szCs w:val="24"/>
        </w:rPr>
        <w:t>2025年</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hint="eastAsia" w:ascii="宋体" w:hAnsi="宋体" w:cs="宋体"/>
          <w:color w:val="auto"/>
          <w:sz w:val="24"/>
          <w:szCs w:val="24"/>
          <w:lang w:val="en-US" w:eastAsia="zh-CN"/>
        </w:rPr>
        <w:t>7</w:t>
      </w:r>
      <w:r>
        <w:rPr>
          <w:rFonts w:hint="eastAsia" w:ascii="宋体" w:hAnsi="宋体" w:cs="宋体"/>
          <w:color w:val="auto"/>
          <w:sz w:val="24"/>
          <w:szCs w:val="24"/>
        </w:rPr>
        <w:t>日　　</w:t>
      </w:r>
    </w:p>
    <w:p w14:paraId="468F988A">
      <w:pPr>
        <w:pStyle w:val="20"/>
        <w:adjustRightInd w:val="0"/>
        <w:spacing w:line="360" w:lineRule="auto"/>
        <w:rPr>
          <w:color w:val="auto"/>
        </w:rPr>
      </w:pPr>
    </w:p>
    <w:p w14:paraId="0DDBD10F">
      <w:pPr>
        <w:pStyle w:val="20"/>
        <w:adjustRightInd w:val="0"/>
        <w:spacing w:line="360" w:lineRule="auto"/>
        <w:rPr>
          <w:color w:val="auto"/>
        </w:rPr>
      </w:pPr>
    </w:p>
    <w:p w14:paraId="44EFE7A5">
      <w:pPr>
        <w:pStyle w:val="20"/>
        <w:adjustRightInd w:val="0"/>
        <w:spacing w:line="360" w:lineRule="auto"/>
        <w:rPr>
          <w:color w:val="auto"/>
        </w:rPr>
      </w:pPr>
    </w:p>
    <w:p w14:paraId="42966B73">
      <w:pPr>
        <w:pStyle w:val="20"/>
        <w:adjustRightInd w:val="0"/>
        <w:spacing w:line="360" w:lineRule="auto"/>
        <w:rPr>
          <w:color w:val="auto"/>
        </w:rPr>
      </w:pPr>
    </w:p>
    <w:p w14:paraId="1FA4F1B2">
      <w:pPr>
        <w:pStyle w:val="20"/>
        <w:adjustRightInd w:val="0"/>
        <w:spacing w:line="360" w:lineRule="auto"/>
        <w:rPr>
          <w:color w:val="auto"/>
        </w:rPr>
      </w:pPr>
    </w:p>
    <w:p w14:paraId="15D9081E">
      <w:pPr>
        <w:pStyle w:val="20"/>
        <w:adjustRightInd w:val="0"/>
        <w:spacing w:line="360" w:lineRule="auto"/>
        <w:rPr>
          <w:color w:val="auto"/>
        </w:rPr>
      </w:pPr>
    </w:p>
    <w:p w14:paraId="42192131">
      <w:pPr>
        <w:pStyle w:val="20"/>
        <w:adjustRightInd w:val="0"/>
        <w:spacing w:line="360" w:lineRule="auto"/>
        <w:rPr>
          <w:color w:val="auto"/>
        </w:rPr>
      </w:pPr>
    </w:p>
    <w:p w14:paraId="591B3AC7">
      <w:pPr>
        <w:pStyle w:val="20"/>
        <w:adjustRightInd w:val="0"/>
        <w:spacing w:line="360" w:lineRule="auto"/>
        <w:rPr>
          <w:color w:val="auto"/>
        </w:rPr>
      </w:pPr>
    </w:p>
    <w:p w14:paraId="04AAC64E">
      <w:pPr>
        <w:pStyle w:val="20"/>
        <w:adjustRightInd w:val="0"/>
        <w:spacing w:line="360" w:lineRule="auto"/>
        <w:rPr>
          <w:color w:val="auto"/>
        </w:rPr>
      </w:pPr>
    </w:p>
    <w:p w14:paraId="268641EE">
      <w:pPr>
        <w:pStyle w:val="20"/>
        <w:adjustRightInd w:val="0"/>
        <w:spacing w:line="360" w:lineRule="auto"/>
        <w:rPr>
          <w:color w:val="auto"/>
        </w:rPr>
      </w:pPr>
    </w:p>
    <w:p w14:paraId="079C05A8">
      <w:pPr>
        <w:pStyle w:val="20"/>
        <w:adjustRightInd w:val="0"/>
        <w:spacing w:line="360" w:lineRule="auto"/>
        <w:rPr>
          <w:color w:val="auto"/>
        </w:rPr>
      </w:pPr>
    </w:p>
    <w:p w14:paraId="0791A85F">
      <w:pPr>
        <w:pStyle w:val="20"/>
        <w:adjustRightInd w:val="0"/>
        <w:spacing w:line="360" w:lineRule="auto"/>
        <w:rPr>
          <w:color w:val="auto"/>
        </w:rPr>
      </w:pPr>
    </w:p>
    <w:p w14:paraId="79F4E9AC">
      <w:pPr>
        <w:pStyle w:val="20"/>
        <w:adjustRightInd w:val="0"/>
        <w:spacing w:line="360" w:lineRule="auto"/>
        <w:rPr>
          <w:color w:val="auto"/>
        </w:rPr>
      </w:pPr>
    </w:p>
    <w:p w14:paraId="43B56F49">
      <w:pPr>
        <w:pStyle w:val="20"/>
        <w:adjustRightInd w:val="0"/>
        <w:spacing w:line="360" w:lineRule="auto"/>
        <w:rPr>
          <w:color w:val="auto"/>
        </w:rPr>
      </w:pPr>
    </w:p>
    <w:p w14:paraId="227B0A7B">
      <w:pPr>
        <w:pStyle w:val="20"/>
        <w:adjustRightInd w:val="0"/>
        <w:spacing w:line="360" w:lineRule="auto"/>
        <w:rPr>
          <w:color w:val="auto"/>
        </w:rPr>
      </w:pPr>
    </w:p>
    <w:p w14:paraId="654DC4AF">
      <w:pPr>
        <w:pStyle w:val="20"/>
        <w:adjustRightInd w:val="0"/>
        <w:spacing w:line="360" w:lineRule="auto"/>
        <w:rPr>
          <w:color w:val="auto"/>
        </w:rPr>
      </w:pPr>
    </w:p>
    <w:p w14:paraId="737F49A9">
      <w:pPr>
        <w:pStyle w:val="20"/>
        <w:adjustRightInd w:val="0"/>
        <w:spacing w:line="360" w:lineRule="auto"/>
        <w:rPr>
          <w:color w:val="auto"/>
        </w:rPr>
      </w:pPr>
    </w:p>
    <w:p w14:paraId="7539BB4C">
      <w:pPr>
        <w:pStyle w:val="3"/>
        <w:ind w:firstLine="0"/>
        <w:rPr>
          <w:rFonts w:hint="eastAsia" w:ascii="宋体" w:hAnsi="宋体" w:eastAsia="宋体" w:cs="宋体"/>
          <w:color w:val="auto"/>
        </w:rPr>
      </w:pPr>
      <w:bookmarkStart w:id="41" w:name="_Toc40975437"/>
      <w:r>
        <w:rPr>
          <w:rFonts w:hint="eastAsia" w:ascii="宋体" w:hAnsi="宋体" w:eastAsia="宋体" w:cs="宋体"/>
          <w:color w:val="auto"/>
        </w:rPr>
        <w:t>第二章 投标人须</w:t>
      </w:r>
      <w:bookmarkEnd w:id="7"/>
      <w:r>
        <w:rPr>
          <w:rFonts w:hint="eastAsia" w:ascii="宋体" w:hAnsi="宋体" w:eastAsia="宋体" w:cs="宋体"/>
          <w:color w:val="auto"/>
        </w:rPr>
        <w:t>知前</w:t>
      </w:r>
      <w:bookmarkEnd w:id="8"/>
      <w:r>
        <w:rPr>
          <w:rFonts w:hint="eastAsia" w:ascii="宋体" w:hAnsi="宋体" w:eastAsia="宋体" w:cs="宋体"/>
          <w:color w:val="auto"/>
        </w:rPr>
        <w:t>附表</w:t>
      </w:r>
      <w:bookmarkEnd w:id="9"/>
      <w:bookmarkEnd w:id="41"/>
    </w:p>
    <w:tbl>
      <w:tblPr>
        <w:tblStyle w:val="29"/>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1976"/>
        <w:gridCol w:w="6086"/>
      </w:tblGrid>
      <w:tr w14:paraId="20F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vAlign w:val="center"/>
          </w:tcPr>
          <w:p w14:paraId="42D349D2">
            <w:pPr>
              <w:rPr>
                <w:rFonts w:hint="eastAsia" w:ascii="宋体" w:hAnsi="宋体"/>
                <w:color w:val="auto"/>
                <w:sz w:val="24"/>
                <w:szCs w:val="24"/>
              </w:rPr>
            </w:pPr>
            <w:bookmarkStart w:id="42" w:name="_Hlt519045778"/>
            <w:bookmarkEnd w:id="42"/>
            <w:bookmarkStart w:id="43" w:name="_Hlt516969057"/>
            <w:bookmarkEnd w:id="43"/>
            <w:bookmarkStart w:id="44" w:name="_Hlt509650351"/>
            <w:bookmarkEnd w:id="44"/>
            <w:bookmarkStart w:id="45" w:name="_Hlt509650027"/>
            <w:bookmarkEnd w:id="45"/>
            <w:bookmarkStart w:id="46" w:name="_Toc220232390"/>
            <w:bookmarkStart w:id="47" w:name="_Toc450_WPSOffice_Level1"/>
            <w:r>
              <w:rPr>
                <w:rFonts w:hint="eastAsia" w:ascii="宋体" w:hAnsi="宋体"/>
                <w:color w:val="auto"/>
                <w:sz w:val="24"/>
                <w:szCs w:val="24"/>
              </w:rPr>
              <w:t>序号</w:t>
            </w:r>
          </w:p>
        </w:tc>
        <w:tc>
          <w:tcPr>
            <w:tcW w:w="1976" w:type="dxa"/>
            <w:vAlign w:val="center"/>
          </w:tcPr>
          <w:p w14:paraId="3EC3D6D4">
            <w:pPr>
              <w:rPr>
                <w:rFonts w:hint="eastAsia" w:ascii="宋体" w:hAnsi="宋体"/>
                <w:color w:val="auto"/>
                <w:sz w:val="24"/>
                <w:szCs w:val="24"/>
              </w:rPr>
            </w:pPr>
            <w:r>
              <w:rPr>
                <w:rFonts w:hint="eastAsia" w:ascii="宋体" w:hAnsi="宋体"/>
                <w:color w:val="auto"/>
                <w:sz w:val="24"/>
                <w:szCs w:val="24"/>
              </w:rPr>
              <w:t>内容</w:t>
            </w:r>
          </w:p>
        </w:tc>
        <w:tc>
          <w:tcPr>
            <w:tcW w:w="6086" w:type="dxa"/>
            <w:vAlign w:val="center"/>
          </w:tcPr>
          <w:p w14:paraId="7A155F2D">
            <w:pPr>
              <w:rPr>
                <w:rFonts w:hint="eastAsia" w:ascii="宋体" w:hAnsi="宋体"/>
                <w:color w:val="auto"/>
                <w:sz w:val="24"/>
                <w:szCs w:val="24"/>
              </w:rPr>
            </w:pPr>
            <w:r>
              <w:rPr>
                <w:rFonts w:hint="eastAsia" w:ascii="宋体" w:hAnsi="宋体"/>
                <w:color w:val="auto"/>
                <w:sz w:val="24"/>
                <w:szCs w:val="24"/>
              </w:rPr>
              <w:t>说明与要求</w:t>
            </w:r>
          </w:p>
        </w:tc>
      </w:tr>
      <w:tr w14:paraId="12DC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vAlign w:val="center"/>
          </w:tcPr>
          <w:p w14:paraId="5F13F682">
            <w:pPr>
              <w:rPr>
                <w:rFonts w:hint="eastAsia" w:ascii="宋体" w:hAnsi="宋体"/>
                <w:color w:val="auto"/>
                <w:sz w:val="24"/>
                <w:szCs w:val="24"/>
              </w:rPr>
            </w:pPr>
            <w:r>
              <w:rPr>
                <w:rFonts w:hint="eastAsia" w:ascii="宋体" w:hAnsi="宋体"/>
                <w:color w:val="auto"/>
                <w:sz w:val="24"/>
                <w:szCs w:val="24"/>
              </w:rPr>
              <w:t>1</w:t>
            </w:r>
          </w:p>
        </w:tc>
        <w:tc>
          <w:tcPr>
            <w:tcW w:w="1976" w:type="dxa"/>
            <w:vAlign w:val="center"/>
          </w:tcPr>
          <w:p w14:paraId="1BE4BA09">
            <w:pPr>
              <w:rPr>
                <w:rFonts w:hint="eastAsia" w:ascii="宋体" w:hAnsi="宋体"/>
                <w:color w:val="auto"/>
                <w:sz w:val="24"/>
                <w:szCs w:val="24"/>
              </w:rPr>
            </w:pPr>
            <w:r>
              <w:rPr>
                <w:rFonts w:hint="eastAsia" w:ascii="宋体" w:hAnsi="宋体"/>
                <w:color w:val="auto"/>
                <w:sz w:val="24"/>
                <w:szCs w:val="24"/>
              </w:rPr>
              <w:t>采购人</w:t>
            </w:r>
          </w:p>
        </w:tc>
        <w:tc>
          <w:tcPr>
            <w:tcW w:w="6086" w:type="dxa"/>
            <w:vAlign w:val="center"/>
          </w:tcPr>
          <w:p w14:paraId="30C1B8D2">
            <w:pPr>
              <w:rPr>
                <w:rFonts w:hint="eastAsia" w:ascii="宋体" w:hAnsi="宋体"/>
                <w:color w:val="auto"/>
                <w:sz w:val="24"/>
                <w:szCs w:val="24"/>
              </w:rPr>
            </w:pPr>
            <w:r>
              <w:rPr>
                <w:rFonts w:hint="eastAsia" w:ascii="宋体" w:hAnsi="宋体" w:cs="宋体"/>
                <w:color w:val="auto"/>
                <w:sz w:val="24"/>
                <w:szCs w:val="24"/>
              </w:rPr>
              <w:t>周口市生态环境局郸城分局</w:t>
            </w:r>
          </w:p>
        </w:tc>
      </w:tr>
      <w:tr w14:paraId="0105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vAlign w:val="center"/>
          </w:tcPr>
          <w:p w14:paraId="234625CB">
            <w:pPr>
              <w:rPr>
                <w:rFonts w:hint="eastAsia" w:ascii="宋体" w:hAnsi="宋体"/>
                <w:color w:val="auto"/>
                <w:sz w:val="24"/>
                <w:szCs w:val="24"/>
              </w:rPr>
            </w:pPr>
            <w:r>
              <w:rPr>
                <w:rFonts w:hint="eastAsia" w:ascii="宋体" w:hAnsi="宋体"/>
                <w:color w:val="auto"/>
                <w:sz w:val="24"/>
                <w:szCs w:val="24"/>
              </w:rPr>
              <w:t>2</w:t>
            </w:r>
          </w:p>
        </w:tc>
        <w:tc>
          <w:tcPr>
            <w:tcW w:w="1976" w:type="dxa"/>
            <w:vAlign w:val="center"/>
          </w:tcPr>
          <w:p w14:paraId="552493E4">
            <w:pPr>
              <w:rPr>
                <w:rFonts w:hint="eastAsia" w:ascii="宋体" w:hAnsi="宋体"/>
                <w:color w:val="auto"/>
                <w:sz w:val="24"/>
                <w:szCs w:val="24"/>
              </w:rPr>
            </w:pPr>
            <w:r>
              <w:rPr>
                <w:rFonts w:hint="eastAsia" w:ascii="宋体" w:hAnsi="宋体"/>
                <w:color w:val="auto"/>
                <w:sz w:val="24"/>
                <w:szCs w:val="24"/>
              </w:rPr>
              <w:t>委托人</w:t>
            </w:r>
          </w:p>
        </w:tc>
        <w:tc>
          <w:tcPr>
            <w:tcW w:w="6086" w:type="dxa"/>
            <w:vAlign w:val="center"/>
          </w:tcPr>
          <w:p w14:paraId="774A860A">
            <w:pPr>
              <w:rPr>
                <w:rFonts w:hint="eastAsia" w:ascii="宋体" w:hAnsi="宋体"/>
                <w:color w:val="auto"/>
                <w:sz w:val="24"/>
                <w:szCs w:val="24"/>
              </w:rPr>
            </w:pPr>
            <w:r>
              <w:rPr>
                <w:rFonts w:hint="eastAsia" w:ascii="宋体" w:hAnsi="宋体" w:cs="宋体"/>
                <w:color w:val="auto"/>
                <w:sz w:val="24"/>
                <w:szCs w:val="24"/>
              </w:rPr>
              <w:t>周口市生态环境局郸城分局</w:t>
            </w:r>
          </w:p>
        </w:tc>
      </w:tr>
      <w:tr w14:paraId="2F48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vAlign w:val="center"/>
          </w:tcPr>
          <w:p w14:paraId="3D26EECD">
            <w:pPr>
              <w:rPr>
                <w:rFonts w:hint="eastAsia" w:ascii="宋体" w:hAnsi="宋体"/>
                <w:color w:val="auto"/>
                <w:sz w:val="24"/>
                <w:szCs w:val="24"/>
              </w:rPr>
            </w:pPr>
            <w:r>
              <w:rPr>
                <w:rFonts w:hint="eastAsia" w:ascii="宋体" w:hAnsi="宋体"/>
                <w:color w:val="auto"/>
                <w:sz w:val="24"/>
                <w:szCs w:val="24"/>
              </w:rPr>
              <w:t>3</w:t>
            </w:r>
          </w:p>
        </w:tc>
        <w:tc>
          <w:tcPr>
            <w:tcW w:w="1976" w:type="dxa"/>
            <w:vAlign w:val="center"/>
          </w:tcPr>
          <w:p w14:paraId="19A3F50F">
            <w:pPr>
              <w:rPr>
                <w:rFonts w:hint="eastAsia" w:ascii="宋体" w:hAnsi="宋体"/>
                <w:color w:val="auto"/>
                <w:sz w:val="24"/>
                <w:szCs w:val="24"/>
              </w:rPr>
            </w:pPr>
            <w:r>
              <w:rPr>
                <w:rFonts w:hint="eastAsia" w:ascii="宋体" w:hAnsi="宋体"/>
                <w:color w:val="auto"/>
                <w:sz w:val="24"/>
                <w:szCs w:val="24"/>
              </w:rPr>
              <w:t>采购代理机构</w:t>
            </w:r>
          </w:p>
        </w:tc>
        <w:tc>
          <w:tcPr>
            <w:tcW w:w="6086" w:type="dxa"/>
            <w:vAlign w:val="center"/>
          </w:tcPr>
          <w:p w14:paraId="41FD036F">
            <w:pPr>
              <w:rPr>
                <w:rFonts w:hint="eastAsia" w:ascii="宋体" w:hAnsi="宋体"/>
                <w:color w:val="auto"/>
                <w:sz w:val="24"/>
                <w:szCs w:val="24"/>
              </w:rPr>
            </w:pPr>
            <w:r>
              <w:rPr>
                <w:rFonts w:hint="eastAsia" w:ascii="宋体" w:hAnsi="宋体"/>
                <w:color w:val="auto"/>
                <w:sz w:val="24"/>
                <w:szCs w:val="24"/>
              </w:rPr>
              <w:t>名  称：周口市公共资源交易中心政府采购中心</w:t>
            </w:r>
          </w:p>
          <w:p w14:paraId="2279A200">
            <w:pPr>
              <w:spacing w:line="360" w:lineRule="auto"/>
              <w:jc w:val="left"/>
              <w:rPr>
                <w:rFonts w:hint="eastAsia" w:ascii="宋体" w:hAnsi="宋体"/>
                <w:color w:val="auto"/>
                <w:sz w:val="24"/>
                <w:szCs w:val="24"/>
              </w:rPr>
            </w:pPr>
            <w:r>
              <w:rPr>
                <w:rFonts w:hint="eastAsia" w:ascii="宋体" w:hAnsi="宋体"/>
                <w:color w:val="auto"/>
                <w:sz w:val="24"/>
                <w:szCs w:val="24"/>
              </w:rPr>
              <w:t>地  址：</w:t>
            </w:r>
            <w:r>
              <w:rPr>
                <w:rFonts w:hint="eastAsia" w:ascii="宋体" w:hAnsi="宋体" w:cs="宋体"/>
                <w:color w:val="auto"/>
                <w:sz w:val="24"/>
                <w:szCs w:val="24"/>
              </w:rPr>
              <w:t>周口市光明路与政通路交叉口向北100米路东</w:t>
            </w:r>
          </w:p>
        </w:tc>
      </w:tr>
      <w:tr w14:paraId="3F9F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11BB0134">
            <w:pPr>
              <w:rPr>
                <w:rFonts w:hint="eastAsia" w:ascii="宋体" w:hAnsi="宋体"/>
                <w:color w:val="auto"/>
                <w:sz w:val="24"/>
                <w:szCs w:val="24"/>
              </w:rPr>
            </w:pPr>
            <w:r>
              <w:rPr>
                <w:rFonts w:hint="eastAsia" w:ascii="宋体" w:hAnsi="宋体"/>
                <w:color w:val="auto"/>
                <w:sz w:val="24"/>
                <w:szCs w:val="24"/>
              </w:rPr>
              <w:t>4</w:t>
            </w:r>
          </w:p>
        </w:tc>
        <w:tc>
          <w:tcPr>
            <w:tcW w:w="1976" w:type="dxa"/>
            <w:vAlign w:val="center"/>
          </w:tcPr>
          <w:p w14:paraId="4E29F391">
            <w:pPr>
              <w:rPr>
                <w:rFonts w:hint="eastAsia" w:ascii="宋体" w:hAnsi="宋体"/>
                <w:color w:val="auto"/>
                <w:sz w:val="24"/>
                <w:szCs w:val="24"/>
              </w:rPr>
            </w:pPr>
            <w:r>
              <w:rPr>
                <w:rFonts w:hint="eastAsia" w:ascii="宋体" w:hAnsi="宋体"/>
                <w:color w:val="auto"/>
                <w:sz w:val="24"/>
                <w:szCs w:val="24"/>
              </w:rPr>
              <w:t>项目名称</w:t>
            </w:r>
          </w:p>
        </w:tc>
        <w:tc>
          <w:tcPr>
            <w:tcW w:w="6086" w:type="dxa"/>
            <w:vAlign w:val="center"/>
          </w:tcPr>
          <w:p w14:paraId="3A71ED0C">
            <w:pPr>
              <w:rPr>
                <w:rFonts w:hint="eastAsia" w:ascii="宋体" w:hAnsi="宋体"/>
                <w:color w:val="auto"/>
                <w:sz w:val="24"/>
                <w:szCs w:val="24"/>
              </w:rPr>
            </w:pPr>
            <w:r>
              <w:rPr>
                <w:rFonts w:hint="eastAsia" w:ascii="宋体" w:hAnsi="宋体"/>
                <w:color w:val="auto"/>
                <w:sz w:val="24"/>
                <w:szCs w:val="24"/>
              </w:rPr>
              <w:t>周口市生态环境局郸城分局郸城县入河排污口规范化建设工程</w:t>
            </w:r>
          </w:p>
        </w:tc>
      </w:tr>
      <w:tr w14:paraId="7B30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14" w:type="dxa"/>
            <w:vAlign w:val="center"/>
          </w:tcPr>
          <w:p w14:paraId="702325ED">
            <w:pPr>
              <w:rPr>
                <w:rFonts w:hint="eastAsia" w:ascii="宋体" w:hAnsi="宋体"/>
                <w:color w:val="auto"/>
                <w:sz w:val="24"/>
                <w:szCs w:val="24"/>
              </w:rPr>
            </w:pPr>
            <w:r>
              <w:rPr>
                <w:rFonts w:hint="eastAsia" w:ascii="宋体" w:hAnsi="宋体"/>
                <w:color w:val="auto"/>
                <w:sz w:val="24"/>
                <w:szCs w:val="24"/>
              </w:rPr>
              <w:t>5</w:t>
            </w:r>
          </w:p>
        </w:tc>
        <w:tc>
          <w:tcPr>
            <w:tcW w:w="1976" w:type="dxa"/>
            <w:vAlign w:val="center"/>
          </w:tcPr>
          <w:p w14:paraId="0F72F4A1">
            <w:pPr>
              <w:rPr>
                <w:rFonts w:hint="eastAsia" w:ascii="宋体" w:hAnsi="宋体"/>
                <w:color w:val="auto"/>
                <w:sz w:val="24"/>
                <w:szCs w:val="24"/>
              </w:rPr>
            </w:pPr>
            <w:r>
              <w:rPr>
                <w:rFonts w:hint="eastAsia" w:ascii="宋体" w:hAnsi="宋体"/>
                <w:color w:val="auto"/>
                <w:sz w:val="24"/>
                <w:szCs w:val="24"/>
              </w:rPr>
              <w:t>项目编号</w:t>
            </w:r>
          </w:p>
        </w:tc>
        <w:tc>
          <w:tcPr>
            <w:tcW w:w="6086" w:type="dxa"/>
            <w:vAlign w:val="center"/>
          </w:tcPr>
          <w:p w14:paraId="481F7DF5">
            <w:pPr>
              <w:rPr>
                <w:rFonts w:hint="eastAsia" w:ascii="宋体" w:hAnsi="宋体"/>
                <w:color w:val="auto"/>
                <w:sz w:val="24"/>
                <w:szCs w:val="24"/>
              </w:rPr>
            </w:pPr>
            <w:r>
              <w:rPr>
                <w:rFonts w:hint="eastAsia" w:ascii="宋体" w:hAnsi="宋体"/>
                <w:color w:val="auto"/>
                <w:sz w:val="24"/>
                <w:szCs w:val="24"/>
              </w:rPr>
              <w:t>郸财招标采购-2025-</w:t>
            </w:r>
            <w:r>
              <w:rPr>
                <w:rFonts w:hint="eastAsia" w:ascii="宋体" w:hAnsi="宋体"/>
                <w:color w:val="auto"/>
                <w:sz w:val="24"/>
                <w:szCs w:val="24"/>
                <w:lang w:val="en-US" w:eastAsia="zh-CN"/>
              </w:rPr>
              <w:t>30</w:t>
            </w:r>
          </w:p>
        </w:tc>
      </w:tr>
      <w:tr w14:paraId="0DB79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14" w:type="dxa"/>
            <w:vAlign w:val="center"/>
          </w:tcPr>
          <w:p w14:paraId="7C65300F">
            <w:pPr>
              <w:rPr>
                <w:rFonts w:hint="eastAsia" w:ascii="宋体" w:hAnsi="宋体"/>
                <w:color w:val="auto"/>
                <w:sz w:val="24"/>
                <w:szCs w:val="24"/>
              </w:rPr>
            </w:pPr>
            <w:r>
              <w:rPr>
                <w:rFonts w:hint="eastAsia" w:ascii="宋体" w:hAnsi="宋体"/>
                <w:color w:val="auto"/>
                <w:sz w:val="24"/>
                <w:szCs w:val="24"/>
              </w:rPr>
              <w:t>6</w:t>
            </w:r>
          </w:p>
        </w:tc>
        <w:tc>
          <w:tcPr>
            <w:tcW w:w="1976" w:type="dxa"/>
            <w:vAlign w:val="center"/>
          </w:tcPr>
          <w:p w14:paraId="50F19BB8">
            <w:pPr>
              <w:rPr>
                <w:rFonts w:hint="eastAsia" w:ascii="宋体" w:hAnsi="宋体"/>
                <w:color w:val="auto"/>
                <w:sz w:val="24"/>
                <w:szCs w:val="24"/>
              </w:rPr>
            </w:pPr>
            <w:r>
              <w:rPr>
                <w:rFonts w:hint="eastAsia" w:ascii="宋体" w:hAnsi="宋体"/>
                <w:color w:val="auto"/>
                <w:sz w:val="24"/>
                <w:szCs w:val="24"/>
              </w:rPr>
              <w:t>项目性质</w:t>
            </w:r>
          </w:p>
        </w:tc>
        <w:tc>
          <w:tcPr>
            <w:tcW w:w="6086" w:type="dxa"/>
            <w:vAlign w:val="center"/>
          </w:tcPr>
          <w:p w14:paraId="5FEFCDD0">
            <w:pPr>
              <w:rPr>
                <w:rFonts w:hint="eastAsia" w:ascii="宋体" w:hAnsi="宋体"/>
                <w:color w:val="auto"/>
                <w:sz w:val="24"/>
                <w:szCs w:val="24"/>
              </w:rPr>
            </w:pPr>
            <w:r>
              <w:rPr>
                <w:rFonts w:hint="eastAsia" w:ascii="宋体" w:hAnsi="宋体"/>
                <w:color w:val="auto"/>
                <w:sz w:val="24"/>
                <w:szCs w:val="24"/>
              </w:rPr>
              <w:t>货物类</w:t>
            </w:r>
          </w:p>
        </w:tc>
      </w:tr>
      <w:tr w14:paraId="2CBE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57C035D1">
            <w:pPr>
              <w:rPr>
                <w:rFonts w:hint="eastAsia" w:ascii="宋体" w:hAnsi="宋体"/>
                <w:color w:val="auto"/>
                <w:sz w:val="24"/>
                <w:szCs w:val="24"/>
              </w:rPr>
            </w:pPr>
            <w:r>
              <w:rPr>
                <w:rFonts w:hint="eastAsia" w:ascii="宋体" w:hAnsi="宋体"/>
                <w:color w:val="auto"/>
                <w:sz w:val="24"/>
                <w:szCs w:val="24"/>
              </w:rPr>
              <w:t>7</w:t>
            </w:r>
          </w:p>
        </w:tc>
        <w:tc>
          <w:tcPr>
            <w:tcW w:w="1976" w:type="dxa"/>
            <w:vAlign w:val="center"/>
          </w:tcPr>
          <w:p w14:paraId="03DD6F17">
            <w:pPr>
              <w:rPr>
                <w:rFonts w:hint="eastAsia" w:ascii="宋体" w:hAnsi="宋体"/>
                <w:color w:val="auto"/>
                <w:sz w:val="24"/>
                <w:szCs w:val="24"/>
              </w:rPr>
            </w:pPr>
            <w:r>
              <w:rPr>
                <w:rFonts w:hint="eastAsia" w:ascii="宋体" w:hAnsi="宋体"/>
                <w:color w:val="auto"/>
                <w:sz w:val="24"/>
                <w:szCs w:val="24"/>
              </w:rPr>
              <w:t>资金来源</w:t>
            </w:r>
          </w:p>
        </w:tc>
        <w:tc>
          <w:tcPr>
            <w:tcW w:w="6086" w:type="dxa"/>
            <w:vAlign w:val="center"/>
          </w:tcPr>
          <w:p w14:paraId="60FB88DD">
            <w:pPr>
              <w:rPr>
                <w:rFonts w:hint="eastAsia" w:ascii="宋体" w:hAnsi="宋体"/>
                <w:color w:val="auto"/>
                <w:sz w:val="24"/>
                <w:szCs w:val="24"/>
              </w:rPr>
            </w:pPr>
            <w:r>
              <w:rPr>
                <w:rFonts w:hint="eastAsia" w:ascii="宋体" w:hAnsi="宋体"/>
                <w:color w:val="auto"/>
                <w:sz w:val="24"/>
                <w:szCs w:val="24"/>
              </w:rPr>
              <w:t>财政资金</w:t>
            </w:r>
          </w:p>
        </w:tc>
      </w:tr>
      <w:tr w14:paraId="0E29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224331B7">
            <w:pPr>
              <w:rPr>
                <w:rFonts w:hint="eastAsia" w:ascii="宋体" w:hAnsi="宋体"/>
                <w:color w:val="auto"/>
                <w:sz w:val="24"/>
                <w:szCs w:val="24"/>
              </w:rPr>
            </w:pPr>
            <w:r>
              <w:rPr>
                <w:rFonts w:hint="eastAsia" w:ascii="宋体" w:hAnsi="宋体"/>
                <w:color w:val="auto"/>
                <w:sz w:val="24"/>
                <w:szCs w:val="24"/>
              </w:rPr>
              <w:t>8</w:t>
            </w:r>
          </w:p>
        </w:tc>
        <w:tc>
          <w:tcPr>
            <w:tcW w:w="1976" w:type="dxa"/>
          </w:tcPr>
          <w:p w14:paraId="06D70B28">
            <w:pPr>
              <w:rPr>
                <w:rFonts w:hint="eastAsia" w:ascii="宋体" w:hAnsi="宋体"/>
                <w:color w:val="auto"/>
                <w:sz w:val="24"/>
                <w:szCs w:val="24"/>
              </w:rPr>
            </w:pPr>
            <w:r>
              <w:rPr>
                <w:rFonts w:hint="eastAsia" w:ascii="宋体" w:hAnsi="宋体"/>
                <w:color w:val="auto"/>
                <w:sz w:val="24"/>
                <w:szCs w:val="24"/>
              </w:rPr>
              <w:t>包别划分</w:t>
            </w:r>
          </w:p>
        </w:tc>
        <w:tc>
          <w:tcPr>
            <w:tcW w:w="6086" w:type="dxa"/>
            <w:vAlign w:val="center"/>
          </w:tcPr>
          <w:p w14:paraId="02D3B090">
            <w:pPr>
              <w:rPr>
                <w:rFonts w:hint="eastAsia" w:ascii="宋体" w:hAnsi="宋体"/>
                <w:color w:val="auto"/>
                <w:sz w:val="24"/>
                <w:szCs w:val="24"/>
              </w:rPr>
            </w:pPr>
            <w:r>
              <w:rPr>
                <w:rFonts w:hint="eastAsia" w:ascii="宋体" w:hAnsi="宋体"/>
                <w:color w:val="auto"/>
                <w:sz w:val="24"/>
                <w:szCs w:val="24"/>
              </w:rPr>
              <w:t>本次招标为</w:t>
            </w:r>
            <w:r>
              <w:rPr>
                <w:rFonts w:hint="eastAsia" w:ascii="宋体" w:hAnsi="宋体" w:cs="宋体"/>
                <w:color w:val="auto"/>
                <w:sz w:val="24"/>
                <w:szCs w:val="24"/>
              </w:rPr>
              <w:t>1</w:t>
            </w:r>
            <w:r>
              <w:rPr>
                <w:rFonts w:hint="eastAsia" w:ascii="宋体" w:hAnsi="宋体"/>
                <w:color w:val="auto"/>
                <w:sz w:val="24"/>
                <w:szCs w:val="24"/>
              </w:rPr>
              <w:t>个包</w:t>
            </w:r>
          </w:p>
        </w:tc>
      </w:tr>
      <w:tr w14:paraId="4EBB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5C90861A">
            <w:pPr>
              <w:rPr>
                <w:rFonts w:hint="eastAsia" w:ascii="宋体" w:hAnsi="宋体"/>
                <w:color w:val="auto"/>
                <w:sz w:val="24"/>
                <w:szCs w:val="24"/>
              </w:rPr>
            </w:pPr>
            <w:r>
              <w:rPr>
                <w:rFonts w:hint="eastAsia" w:ascii="宋体" w:hAnsi="宋体"/>
                <w:color w:val="auto"/>
                <w:sz w:val="24"/>
                <w:szCs w:val="24"/>
              </w:rPr>
              <w:t>9</w:t>
            </w:r>
          </w:p>
        </w:tc>
        <w:tc>
          <w:tcPr>
            <w:tcW w:w="1976" w:type="dxa"/>
            <w:vAlign w:val="center"/>
          </w:tcPr>
          <w:p w14:paraId="2F75766D">
            <w:pPr>
              <w:rPr>
                <w:rFonts w:hint="eastAsia" w:ascii="宋体" w:hAnsi="宋体"/>
                <w:color w:val="auto"/>
                <w:sz w:val="24"/>
                <w:szCs w:val="24"/>
              </w:rPr>
            </w:pPr>
            <w:r>
              <w:rPr>
                <w:rFonts w:hint="eastAsia" w:ascii="宋体" w:hAnsi="宋体"/>
                <w:color w:val="auto"/>
                <w:sz w:val="24"/>
                <w:szCs w:val="24"/>
              </w:rPr>
              <w:t>付款方式</w:t>
            </w:r>
          </w:p>
        </w:tc>
        <w:tc>
          <w:tcPr>
            <w:tcW w:w="6086" w:type="dxa"/>
            <w:vAlign w:val="center"/>
          </w:tcPr>
          <w:p w14:paraId="484D0B6A">
            <w:pPr>
              <w:rPr>
                <w:rFonts w:hint="eastAsia" w:ascii="宋体" w:hAnsi="宋体"/>
                <w:color w:val="auto"/>
                <w:sz w:val="24"/>
                <w:szCs w:val="24"/>
              </w:rPr>
            </w:pPr>
            <w:r>
              <w:rPr>
                <w:rFonts w:hint="eastAsia" w:ascii="宋体" w:hAnsi="宋体"/>
                <w:color w:val="auto"/>
                <w:sz w:val="24"/>
                <w:szCs w:val="24"/>
              </w:rPr>
              <w:t>合同签订后10个工作日内甲方支付乙方总合同款的40%预付款；主要设备交付甲方且核验无误后10个工作日内，支付总合同款的50%；设备安装调试完成并通过甲方验收后10个工作日内支付至合同款的100%。</w:t>
            </w:r>
          </w:p>
        </w:tc>
      </w:tr>
      <w:tr w14:paraId="51E6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14" w:type="dxa"/>
            <w:vAlign w:val="center"/>
          </w:tcPr>
          <w:p w14:paraId="12629EC4">
            <w:pPr>
              <w:rPr>
                <w:rFonts w:hint="eastAsia" w:ascii="宋体" w:hAnsi="宋体"/>
                <w:color w:val="auto"/>
                <w:sz w:val="24"/>
                <w:szCs w:val="24"/>
              </w:rPr>
            </w:pPr>
            <w:r>
              <w:rPr>
                <w:rFonts w:hint="eastAsia" w:ascii="宋体" w:hAnsi="宋体"/>
                <w:color w:val="auto"/>
                <w:sz w:val="24"/>
                <w:szCs w:val="24"/>
              </w:rPr>
              <w:t>10</w:t>
            </w:r>
          </w:p>
        </w:tc>
        <w:tc>
          <w:tcPr>
            <w:tcW w:w="1976" w:type="dxa"/>
            <w:vAlign w:val="center"/>
          </w:tcPr>
          <w:p w14:paraId="6C718950">
            <w:pPr>
              <w:rPr>
                <w:rFonts w:hint="eastAsia" w:ascii="宋体" w:hAnsi="宋体"/>
                <w:color w:val="auto"/>
                <w:sz w:val="24"/>
                <w:szCs w:val="24"/>
              </w:rPr>
            </w:pPr>
            <w:r>
              <w:rPr>
                <w:rFonts w:hint="eastAsia" w:ascii="宋体" w:hAnsi="宋体"/>
                <w:color w:val="auto"/>
                <w:sz w:val="24"/>
                <w:szCs w:val="24"/>
              </w:rPr>
              <w:t>联合体投标</w:t>
            </w:r>
          </w:p>
        </w:tc>
        <w:tc>
          <w:tcPr>
            <w:tcW w:w="6086" w:type="dxa"/>
            <w:vAlign w:val="center"/>
          </w:tcPr>
          <w:p w14:paraId="5AADA02C">
            <w:pPr>
              <w:rPr>
                <w:rFonts w:hint="eastAsia" w:ascii="宋体" w:hAnsi="宋体"/>
                <w:color w:val="auto"/>
                <w:sz w:val="24"/>
                <w:szCs w:val="24"/>
              </w:rPr>
            </w:pPr>
            <w:r>
              <w:rPr>
                <w:rFonts w:hint="eastAsia" w:ascii="宋体" w:hAnsi="宋体"/>
                <w:color w:val="auto"/>
                <w:sz w:val="24"/>
                <w:szCs w:val="24"/>
              </w:rPr>
              <w:t>不允许</w:t>
            </w:r>
          </w:p>
        </w:tc>
      </w:tr>
      <w:tr w14:paraId="0B59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14" w:type="dxa"/>
            <w:vAlign w:val="center"/>
          </w:tcPr>
          <w:p w14:paraId="16441404">
            <w:pPr>
              <w:rPr>
                <w:rFonts w:hint="eastAsia" w:ascii="宋体" w:hAnsi="宋体"/>
                <w:color w:val="auto"/>
                <w:sz w:val="24"/>
                <w:szCs w:val="24"/>
              </w:rPr>
            </w:pPr>
            <w:r>
              <w:rPr>
                <w:rFonts w:hint="eastAsia" w:ascii="宋体" w:hAnsi="宋体"/>
                <w:color w:val="auto"/>
                <w:sz w:val="24"/>
                <w:szCs w:val="24"/>
              </w:rPr>
              <w:t>11</w:t>
            </w:r>
          </w:p>
        </w:tc>
        <w:tc>
          <w:tcPr>
            <w:tcW w:w="1976" w:type="dxa"/>
            <w:vAlign w:val="center"/>
          </w:tcPr>
          <w:p w14:paraId="4CC09AAB">
            <w:pPr>
              <w:rPr>
                <w:rFonts w:hint="eastAsia" w:ascii="宋体" w:hAnsi="宋体"/>
                <w:color w:val="auto"/>
                <w:sz w:val="24"/>
                <w:szCs w:val="24"/>
              </w:rPr>
            </w:pPr>
            <w:r>
              <w:rPr>
                <w:rFonts w:hint="eastAsia" w:ascii="宋体" w:hAnsi="宋体"/>
                <w:color w:val="auto"/>
                <w:sz w:val="24"/>
                <w:szCs w:val="24"/>
              </w:rPr>
              <w:t>投标有效期</w:t>
            </w:r>
          </w:p>
        </w:tc>
        <w:tc>
          <w:tcPr>
            <w:tcW w:w="6086" w:type="dxa"/>
            <w:vAlign w:val="center"/>
          </w:tcPr>
          <w:p w14:paraId="13FA7B53">
            <w:pPr>
              <w:rPr>
                <w:rFonts w:hint="eastAsia" w:ascii="宋体" w:hAnsi="宋体"/>
                <w:color w:val="auto"/>
                <w:sz w:val="24"/>
                <w:szCs w:val="24"/>
              </w:rPr>
            </w:pPr>
            <w:r>
              <w:rPr>
                <w:rFonts w:hint="eastAsia" w:ascii="宋体" w:hAnsi="宋体" w:cs="宋体"/>
                <w:color w:val="auto"/>
                <w:sz w:val="24"/>
              </w:rPr>
              <w:t>投标截止日起60天</w:t>
            </w:r>
          </w:p>
        </w:tc>
      </w:tr>
      <w:tr w14:paraId="14922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614" w:type="dxa"/>
            <w:vAlign w:val="center"/>
          </w:tcPr>
          <w:p w14:paraId="1014BA9D">
            <w:pPr>
              <w:rPr>
                <w:rFonts w:hint="eastAsia" w:ascii="宋体" w:hAnsi="宋体"/>
                <w:color w:val="auto"/>
                <w:sz w:val="24"/>
                <w:szCs w:val="24"/>
              </w:rPr>
            </w:pPr>
            <w:r>
              <w:rPr>
                <w:rFonts w:hint="eastAsia" w:ascii="宋体" w:hAnsi="宋体"/>
                <w:color w:val="auto"/>
                <w:sz w:val="24"/>
                <w:szCs w:val="24"/>
              </w:rPr>
              <w:t>12</w:t>
            </w:r>
          </w:p>
        </w:tc>
        <w:tc>
          <w:tcPr>
            <w:tcW w:w="1976" w:type="dxa"/>
            <w:vAlign w:val="center"/>
          </w:tcPr>
          <w:p w14:paraId="0647C0FA">
            <w:pPr>
              <w:rPr>
                <w:rFonts w:hint="eastAsia" w:ascii="宋体" w:hAnsi="宋体"/>
                <w:color w:val="auto"/>
                <w:sz w:val="24"/>
                <w:szCs w:val="24"/>
              </w:rPr>
            </w:pPr>
            <w:r>
              <w:rPr>
                <w:rFonts w:hint="eastAsia" w:ascii="宋体" w:hAnsi="宋体"/>
                <w:color w:val="auto"/>
                <w:sz w:val="24"/>
                <w:szCs w:val="24"/>
              </w:rPr>
              <w:t>供货地点</w:t>
            </w:r>
          </w:p>
        </w:tc>
        <w:tc>
          <w:tcPr>
            <w:tcW w:w="6086" w:type="dxa"/>
            <w:vAlign w:val="center"/>
          </w:tcPr>
          <w:p w14:paraId="09C2E32E">
            <w:pPr>
              <w:rPr>
                <w:rFonts w:hint="eastAsia" w:ascii="宋体" w:hAnsi="宋体"/>
                <w:color w:val="auto"/>
                <w:sz w:val="24"/>
                <w:szCs w:val="24"/>
              </w:rPr>
            </w:pPr>
            <w:r>
              <w:rPr>
                <w:rFonts w:hint="eastAsia" w:ascii="宋体" w:hAnsi="宋体"/>
                <w:color w:val="auto"/>
                <w:sz w:val="24"/>
                <w:szCs w:val="24"/>
              </w:rPr>
              <w:t>采购人指定地点</w:t>
            </w:r>
          </w:p>
        </w:tc>
      </w:tr>
      <w:tr w14:paraId="3893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14" w:type="dxa"/>
            <w:vAlign w:val="center"/>
          </w:tcPr>
          <w:p w14:paraId="456B52EF">
            <w:pPr>
              <w:rPr>
                <w:rFonts w:hint="eastAsia" w:ascii="宋体" w:hAnsi="宋体"/>
                <w:color w:val="auto"/>
                <w:sz w:val="24"/>
                <w:szCs w:val="24"/>
              </w:rPr>
            </w:pPr>
            <w:r>
              <w:rPr>
                <w:rFonts w:hint="eastAsia" w:ascii="宋体" w:hAnsi="宋体"/>
                <w:color w:val="auto"/>
                <w:sz w:val="24"/>
                <w:szCs w:val="24"/>
              </w:rPr>
              <w:t>13</w:t>
            </w:r>
          </w:p>
        </w:tc>
        <w:tc>
          <w:tcPr>
            <w:tcW w:w="1976" w:type="dxa"/>
            <w:vAlign w:val="center"/>
          </w:tcPr>
          <w:p w14:paraId="41596BD2">
            <w:pPr>
              <w:rPr>
                <w:rFonts w:hint="eastAsia" w:ascii="宋体" w:hAnsi="宋体"/>
                <w:color w:val="auto"/>
                <w:sz w:val="24"/>
                <w:szCs w:val="24"/>
              </w:rPr>
            </w:pPr>
            <w:r>
              <w:rPr>
                <w:rFonts w:hint="eastAsia" w:ascii="宋体" w:hAnsi="宋体"/>
                <w:color w:val="auto"/>
                <w:sz w:val="24"/>
                <w:szCs w:val="24"/>
              </w:rPr>
              <w:t>供货及安装期限</w:t>
            </w:r>
          </w:p>
        </w:tc>
        <w:tc>
          <w:tcPr>
            <w:tcW w:w="6086" w:type="dxa"/>
            <w:vAlign w:val="center"/>
          </w:tcPr>
          <w:p w14:paraId="1E8A3EB1">
            <w:pPr>
              <w:rPr>
                <w:rFonts w:hint="eastAsia" w:ascii="宋体" w:hAnsi="宋体"/>
                <w:color w:val="auto"/>
                <w:sz w:val="24"/>
                <w:szCs w:val="24"/>
              </w:rPr>
            </w:pPr>
            <w:r>
              <w:rPr>
                <w:rFonts w:hint="eastAsia" w:ascii="宋体" w:hAnsi="宋体"/>
                <w:color w:val="auto"/>
                <w:sz w:val="24"/>
                <w:szCs w:val="24"/>
              </w:rPr>
              <w:t>合同签订后</w:t>
            </w:r>
            <w:r>
              <w:rPr>
                <w:rFonts w:hint="eastAsia" w:ascii="宋体" w:hAnsi="宋体" w:cs="宋体"/>
                <w:color w:val="auto"/>
                <w:sz w:val="24"/>
                <w:szCs w:val="24"/>
                <w:lang w:val="en-US" w:eastAsia="zh-CN"/>
              </w:rPr>
              <w:t>3个月</w:t>
            </w:r>
          </w:p>
        </w:tc>
      </w:tr>
      <w:tr w14:paraId="151A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14" w:type="dxa"/>
            <w:vAlign w:val="center"/>
          </w:tcPr>
          <w:p w14:paraId="1B025AFF">
            <w:pPr>
              <w:rPr>
                <w:rFonts w:hint="eastAsia" w:ascii="宋体" w:hAnsi="宋体"/>
                <w:color w:val="auto"/>
                <w:sz w:val="24"/>
                <w:szCs w:val="24"/>
              </w:rPr>
            </w:pPr>
            <w:r>
              <w:rPr>
                <w:rFonts w:hint="eastAsia" w:ascii="宋体" w:hAnsi="宋体"/>
                <w:color w:val="auto"/>
                <w:sz w:val="24"/>
                <w:szCs w:val="24"/>
              </w:rPr>
              <w:t>14</w:t>
            </w:r>
          </w:p>
        </w:tc>
        <w:tc>
          <w:tcPr>
            <w:tcW w:w="1976" w:type="dxa"/>
            <w:vAlign w:val="center"/>
          </w:tcPr>
          <w:p w14:paraId="4469ADF2">
            <w:pPr>
              <w:rPr>
                <w:rFonts w:hint="eastAsia" w:ascii="宋体" w:hAnsi="宋体"/>
                <w:color w:val="auto"/>
                <w:sz w:val="24"/>
                <w:szCs w:val="24"/>
              </w:rPr>
            </w:pPr>
            <w:r>
              <w:rPr>
                <w:rFonts w:hint="eastAsia" w:ascii="宋体" w:hAnsi="宋体"/>
                <w:color w:val="auto"/>
                <w:sz w:val="24"/>
                <w:szCs w:val="24"/>
              </w:rPr>
              <w:t>质保期</w:t>
            </w:r>
          </w:p>
        </w:tc>
        <w:tc>
          <w:tcPr>
            <w:tcW w:w="6086" w:type="dxa"/>
            <w:vAlign w:val="center"/>
          </w:tcPr>
          <w:p w14:paraId="2542F76E">
            <w:pPr>
              <w:rPr>
                <w:rFonts w:hint="eastAsia" w:ascii="宋体" w:hAnsi="宋体"/>
                <w:color w:val="auto"/>
                <w:sz w:val="24"/>
                <w:szCs w:val="24"/>
              </w:rPr>
            </w:pPr>
            <w:r>
              <w:rPr>
                <w:rFonts w:hint="eastAsia" w:ascii="宋体" w:hAnsi="宋体" w:cs="宋体"/>
                <w:color w:val="auto"/>
                <w:sz w:val="24"/>
                <w:szCs w:val="24"/>
              </w:rPr>
              <w:t>一年</w:t>
            </w:r>
          </w:p>
        </w:tc>
      </w:tr>
      <w:tr w14:paraId="4D56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470D806D">
            <w:pPr>
              <w:rPr>
                <w:rFonts w:hint="eastAsia" w:ascii="宋体" w:hAnsi="宋体"/>
                <w:color w:val="auto"/>
                <w:sz w:val="24"/>
                <w:szCs w:val="24"/>
              </w:rPr>
            </w:pPr>
            <w:r>
              <w:rPr>
                <w:rFonts w:hint="eastAsia" w:ascii="宋体" w:hAnsi="宋体"/>
                <w:color w:val="auto"/>
                <w:sz w:val="24"/>
                <w:szCs w:val="24"/>
              </w:rPr>
              <w:t>15</w:t>
            </w:r>
          </w:p>
        </w:tc>
        <w:tc>
          <w:tcPr>
            <w:tcW w:w="1976" w:type="dxa"/>
            <w:vAlign w:val="center"/>
          </w:tcPr>
          <w:p w14:paraId="6C04A731">
            <w:pPr>
              <w:rPr>
                <w:rFonts w:hint="eastAsia" w:ascii="宋体" w:hAnsi="宋体"/>
                <w:color w:val="auto"/>
                <w:sz w:val="24"/>
                <w:szCs w:val="24"/>
              </w:rPr>
            </w:pPr>
            <w:r>
              <w:rPr>
                <w:rFonts w:hint="eastAsia" w:ascii="宋体" w:hAnsi="宋体"/>
                <w:color w:val="auto"/>
                <w:sz w:val="24"/>
                <w:szCs w:val="24"/>
              </w:rPr>
              <w:t>投标保证金金额</w:t>
            </w:r>
          </w:p>
        </w:tc>
        <w:tc>
          <w:tcPr>
            <w:tcW w:w="6086" w:type="dxa"/>
            <w:vAlign w:val="center"/>
          </w:tcPr>
          <w:p w14:paraId="098EFB97">
            <w:pPr>
              <w:rPr>
                <w:rFonts w:hint="eastAsia" w:ascii="宋体" w:hAnsi="宋体"/>
                <w:color w:val="auto"/>
                <w:sz w:val="24"/>
                <w:szCs w:val="24"/>
              </w:rPr>
            </w:pPr>
            <w:r>
              <w:rPr>
                <w:rFonts w:hint="eastAsia" w:ascii="宋体" w:hAnsi="宋体"/>
                <w:color w:val="auto"/>
                <w:sz w:val="24"/>
                <w:szCs w:val="24"/>
              </w:rPr>
              <w:t>不需要缴纳投标保证金</w:t>
            </w:r>
          </w:p>
        </w:tc>
      </w:tr>
      <w:tr w14:paraId="0FB9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614" w:type="dxa"/>
            <w:vAlign w:val="center"/>
          </w:tcPr>
          <w:p w14:paraId="09D9B27D">
            <w:pPr>
              <w:rPr>
                <w:rFonts w:hint="eastAsia" w:ascii="宋体" w:hAnsi="宋体"/>
                <w:color w:val="auto"/>
                <w:sz w:val="24"/>
                <w:szCs w:val="24"/>
              </w:rPr>
            </w:pPr>
            <w:r>
              <w:rPr>
                <w:rFonts w:hint="eastAsia" w:ascii="宋体" w:hAnsi="宋体"/>
                <w:color w:val="auto"/>
                <w:sz w:val="24"/>
                <w:szCs w:val="24"/>
              </w:rPr>
              <w:t>16</w:t>
            </w:r>
          </w:p>
        </w:tc>
        <w:tc>
          <w:tcPr>
            <w:tcW w:w="1976" w:type="dxa"/>
            <w:vAlign w:val="center"/>
          </w:tcPr>
          <w:p w14:paraId="7FA10E8B">
            <w:pPr>
              <w:rPr>
                <w:rFonts w:hint="eastAsia" w:ascii="宋体" w:hAnsi="宋体"/>
                <w:color w:val="auto"/>
                <w:sz w:val="24"/>
                <w:szCs w:val="24"/>
              </w:rPr>
            </w:pPr>
            <w:r>
              <w:rPr>
                <w:rFonts w:hint="eastAsia" w:ascii="宋体" w:hAnsi="宋体"/>
                <w:color w:val="auto"/>
                <w:sz w:val="24"/>
                <w:szCs w:val="24"/>
              </w:rPr>
              <w:t>答疑</w:t>
            </w:r>
          </w:p>
        </w:tc>
        <w:tc>
          <w:tcPr>
            <w:tcW w:w="6086" w:type="dxa"/>
            <w:vAlign w:val="center"/>
          </w:tcPr>
          <w:p w14:paraId="60B7DFFB">
            <w:pPr>
              <w:rPr>
                <w:rFonts w:hint="eastAsia" w:ascii="宋体" w:hAnsi="宋体"/>
                <w:color w:val="auto"/>
                <w:sz w:val="24"/>
                <w:szCs w:val="24"/>
              </w:rPr>
            </w:pPr>
            <w:r>
              <w:rPr>
                <w:rFonts w:hint="eastAsia" w:ascii="宋体" w:hAnsi="宋体"/>
                <w:color w:val="auto"/>
                <w:sz w:val="24"/>
                <w:szCs w:val="24"/>
              </w:rPr>
              <w:t>疑问的提出与答疑获取详见招标文件第二部分第五章投标人须知第36条。</w:t>
            </w:r>
          </w:p>
          <w:p w14:paraId="09189932">
            <w:pPr>
              <w:rPr>
                <w:rFonts w:hint="eastAsia" w:ascii="宋体" w:hAnsi="宋体"/>
                <w:color w:val="auto"/>
                <w:sz w:val="24"/>
                <w:szCs w:val="24"/>
              </w:rPr>
            </w:pPr>
            <w:r>
              <w:rPr>
                <w:rFonts w:hint="eastAsia" w:ascii="宋体" w:hAnsi="宋体"/>
                <w:color w:val="auto"/>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EE2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614" w:type="dxa"/>
            <w:vAlign w:val="center"/>
          </w:tcPr>
          <w:p w14:paraId="6708DC19">
            <w:pPr>
              <w:rPr>
                <w:rFonts w:hint="eastAsia" w:ascii="宋体" w:hAnsi="宋体"/>
                <w:color w:val="auto"/>
                <w:sz w:val="24"/>
                <w:szCs w:val="24"/>
              </w:rPr>
            </w:pPr>
            <w:r>
              <w:rPr>
                <w:rFonts w:hint="eastAsia" w:ascii="宋体" w:hAnsi="宋体"/>
                <w:color w:val="auto"/>
                <w:sz w:val="24"/>
                <w:szCs w:val="24"/>
              </w:rPr>
              <w:t>17</w:t>
            </w:r>
          </w:p>
        </w:tc>
        <w:tc>
          <w:tcPr>
            <w:tcW w:w="1976" w:type="dxa"/>
            <w:vAlign w:val="center"/>
          </w:tcPr>
          <w:p w14:paraId="59F0A211">
            <w:pPr>
              <w:rPr>
                <w:rFonts w:hint="eastAsia" w:ascii="宋体" w:hAnsi="宋体"/>
                <w:color w:val="auto"/>
                <w:sz w:val="24"/>
                <w:szCs w:val="24"/>
              </w:rPr>
            </w:pPr>
            <w:r>
              <w:rPr>
                <w:rFonts w:hint="eastAsia" w:ascii="宋体" w:hAnsi="宋体"/>
                <w:color w:val="auto"/>
                <w:sz w:val="24"/>
                <w:szCs w:val="24"/>
              </w:rPr>
              <w:t>勘察现场</w:t>
            </w:r>
          </w:p>
        </w:tc>
        <w:tc>
          <w:tcPr>
            <w:tcW w:w="6086" w:type="dxa"/>
            <w:vAlign w:val="center"/>
          </w:tcPr>
          <w:p w14:paraId="7F865118">
            <w:pPr>
              <w:rPr>
                <w:rFonts w:hint="eastAsia" w:ascii="宋体" w:hAnsi="宋体"/>
                <w:color w:val="auto"/>
                <w:sz w:val="24"/>
                <w:szCs w:val="24"/>
              </w:rPr>
            </w:pPr>
            <w:r>
              <w:rPr>
                <w:rFonts w:hint="eastAsia" w:ascii="宋体" w:hAnsi="宋体" w:cs="宋体"/>
                <w:color w:val="auto"/>
                <w:sz w:val="24"/>
                <w:szCs w:val="24"/>
              </w:rPr>
              <w:t>详见“第五章 投标人须知  5.1 ”</w:t>
            </w:r>
          </w:p>
        </w:tc>
      </w:tr>
      <w:tr w14:paraId="51C3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614" w:type="dxa"/>
            <w:vAlign w:val="center"/>
          </w:tcPr>
          <w:p w14:paraId="2132133D">
            <w:pPr>
              <w:rPr>
                <w:rFonts w:hint="eastAsia" w:ascii="宋体" w:hAnsi="宋体"/>
                <w:color w:val="auto"/>
                <w:sz w:val="24"/>
                <w:szCs w:val="24"/>
              </w:rPr>
            </w:pPr>
            <w:r>
              <w:rPr>
                <w:rFonts w:hint="eastAsia" w:ascii="宋体" w:hAnsi="宋体"/>
                <w:color w:val="auto"/>
                <w:sz w:val="24"/>
                <w:szCs w:val="24"/>
              </w:rPr>
              <w:t>18</w:t>
            </w:r>
          </w:p>
        </w:tc>
        <w:tc>
          <w:tcPr>
            <w:tcW w:w="1976" w:type="dxa"/>
            <w:vAlign w:val="center"/>
          </w:tcPr>
          <w:p w14:paraId="1918C9A7">
            <w:pPr>
              <w:rPr>
                <w:rFonts w:hint="eastAsia" w:ascii="宋体" w:hAnsi="宋体"/>
                <w:color w:val="auto"/>
                <w:sz w:val="24"/>
                <w:szCs w:val="24"/>
              </w:rPr>
            </w:pPr>
            <w:r>
              <w:rPr>
                <w:rFonts w:hint="eastAsia" w:ascii="宋体" w:hAnsi="宋体"/>
                <w:color w:val="auto"/>
                <w:sz w:val="24"/>
                <w:szCs w:val="24"/>
              </w:rPr>
              <w:t>投标文件</w:t>
            </w:r>
          </w:p>
        </w:tc>
        <w:tc>
          <w:tcPr>
            <w:tcW w:w="6086" w:type="dxa"/>
            <w:vAlign w:val="center"/>
          </w:tcPr>
          <w:p w14:paraId="66FCD1E0">
            <w:pPr>
              <w:rPr>
                <w:rFonts w:hint="eastAsia" w:ascii="宋体" w:hAnsi="宋体"/>
                <w:color w:val="auto"/>
                <w:sz w:val="24"/>
                <w:szCs w:val="24"/>
              </w:rPr>
            </w:pPr>
            <w:r>
              <w:rPr>
                <w:rFonts w:hint="eastAsia" w:ascii="宋体" w:hAnsi="宋体"/>
                <w:color w:val="auto"/>
                <w:sz w:val="24"/>
                <w:szCs w:val="24"/>
              </w:rPr>
              <w:t>1、投标文件为使用周口市公共资源交易中心提供的电子标书制作工具软件（</w:t>
            </w:r>
            <w:r>
              <w:rPr>
                <w:rFonts w:hint="eastAsia" w:ascii="宋体" w:hAnsi="宋体"/>
                <w:color w:val="auto"/>
              </w:rPr>
              <w:t>http://jyzx.zhoukou.gov.cn</w:t>
            </w:r>
            <w:r>
              <w:rPr>
                <w:rFonts w:hint="eastAsia" w:ascii="宋体" w:hAnsi="宋体"/>
                <w:color w:val="auto"/>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C0C5FC9">
            <w:pPr>
              <w:pStyle w:val="20"/>
              <w:rPr>
                <w:color w:val="auto"/>
              </w:rPr>
            </w:pPr>
            <w:r>
              <w:rPr>
                <w:rFonts w:hint="eastAsia" w:ascii="宋体" w:hAnsi="宋体"/>
                <w:color w:val="auto"/>
                <w:sz w:val="24"/>
                <w:szCs w:val="24"/>
              </w:rPr>
              <w:t>2、本项目实行网上远程开标无须到现场提交响应文件，未加密的电子投标文件和纸质文件不再提交。</w:t>
            </w:r>
          </w:p>
        </w:tc>
      </w:tr>
      <w:tr w14:paraId="5D025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614" w:type="dxa"/>
            <w:vAlign w:val="center"/>
          </w:tcPr>
          <w:p w14:paraId="4E773204">
            <w:pPr>
              <w:rPr>
                <w:rFonts w:hint="eastAsia" w:ascii="宋体" w:hAnsi="宋体"/>
                <w:color w:val="auto"/>
                <w:sz w:val="24"/>
                <w:szCs w:val="24"/>
              </w:rPr>
            </w:pPr>
            <w:r>
              <w:rPr>
                <w:rFonts w:hint="eastAsia" w:ascii="宋体" w:hAnsi="宋体"/>
                <w:color w:val="auto"/>
                <w:sz w:val="24"/>
                <w:szCs w:val="24"/>
              </w:rPr>
              <w:t>19</w:t>
            </w:r>
          </w:p>
        </w:tc>
        <w:tc>
          <w:tcPr>
            <w:tcW w:w="1976" w:type="dxa"/>
            <w:vAlign w:val="center"/>
          </w:tcPr>
          <w:p w14:paraId="4DC69127">
            <w:pPr>
              <w:rPr>
                <w:rFonts w:hint="eastAsia" w:ascii="宋体" w:hAnsi="宋体"/>
                <w:color w:val="auto"/>
                <w:sz w:val="24"/>
                <w:szCs w:val="24"/>
              </w:rPr>
            </w:pPr>
            <w:r>
              <w:rPr>
                <w:rFonts w:hint="eastAsia" w:ascii="宋体" w:hAnsi="宋体"/>
                <w:color w:val="auto"/>
                <w:sz w:val="24"/>
                <w:szCs w:val="24"/>
              </w:rPr>
              <w:t>投标时间及地点</w:t>
            </w:r>
          </w:p>
        </w:tc>
        <w:tc>
          <w:tcPr>
            <w:tcW w:w="6086" w:type="dxa"/>
            <w:vAlign w:val="center"/>
          </w:tcPr>
          <w:p w14:paraId="55BB6CDE">
            <w:pPr>
              <w:rPr>
                <w:rFonts w:hint="eastAsia" w:ascii="宋体" w:hAnsi="宋体"/>
                <w:color w:val="auto"/>
                <w:sz w:val="24"/>
                <w:szCs w:val="24"/>
              </w:rPr>
            </w:pPr>
            <w:r>
              <w:rPr>
                <w:rFonts w:hint="eastAsia" w:ascii="宋体" w:hAnsi="宋体"/>
                <w:color w:val="auto"/>
                <w:sz w:val="24"/>
                <w:szCs w:val="24"/>
              </w:rPr>
              <w:t>投标截止时间：</w:t>
            </w:r>
            <w:r>
              <w:rPr>
                <w:rFonts w:hint="eastAsia" w:ascii="宋体" w:hAnsi="宋体" w:cs="宋体"/>
                <w:color w:val="auto"/>
                <w:sz w:val="24"/>
                <w:szCs w:val="24"/>
              </w:rPr>
              <w:t>***</w:t>
            </w:r>
            <w:r>
              <w:rPr>
                <w:rFonts w:hint="eastAsia" w:ascii="宋体" w:hAnsi="宋体"/>
                <w:color w:val="auto"/>
                <w:sz w:val="24"/>
                <w:szCs w:val="24"/>
              </w:rPr>
              <w:t>年</w:t>
            </w:r>
            <w:r>
              <w:rPr>
                <w:rFonts w:hint="eastAsia" w:ascii="宋体" w:hAnsi="宋体" w:cs="宋体"/>
                <w:color w:val="auto"/>
                <w:sz w:val="24"/>
                <w:szCs w:val="24"/>
              </w:rPr>
              <w:t>***</w:t>
            </w:r>
            <w:r>
              <w:rPr>
                <w:rFonts w:hint="eastAsia" w:ascii="宋体" w:hAnsi="宋体"/>
                <w:color w:val="auto"/>
                <w:sz w:val="24"/>
                <w:szCs w:val="24"/>
              </w:rPr>
              <w:t>月  日</w:t>
            </w:r>
            <w:r>
              <w:rPr>
                <w:rFonts w:hint="eastAsia" w:ascii="宋体" w:hAnsi="宋体" w:cs="宋体"/>
                <w:color w:val="auto"/>
                <w:sz w:val="24"/>
                <w:szCs w:val="24"/>
              </w:rPr>
              <w:t>***</w:t>
            </w:r>
            <w:r>
              <w:rPr>
                <w:rFonts w:hint="eastAsia" w:ascii="宋体" w:hAnsi="宋体"/>
                <w:color w:val="auto"/>
                <w:sz w:val="24"/>
                <w:szCs w:val="24"/>
              </w:rPr>
              <w:t xml:space="preserve">（见招标公告）      </w:t>
            </w:r>
          </w:p>
          <w:p w14:paraId="124C697A">
            <w:pPr>
              <w:rPr>
                <w:rFonts w:hint="eastAsia" w:ascii="宋体" w:hAnsi="宋体"/>
                <w:color w:val="auto"/>
                <w:sz w:val="24"/>
              </w:rPr>
            </w:pPr>
            <w:r>
              <w:rPr>
                <w:rFonts w:hint="eastAsia" w:ascii="宋体" w:hAnsi="宋体"/>
                <w:color w:val="auto"/>
                <w:sz w:val="24"/>
                <w:szCs w:val="24"/>
              </w:rPr>
              <w:t>标书递交地点：</w:t>
            </w:r>
            <w:r>
              <w:rPr>
                <w:rFonts w:hint="eastAsia" w:ascii="宋体" w:hAnsi="宋体"/>
                <w:color w:val="auto"/>
                <w:sz w:val="24"/>
              </w:rPr>
              <w:t>周口市公共资源交易中心网</w:t>
            </w:r>
          </w:p>
          <w:p w14:paraId="18772538">
            <w:pPr>
              <w:rPr>
                <w:rFonts w:hint="eastAsia" w:ascii="宋体" w:hAnsi="宋体" w:cs="宋体"/>
                <w:color w:val="auto"/>
                <w:sz w:val="24"/>
                <w:szCs w:val="24"/>
              </w:rPr>
            </w:pPr>
            <w:r>
              <w:rPr>
                <w:rFonts w:hint="eastAsia" w:ascii="宋体" w:hAnsi="宋体"/>
                <w:color w:val="auto"/>
                <w:sz w:val="24"/>
              </w:rPr>
              <w:t>网址：周口市公共资源电子交易服务平台会员系统（网址</w:t>
            </w:r>
            <w:r>
              <w:rPr>
                <w:rFonts w:hint="eastAsia" w:ascii="宋体" w:hAnsi="宋体"/>
                <w:color w:val="auto"/>
              </w:rPr>
              <w:t>http://jyzx.zhoukou.gov.cn）</w:t>
            </w:r>
          </w:p>
          <w:p w14:paraId="2DDB9C27">
            <w:pPr>
              <w:rPr>
                <w:rFonts w:hint="eastAsia" w:ascii="宋体" w:hAnsi="宋体"/>
                <w:color w:val="auto"/>
                <w:sz w:val="24"/>
                <w:szCs w:val="24"/>
              </w:rPr>
            </w:pPr>
            <w:r>
              <w:rPr>
                <w:rFonts w:hint="eastAsia" w:ascii="宋体" w:hAnsi="宋体" w:cs="宋体"/>
                <w:color w:val="auto"/>
                <w:sz w:val="24"/>
                <w:szCs w:val="24"/>
              </w:rPr>
              <w:t>（本项目实行网上远程开标无须到现场提交响应文件）</w:t>
            </w:r>
          </w:p>
        </w:tc>
      </w:tr>
      <w:tr w14:paraId="7D71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14" w:type="dxa"/>
            <w:vAlign w:val="center"/>
          </w:tcPr>
          <w:p w14:paraId="3CDABB8C">
            <w:pPr>
              <w:rPr>
                <w:rFonts w:hint="eastAsia" w:ascii="宋体" w:hAnsi="宋体"/>
                <w:color w:val="auto"/>
                <w:sz w:val="24"/>
                <w:szCs w:val="24"/>
              </w:rPr>
            </w:pPr>
            <w:r>
              <w:rPr>
                <w:rFonts w:hint="eastAsia" w:ascii="宋体" w:hAnsi="宋体"/>
                <w:color w:val="auto"/>
                <w:sz w:val="24"/>
                <w:szCs w:val="24"/>
              </w:rPr>
              <w:t>20</w:t>
            </w:r>
          </w:p>
        </w:tc>
        <w:tc>
          <w:tcPr>
            <w:tcW w:w="1976" w:type="dxa"/>
            <w:vAlign w:val="center"/>
          </w:tcPr>
          <w:p w14:paraId="2E59CC04">
            <w:pPr>
              <w:rPr>
                <w:rFonts w:hint="eastAsia" w:ascii="宋体" w:hAnsi="宋体"/>
                <w:color w:val="auto"/>
                <w:sz w:val="24"/>
                <w:szCs w:val="24"/>
              </w:rPr>
            </w:pPr>
            <w:r>
              <w:rPr>
                <w:rFonts w:hint="eastAsia" w:ascii="宋体" w:hAnsi="宋体"/>
                <w:color w:val="auto"/>
                <w:sz w:val="24"/>
                <w:szCs w:val="24"/>
              </w:rPr>
              <w:t>开标时间及地点</w:t>
            </w:r>
          </w:p>
        </w:tc>
        <w:tc>
          <w:tcPr>
            <w:tcW w:w="6086" w:type="dxa"/>
            <w:vAlign w:val="center"/>
          </w:tcPr>
          <w:p w14:paraId="45F48D58">
            <w:pPr>
              <w:rPr>
                <w:rFonts w:hint="eastAsia" w:ascii="宋体" w:hAnsi="宋体"/>
                <w:color w:val="auto"/>
                <w:sz w:val="24"/>
                <w:szCs w:val="24"/>
              </w:rPr>
            </w:pPr>
            <w:r>
              <w:rPr>
                <w:rFonts w:hint="eastAsia" w:ascii="宋体" w:hAnsi="宋体"/>
                <w:color w:val="auto"/>
                <w:sz w:val="24"/>
                <w:szCs w:val="24"/>
              </w:rPr>
              <w:t>开标时间：</w:t>
            </w:r>
            <w:r>
              <w:rPr>
                <w:rFonts w:hint="eastAsia" w:ascii="宋体" w:hAnsi="宋体" w:cs="宋体"/>
                <w:color w:val="auto"/>
                <w:sz w:val="24"/>
                <w:szCs w:val="24"/>
              </w:rPr>
              <w:t>***</w:t>
            </w:r>
            <w:r>
              <w:rPr>
                <w:rFonts w:hint="eastAsia" w:ascii="宋体" w:hAnsi="宋体"/>
                <w:color w:val="auto"/>
                <w:sz w:val="24"/>
                <w:szCs w:val="24"/>
              </w:rPr>
              <w:t>年</w:t>
            </w:r>
            <w:r>
              <w:rPr>
                <w:rFonts w:hint="eastAsia" w:ascii="宋体" w:hAnsi="宋体" w:cs="宋体"/>
                <w:color w:val="auto"/>
                <w:sz w:val="24"/>
                <w:szCs w:val="24"/>
              </w:rPr>
              <w:t>***</w:t>
            </w:r>
            <w:r>
              <w:rPr>
                <w:rFonts w:hint="eastAsia" w:ascii="宋体" w:hAnsi="宋体"/>
                <w:color w:val="auto"/>
                <w:sz w:val="24"/>
                <w:szCs w:val="24"/>
              </w:rPr>
              <w:t>月   日</w:t>
            </w:r>
            <w:r>
              <w:rPr>
                <w:rFonts w:hint="eastAsia" w:ascii="宋体" w:hAnsi="宋体" w:cs="宋体"/>
                <w:color w:val="auto"/>
                <w:sz w:val="24"/>
                <w:szCs w:val="24"/>
              </w:rPr>
              <w:t>***</w:t>
            </w:r>
            <w:r>
              <w:rPr>
                <w:rFonts w:hint="eastAsia" w:ascii="宋体" w:hAnsi="宋体"/>
                <w:color w:val="auto"/>
                <w:sz w:val="24"/>
                <w:szCs w:val="24"/>
              </w:rPr>
              <w:t xml:space="preserve">（见招标公告）      </w:t>
            </w:r>
          </w:p>
          <w:p w14:paraId="51DF4548">
            <w:pPr>
              <w:ind w:left="360" w:hanging="360" w:hangingChars="150"/>
              <w:rPr>
                <w:rFonts w:hint="eastAsia" w:ascii="宋体" w:hAnsi="宋体"/>
                <w:color w:val="auto"/>
                <w:sz w:val="24"/>
                <w:szCs w:val="24"/>
              </w:rPr>
            </w:pPr>
            <w:r>
              <w:rPr>
                <w:rFonts w:hint="eastAsia" w:ascii="宋体" w:hAnsi="宋体"/>
                <w:color w:val="auto"/>
                <w:sz w:val="24"/>
                <w:szCs w:val="24"/>
              </w:rPr>
              <w:t>开标地点：周口市东新区光明路市行政中心西侧南楼房间（本项目实行网上远程开标无须到现场提交响应文件）</w:t>
            </w:r>
          </w:p>
        </w:tc>
      </w:tr>
      <w:tr w14:paraId="478A4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14" w:type="dxa"/>
            <w:vAlign w:val="center"/>
          </w:tcPr>
          <w:p w14:paraId="0CF77ACC">
            <w:pPr>
              <w:rPr>
                <w:rFonts w:hint="eastAsia" w:ascii="宋体" w:hAnsi="宋体"/>
                <w:color w:val="auto"/>
                <w:sz w:val="24"/>
                <w:szCs w:val="24"/>
              </w:rPr>
            </w:pPr>
            <w:r>
              <w:rPr>
                <w:rFonts w:hint="eastAsia" w:ascii="宋体" w:hAnsi="宋体"/>
                <w:color w:val="auto"/>
                <w:sz w:val="24"/>
                <w:szCs w:val="24"/>
              </w:rPr>
              <w:t>21</w:t>
            </w:r>
          </w:p>
        </w:tc>
        <w:tc>
          <w:tcPr>
            <w:tcW w:w="1976" w:type="dxa"/>
            <w:vAlign w:val="center"/>
          </w:tcPr>
          <w:p w14:paraId="0D2E987D">
            <w:pPr>
              <w:rPr>
                <w:rFonts w:hint="eastAsia" w:ascii="宋体" w:hAnsi="宋体"/>
                <w:color w:val="auto"/>
                <w:sz w:val="24"/>
                <w:szCs w:val="24"/>
              </w:rPr>
            </w:pPr>
            <w:r>
              <w:rPr>
                <w:rFonts w:hint="eastAsia" w:ascii="宋体" w:hAnsi="宋体"/>
                <w:color w:val="auto"/>
                <w:sz w:val="24"/>
                <w:szCs w:val="24"/>
              </w:rPr>
              <w:t>评标办法</w:t>
            </w:r>
          </w:p>
        </w:tc>
        <w:tc>
          <w:tcPr>
            <w:tcW w:w="6086" w:type="dxa"/>
            <w:vAlign w:val="center"/>
          </w:tcPr>
          <w:p w14:paraId="4F9CA59D">
            <w:pPr>
              <w:rPr>
                <w:rFonts w:hint="eastAsia" w:ascii="宋体" w:hAnsi="宋体"/>
                <w:color w:val="auto"/>
                <w:sz w:val="24"/>
                <w:szCs w:val="24"/>
              </w:rPr>
            </w:pPr>
            <w:r>
              <w:rPr>
                <w:rFonts w:hint="eastAsia" w:ascii="宋体" w:hAnsi="宋体"/>
                <w:color w:val="auto"/>
                <w:sz w:val="24"/>
                <w:szCs w:val="24"/>
              </w:rPr>
              <w:t>综合评分法 详见招标文件第一部分第四章评标办法</w:t>
            </w:r>
          </w:p>
        </w:tc>
      </w:tr>
      <w:tr w14:paraId="5E70B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14" w:type="dxa"/>
            <w:vAlign w:val="center"/>
          </w:tcPr>
          <w:p w14:paraId="1EB923F7">
            <w:pPr>
              <w:spacing w:line="500" w:lineRule="exact"/>
              <w:rPr>
                <w:rFonts w:hint="eastAsia" w:ascii="宋体" w:hAnsi="宋体"/>
                <w:color w:val="auto"/>
                <w:sz w:val="24"/>
                <w:szCs w:val="24"/>
              </w:rPr>
            </w:pPr>
            <w:bookmarkStart w:id="48" w:name="_Toc40975438"/>
            <w:r>
              <w:rPr>
                <w:rFonts w:hint="eastAsia" w:ascii="宋体" w:hAnsi="宋体"/>
                <w:color w:val="auto"/>
                <w:sz w:val="24"/>
                <w:szCs w:val="24"/>
              </w:rPr>
              <w:t>22</w:t>
            </w:r>
          </w:p>
        </w:tc>
        <w:tc>
          <w:tcPr>
            <w:tcW w:w="1976" w:type="dxa"/>
            <w:vAlign w:val="center"/>
          </w:tcPr>
          <w:p w14:paraId="3FA58296">
            <w:pPr>
              <w:rPr>
                <w:rFonts w:hint="eastAsia" w:ascii="宋体" w:hAnsi="宋体"/>
                <w:color w:val="auto"/>
                <w:sz w:val="24"/>
                <w:szCs w:val="24"/>
              </w:rPr>
            </w:pPr>
            <w:r>
              <w:rPr>
                <w:rFonts w:hint="eastAsia" w:ascii="宋体" w:hAnsi="宋体"/>
                <w:color w:val="auto"/>
                <w:sz w:val="24"/>
                <w:szCs w:val="24"/>
              </w:rPr>
              <w:t>该项目的所属行业</w:t>
            </w:r>
          </w:p>
        </w:tc>
        <w:tc>
          <w:tcPr>
            <w:tcW w:w="6086" w:type="dxa"/>
            <w:vAlign w:val="center"/>
          </w:tcPr>
          <w:p w14:paraId="4B8F95C0">
            <w:pPr>
              <w:rPr>
                <w:rFonts w:hint="eastAsia" w:ascii="宋体" w:hAnsi="宋体"/>
                <w:color w:val="auto"/>
                <w:sz w:val="24"/>
                <w:szCs w:val="24"/>
              </w:rPr>
            </w:pPr>
            <w:r>
              <w:rPr>
                <w:rFonts w:hint="eastAsia" w:ascii="宋体" w:hAnsi="宋体"/>
                <w:color w:val="auto"/>
                <w:sz w:val="24"/>
                <w:szCs w:val="24"/>
              </w:rPr>
              <w:t>工业</w:t>
            </w:r>
          </w:p>
        </w:tc>
      </w:tr>
    </w:tbl>
    <w:p w14:paraId="254601CA">
      <w:pPr>
        <w:rPr>
          <w:rFonts w:hint="eastAsia" w:ascii="宋体" w:hAnsi="宋体" w:cs="宋体"/>
          <w:color w:val="auto"/>
        </w:rPr>
      </w:pPr>
    </w:p>
    <w:p w14:paraId="09BF6F56">
      <w:pPr>
        <w:pStyle w:val="45"/>
        <w:ind w:firstLine="210"/>
        <w:rPr>
          <w:rFonts w:hint="eastAsia" w:ascii="宋体" w:hAnsi="宋体" w:cs="宋体"/>
          <w:color w:val="auto"/>
        </w:rPr>
      </w:pPr>
    </w:p>
    <w:p w14:paraId="101EFEA0">
      <w:pPr>
        <w:pStyle w:val="45"/>
        <w:ind w:firstLine="210"/>
        <w:rPr>
          <w:rFonts w:hint="eastAsia" w:ascii="宋体" w:hAnsi="宋体" w:cs="宋体"/>
          <w:color w:val="auto"/>
        </w:rPr>
      </w:pPr>
    </w:p>
    <w:p w14:paraId="101B0570">
      <w:pPr>
        <w:pStyle w:val="45"/>
        <w:ind w:firstLine="210"/>
        <w:rPr>
          <w:rFonts w:hint="eastAsia" w:ascii="宋体" w:hAnsi="宋体" w:cs="宋体"/>
          <w:color w:val="auto"/>
        </w:rPr>
      </w:pPr>
    </w:p>
    <w:p w14:paraId="77AC4DD6">
      <w:pPr>
        <w:pStyle w:val="45"/>
        <w:ind w:firstLine="210"/>
        <w:rPr>
          <w:rFonts w:hint="eastAsia" w:ascii="宋体" w:hAnsi="宋体" w:cs="宋体"/>
          <w:color w:val="auto"/>
        </w:rPr>
      </w:pPr>
    </w:p>
    <w:p w14:paraId="2832F4C4">
      <w:pPr>
        <w:pStyle w:val="45"/>
        <w:ind w:firstLine="210"/>
        <w:rPr>
          <w:rFonts w:hint="eastAsia" w:ascii="宋体" w:hAnsi="宋体" w:cs="宋体"/>
          <w:color w:val="auto"/>
        </w:rPr>
      </w:pPr>
    </w:p>
    <w:p w14:paraId="45E4DDF1">
      <w:pPr>
        <w:pStyle w:val="45"/>
        <w:ind w:firstLine="210"/>
        <w:rPr>
          <w:rFonts w:hint="eastAsia" w:ascii="宋体" w:hAnsi="宋体" w:cs="宋体"/>
          <w:color w:val="auto"/>
        </w:rPr>
      </w:pPr>
    </w:p>
    <w:p w14:paraId="78233F1D">
      <w:pPr>
        <w:pStyle w:val="45"/>
        <w:ind w:firstLine="210"/>
        <w:rPr>
          <w:rFonts w:hint="eastAsia" w:ascii="宋体" w:hAnsi="宋体" w:cs="宋体"/>
          <w:color w:val="auto"/>
        </w:rPr>
      </w:pPr>
    </w:p>
    <w:p w14:paraId="7B393032">
      <w:pPr>
        <w:pStyle w:val="45"/>
        <w:ind w:firstLine="210"/>
        <w:rPr>
          <w:rFonts w:hint="eastAsia" w:ascii="宋体" w:hAnsi="宋体" w:cs="宋体"/>
          <w:color w:val="auto"/>
        </w:rPr>
      </w:pPr>
    </w:p>
    <w:p w14:paraId="5BFAE752">
      <w:pPr>
        <w:pStyle w:val="45"/>
        <w:ind w:firstLine="210"/>
        <w:rPr>
          <w:rFonts w:hint="eastAsia" w:ascii="宋体" w:hAnsi="宋体" w:cs="宋体"/>
          <w:color w:val="auto"/>
        </w:rPr>
      </w:pPr>
    </w:p>
    <w:p w14:paraId="0D15F6F6">
      <w:pPr>
        <w:pStyle w:val="3"/>
        <w:ind w:firstLine="0"/>
        <w:rPr>
          <w:rFonts w:hint="eastAsia" w:ascii="宋体" w:hAnsi="宋体" w:eastAsia="宋体" w:cs="宋体"/>
          <w:color w:val="auto"/>
        </w:rPr>
      </w:pPr>
      <w:r>
        <w:rPr>
          <w:rFonts w:hint="eastAsia" w:ascii="宋体" w:hAnsi="宋体" w:eastAsia="宋体" w:cs="宋体"/>
          <w:color w:val="auto"/>
        </w:rPr>
        <w:t>第三章 货物需求一览表</w:t>
      </w:r>
      <w:bookmarkEnd w:id="46"/>
      <w:bookmarkEnd w:id="47"/>
      <w:bookmarkEnd w:id="48"/>
    </w:p>
    <w:p w14:paraId="1EAFFE95">
      <w:pPr>
        <w:spacing w:line="360" w:lineRule="auto"/>
        <w:ind w:firstLine="480" w:firstLineChars="200"/>
        <w:rPr>
          <w:rFonts w:hint="eastAsia" w:ascii="宋体" w:hAnsi="宋体" w:cs="宋体"/>
          <w:color w:val="auto"/>
          <w:sz w:val="24"/>
          <w:szCs w:val="28"/>
        </w:rPr>
      </w:pPr>
      <w:bookmarkStart w:id="49" w:name="_Hlt509716920"/>
      <w:bookmarkEnd w:id="49"/>
      <w:r>
        <w:rPr>
          <w:rFonts w:hint="eastAsia" w:ascii="宋体" w:hAnsi="宋体" w:cs="宋体"/>
          <w:color w:val="auto"/>
          <w:sz w:val="24"/>
          <w:szCs w:val="28"/>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rPr>
        <w:t>技术方案或者设备配置，且此方案或配置须经评委会审核认可；</w:t>
      </w:r>
      <w:r>
        <w:rPr>
          <w:rFonts w:hint="eastAsia" w:ascii="宋体" w:hAnsi="宋体" w:cs="宋体"/>
          <w:color w:val="auto"/>
          <w:sz w:val="24"/>
          <w:szCs w:val="24"/>
        </w:rPr>
        <w:cr/>
      </w:r>
      <w:r>
        <w:rPr>
          <w:rFonts w:hint="eastAsia" w:ascii="宋体" w:hAnsi="宋体" w:cs="宋体"/>
          <w:color w:val="auto"/>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60C64AFB">
      <w:pPr>
        <w:pStyle w:val="11"/>
        <w:adjustRightInd w:val="0"/>
        <w:snapToGrid w:val="0"/>
        <w:spacing w:line="360" w:lineRule="auto"/>
        <w:ind w:firstLine="480" w:firstLineChars="200"/>
        <w:rPr>
          <w:rFonts w:hint="eastAsia" w:hAnsi="宋体" w:cs="宋体"/>
          <w:color w:val="auto"/>
          <w:sz w:val="24"/>
          <w:szCs w:val="28"/>
        </w:rPr>
      </w:pPr>
      <w:r>
        <w:rPr>
          <w:rFonts w:hint="eastAsia" w:hAnsi="宋体" w:cs="宋体"/>
          <w:color w:val="auto"/>
          <w:sz w:val="24"/>
          <w:szCs w:val="28"/>
        </w:rPr>
        <w:t>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hAnsi="宋体" w:cs="宋体"/>
          <w:color w:val="auto"/>
          <w:sz w:val="24"/>
          <w:szCs w:val="28"/>
        </w:rPr>
        <w:cr/>
      </w:r>
      <w:r>
        <w:rPr>
          <w:rFonts w:hint="eastAsia" w:hAnsi="宋体" w:cs="宋体"/>
          <w:color w:val="auto"/>
          <w:sz w:val="24"/>
          <w:szCs w:val="28"/>
        </w:rPr>
        <w:t xml:space="preserve">  </w:t>
      </w:r>
      <w:r>
        <w:rPr>
          <w:rFonts w:hint="eastAsia" w:hAnsi="宋体" w:cs="宋体"/>
          <w:color w:val="auto"/>
          <w:kern w:val="0"/>
          <w:sz w:val="24"/>
          <w:lang w:val="zh-CN"/>
        </w:rPr>
        <w:t xml:space="preserve">  4） 投标人应当在投标文件中列出完成本项目并通过验收所需的所有各项服务等明细表及全部费用。中标人必须确保整体通过用户方及有关主管部门验收,所发生的验收费用由中标人承担</w:t>
      </w:r>
      <w:r>
        <w:rPr>
          <w:rFonts w:hint="eastAsia" w:hAnsi="宋体" w:cs="宋体"/>
          <w:color w:val="auto"/>
          <w:sz w:val="24"/>
          <w:szCs w:val="28"/>
        </w:rPr>
        <w:t>；如投标人因未及时踏勘现场而导致的报价缺项漏项废标、或中标后无法完工，投标人自行承担一切后果；</w:t>
      </w:r>
      <w:r>
        <w:rPr>
          <w:rFonts w:hint="eastAsia" w:hAnsi="宋体" w:cs="宋体"/>
          <w:color w:val="auto"/>
          <w:sz w:val="24"/>
          <w:szCs w:val="28"/>
        </w:rPr>
        <w:cr/>
      </w:r>
      <w:r>
        <w:rPr>
          <w:rFonts w:hint="eastAsia" w:hAnsi="宋体" w:cs="宋体"/>
          <w:color w:val="auto"/>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32376982">
      <w:pPr>
        <w:spacing w:line="360" w:lineRule="auto"/>
        <w:ind w:firstLine="643" w:firstLineChars="200"/>
        <w:rPr>
          <w:rFonts w:hint="eastAsia" w:ascii="宋体" w:hAnsi="宋体" w:cs="宋体"/>
          <w:b/>
          <w:color w:val="auto"/>
          <w:sz w:val="32"/>
          <w:szCs w:val="32"/>
        </w:rPr>
      </w:pPr>
    </w:p>
    <w:p w14:paraId="12D77067">
      <w:pPr>
        <w:spacing w:line="360" w:lineRule="auto"/>
        <w:ind w:firstLine="643" w:firstLineChars="200"/>
        <w:rPr>
          <w:rFonts w:hint="eastAsia" w:ascii="宋体" w:hAnsi="宋体" w:cs="宋体"/>
          <w:b/>
          <w:color w:val="auto"/>
          <w:sz w:val="32"/>
          <w:szCs w:val="32"/>
        </w:rPr>
      </w:pPr>
    </w:p>
    <w:p w14:paraId="6DFFE087">
      <w:pPr>
        <w:spacing w:line="360" w:lineRule="auto"/>
        <w:ind w:firstLine="643" w:firstLineChars="200"/>
        <w:rPr>
          <w:rFonts w:hint="eastAsia" w:ascii="宋体" w:hAnsi="宋体" w:cs="宋体"/>
          <w:b/>
          <w:color w:val="auto"/>
          <w:sz w:val="32"/>
          <w:szCs w:val="32"/>
        </w:rPr>
      </w:pPr>
    </w:p>
    <w:bookmarkEnd w:id="50"/>
    <w:p w14:paraId="0C559554">
      <w:pPr>
        <w:jc w:val="left"/>
        <w:rPr>
          <w:rFonts w:hint="eastAsia" w:ascii="宋体" w:hAnsi="宋体" w:cs="宋体"/>
          <w:color w:val="auto"/>
        </w:rPr>
        <w:sectPr>
          <w:headerReference r:id="rId3" w:type="default"/>
          <w:footerReference r:id="rId4" w:type="default"/>
          <w:pgSz w:w="11906" w:h="16838"/>
          <w:pgMar w:top="1440" w:right="1758" w:bottom="1440" w:left="1758" w:header="851" w:footer="992" w:gutter="0"/>
          <w:cols w:space="720" w:num="1"/>
          <w:docGrid w:linePitch="312" w:charSpace="0"/>
        </w:sectPr>
      </w:pPr>
    </w:p>
    <w:p w14:paraId="4A4E7BC6">
      <w:pPr>
        <w:pStyle w:val="3"/>
        <w:ind w:firstLine="0"/>
        <w:jc w:val="both"/>
        <w:rPr>
          <w:rFonts w:hint="eastAsia" w:asciiTheme="majorEastAsia" w:hAnsiTheme="majorEastAsia" w:eastAsiaTheme="majorEastAsia" w:cstheme="majorEastAsia"/>
          <w:color w:val="auto"/>
        </w:rPr>
      </w:pPr>
      <w:bookmarkStart w:id="51" w:name="_Toc14806_WPSOffice_Level2"/>
      <w:r>
        <w:rPr>
          <w:rFonts w:hint="eastAsia" w:asciiTheme="majorEastAsia" w:hAnsiTheme="majorEastAsia" w:eastAsiaTheme="majorEastAsia" w:cstheme="majorEastAsia"/>
          <w:color w:val="auto"/>
        </w:rPr>
        <w:t>一、项目建设内容</w:t>
      </w:r>
    </w:p>
    <w:p w14:paraId="3FEF46FA">
      <w:pPr>
        <w:ind w:firstLine="480" w:firstLineChars="200"/>
        <w:rPr>
          <w:color w:val="auto"/>
          <w:sz w:val="24"/>
          <w:szCs w:val="22"/>
        </w:rPr>
      </w:pPr>
      <w:r>
        <w:rPr>
          <w:color w:val="auto"/>
          <w:sz w:val="24"/>
          <w:szCs w:val="22"/>
        </w:rPr>
        <w:t xml:space="preserve">本项目主要是在郸城县开展入河排污口规范化建设与智慧管理能力提升相关工程。具体建设内容如下： </w:t>
      </w:r>
    </w:p>
    <w:p w14:paraId="5982BBD0">
      <w:pPr>
        <w:ind w:firstLine="480" w:firstLineChars="200"/>
        <w:rPr>
          <w:color w:val="auto"/>
          <w:sz w:val="24"/>
          <w:szCs w:val="22"/>
        </w:rPr>
      </w:pPr>
      <w:r>
        <w:rPr>
          <w:color w:val="auto"/>
          <w:sz w:val="24"/>
          <w:szCs w:val="22"/>
        </w:rPr>
        <w:t>本项目拟开展排污口档案建设</w:t>
      </w:r>
      <w:r>
        <w:rPr>
          <w:rFonts w:hint="eastAsia"/>
          <w:color w:val="auto"/>
          <w:sz w:val="24"/>
          <w:szCs w:val="22"/>
        </w:rPr>
        <w:t>58</w:t>
      </w:r>
      <w:r>
        <w:rPr>
          <w:color w:val="auto"/>
          <w:sz w:val="24"/>
          <w:szCs w:val="22"/>
        </w:rPr>
        <w:t>个；设立入河排污口标识牌</w:t>
      </w:r>
      <w:r>
        <w:rPr>
          <w:rFonts w:hint="eastAsia"/>
          <w:color w:val="auto"/>
          <w:sz w:val="24"/>
          <w:szCs w:val="22"/>
        </w:rPr>
        <w:t>58</w:t>
      </w:r>
      <w:r>
        <w:rPr>
          <w:color w:val="auto"/>
          <w:sz w:val="24"/>
          <w:szCs w:val="22"/>
        </w:rPr>
        <w:t>个；</w:t>
      </w:r>
      <w:r>
        <w:rPr>
          <w:rFonts w:hint="eastAsia"/>
          <w:color w:val="auto"/>
          <w:sz w:val="24"/>
          <w:szCs w:val="22"/>
        </w:rPr>
        <w:t>视频监控系统18套；流量在线监测系统3套；水质自动监测微站10套</w:t>
      </w:r>
      <w:r>
        <w:rPr>
          <w:color w:val="auto"/>
          <w:sz w:val="24"/>
          <w:szCs w:val="22"/>
        </w:rPr>
        <w:t>；郸城县排污口智慧监管平台1 套</w:t>
      </w:r>
      <w:r>
        <w:rPr>
          <w:rFonts w:hint="eastAsia"/>
          <w:color w:val="auto"/>
          <w:sz w:val="24"/>
          <w:szCs w:val="22"/>
        </w:rPr>
        <w:t>以及配套的视频存储设备和网络安全设备等</w:t>
      </w:r>
      <w:r>
        <w:rPr>
          <w:color w:val="auto"/>
          <w:sz w:val="24"/>
          <w:szCs w:val="22"/>
        </w:rPr>
        <w:t>。</w:t>
      </w:r>
    </w:p>
    <w:p w14:paraId="076BEFFC">
      <w:pPr>
        <w:pStyle w:val="3"/>
        <w:ind w:firstLine="0"/>
        <w:jc w:val="both"/>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二、货物需求及技术规格参数</w:t>
      </w:r>
    </w:p>
    <w:tbl>
      <w:tblPr>
        <w:tblStyle w:val="29"/>
        <w:tblW w:w="9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720"/>
        <w:gridCol w:w="1000"/>
        <w:gridCol w:w="6326"/>
        <w:gridCol w:w="565"/>
        <w:gridCol w:w="825"/>
      </w:tblGrid>
      <w:tr w14:paraId="4BAC4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0" w:type="dxa"/>
            <w:shd w:val="clear" w:color="auto" w:fill="auto"/>
            <w:vAlign w:val="center"/>
          </w:tcPr>
          <w:p w14:paraId="52E24CB8">
            <w:pPr>
              <w:widowControl/>
              <w:jc w:val="center"/>
              <w:rPr>
                <w:rFonts w:hint="eastAsia" w:ascii="宋体" w:hAnsi="宋体" w:cs="宋体"/>
                <w:b/>
                <w:bCs/>
                <w:color w:val="auto"/>
                <w:kern w:val="0"/>
                <w:sz w:val="22"/>
              </w:rPr>
            </w:pPr>
            <w:r>
              <w:rPr>
                <w:rFonts w:hint="eastAsia" w:ascii="宋体" w:hAnsi="宋体" w:cs="宋体"/>
                <w:b/>
                <w:bCs/>
                <w:color w:val="auto"/>
                <w:kern w:val="0"/>
                <w:sz w:val="22"/>
              </w:rPr>
              <w:t>序号</w:t>
            </w:r>
          </w:p>
        </w:tc>
        <w:tc>
          <w:tcPr>
            <w:tcW w:w="720" w:type="dxa"/>
            <w:shd w:val="clear" w:color="auto" w:fill="auto"/>
            <w:vAlign w:val="center"/>
          </w:tcPr>
          <w:p w14:paraId="4EA61532">
            <w:pPr>
              <w:widowControl/>
              <w:jc w:val="center"/>
              <w:rPr>
                <w:rFonts w:hint="eastAsia" w:ascii="宋体" w:hAnsi="宋体" w:cs="宋体"/>
                <w:b/>
                <w:bCs/>
                <w:color w:val="auto"/>
                <w:kern w:val="0"/>
                <w:sz w:val="22"/>
              </w:rPr>
            </w:pPr>
            <w:r>
              <w:rPr>
                <w:rFonts w:hint="eastAsia" w:ascii="宋体" w:hAnsi="宋体" w:cs="宋体"/>
                <w:b/>
                <w:bCs/>
                <w:color w:val="auto"/>
                <w:kern w:val="0"/>
                <w:sz w:val="22"/>
              </w:rPr>
              <w:t>名称</w:t>
            </w:r>
          </w:p>
        </w:tc>
        <w:tc>
          <w:tcPr>
            <w:tcW w:w="7326" w:type="dxa"/>
            <w:gridSpan w:val="2"/>
            <w:shd w:val="clear" w:color="auto" w:fill="auto"/>
            <w:vAlign w:val="center"/>
          </w:tcPr>
          <w:p w14:paraId="5487FDA6">
            <w:pPr>
              <w:widowControl/>
              <w:jc w:val="center"/>
              <w:rPr>
                <w:rFonts w:hint="eastAsia" w:ascii="宋体" w:hAnsi="宋体" w:cs="宋体"/>
                <w:b/>
                <w:bCs/>
                <w:color w:val="auto"/>
                <w:kern w:val="0"/>
                <w:sz w:val="22"/>
              </w:rPr>
            </w:pPr>
            <w:r>
              <w:rPr>
                <w:rFonts w:hint="eastAsia" w:ascii="宋体" w:hAnsi="宋体" w:cs="宋体"/>
                <w:b/>
                <w:bCs/>
                <w:color w:val="auto"/>
                <w:kern w:val="0"/>
                <w:sz w:val="22"/>
              </w:rPr>
              <w:t>规格/参数</w:t>
            </w:r>
          </w:p>
        </w:tc>
        <w:tc>
          <w:tcPr>
            <w:tcW w:w="565" w:type="dxa"/>
            <w:shd w:val="clear" w:color="auto" w:fill="auto"/>
            <w:vAlign w:val="center"/>
          </w:tcPr>
          <w:p w14:paraId="001AA505">
            <w:pPr>
              <w:widowControl/>
              <w:jc w:val="center"/>
              <w:rPr>
                <w:rFonts w:hint="eastAsia" w:ascii="宋体" w:hAnsi="宋体" w:cs="宋体"/>
                <w:b/>
                <w:bCs/>
                <w:color w:val="auto"/>
                <w:kern w:val="0"/>
                <w:sz w:val="22"/>
              </w:rPr>
            </w:pPr>
            <w:r>
              <w:rPr>
                <w:rFonts w:hint="eastAsia" w:ascii="宋体" w:hAnsi="宋体" w:cs="宋体"/>
                <w:b/>
                <w:bCs/>
                <w:color w:val="auto"/>
                <w:kern w:val="0"/>
                <w:sz w:val="22"/>
              </w:rPr>
              <w:t>单位</w:t>
            </w:r>
          </w:p>
        </w:tc>
        <w:tc>
          <w:tcPr>
            <w:tcW w:w="825" w:type="dxa"/>
            <w:shd w:val="clear" w:color="auto" w:fill="auto"/>
            <w:vAlign w:val="center"/>
          </w:tcPr>
          <w:p w14:paraId="193970E2">
            <w:pPr>
              <w:widowControl/>
              <w:jc w:val="center"/>
              <w:rPr>
                <w:rFonts w:hint="eastAsia" w:ascii="宋体" w:hAnsi="宋体" w:cs="宋体"/>
                <w:b/>
                <w:bCs/>
                <w:color w:val="auto"/>
                <w:kern w:val="0"/>
                <w:sz w:val="22"/>
              </w:rPr>
            </w:pPr>
            <w:r>
              <w:rPr>
                <w:rFonts w:hint="eastAsia" w:ascii="宋体" w:hAnsi="宋体" w:cs="宋体"/>
                <w:b/>
                <w:bCs/>
                <w:color w:val="auto"/>
                <w:kern w:val="0"/>
                <w:sz w:val="22"/>
              </w:rPr>
              <w:t>数量</w:t>
            </w:r>
          </w:p>
        </w:tc>
      </w:tr>
      <w:tr w14:paraId="04B3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9436" w:type="dxa"/>
          <w:trHeight w:val="270" w:hRule="atLeast"/>
        </w:trPr>
        <w:tc>
          <w:tcPr>
            <w:tcW w:w="480" w:type="dxa"/>
            <w:shd w:val="clear" w:color="auto" w:fill="auto"/>
            <w:noWrap/>
            <w:vAlign w:val="center"/>
          </w:tcPr>
          <w:p w14:paraId="2C1A36C3">
            <w:pPr>
              <w:widowControl/>
              <w:jc w:val="center"/>
              <w:rPr>
                <w:rFonts w:hint="eastAsia" w:ascii="宋体" w:hAnsi="宋体" w:cs="宋体"/>
                <w:b/>
                <w:bCs/>
                <w:color w:val="auto"/>
                <w:kern w:val="0"/>
                <w:sz w:val="22"/>
              </w:rPr>
            </w:pPr>
            <w:r>
              <w:rPr>
                <w:rFonts w:hint="eastAsia" w:ascii="宋体" w:hAnsi="宋体" w:cs="宋体"/>
                <w:b/>
                <w:bCs/>
                <w:color w:val="auto"/>
                <w:kern w:val="0"/>
                <w:sz w:val="22"/>
              </w:rPr>
              <w:t>一</w:t>
            </w:r>
          </w:p>
        </w:tc>
      </w:tr>
      <w:tr w14:paraId="0B94E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480" w:type="dxa"/>
            <w:shd w:val="clear" w:color="auto" w:fill="auto"/>
            <w:noWrap/>
            <w:vAlign w:val="center"/>
          </w:tcPr>
          <w:p w14:paraId="79353B6B">
            <w:pPr>
              <w:widowControl/>
              <w:jc w:val="center"/>
              <w:rPr>
                <w:rFonts w:hint="eastAsia" w:ascii="宋体" w:hAnsi="宋体" w:cs="宋体"/>
                <w:color w:val="auto"/>
                <w:kern w:val="0"/>
                <w:sz w:val="22"/>
              </w:rPr>
            </w:pPr>
            <w:r>
              <w:rPr>
                <w:rFonts w:hint="eastAsia" w:ascii="宋体" w:hAnsi="宋体" w:cs="宋体"/>
                <w:color w:val="auto"/>
                <w:kern w:val="0"/>
                <w:sz w:val="22"/>
              </w:rPr>
              <w:t>1</w:t>
            </w:r>
          </w:p>
        </w:tc>
        <w:tc>
          <w:tcPr>
            <w:tcW w:w="720" w:type="dxa"/>
            <w:shd w:val="clear" w:color="auto" w:fill="auto"/>
            <w:vAlign w:val="center"/>
          </w:tcPr>
          <w:p w14:paraId="0A357814">
            <w:pPr>
              <w:widowControl/>
              <w:jc w:val="center"/>
              <w:rPr>
                <w:rFonts w:hint="eastAsia" w:ascii="宋体" w:hAnsi="宋体" w:cs="宋体"/>
                <w:color w:val="auto"/>
                <w:kern w:val="0"/>
                <w:sz w:val="22"/>
              </w:rPr>
            </w:pPr>
            <w:r>
              <w:rPr>
                <w:rFonts w:hint="eastAsia" w:ascii="宋体" w:hAnsi="宋体" w:cs="宋体"/>
                <w:color w:val="auto"/>
                <w:kern w:val="0"/>
                <w:sz w:val="22"/>
              </w:rPr>
              <w:t>入河排污口标志牌</w:t>
            </w:r>
          </w:p>
        </w:tc>
        <w:tc>
          <w:tcPr>
            <w:tcW w:w="7326" w:type="dxa"/>
            <w:gridSpan w:val="2"/>
            <w:shd w:val="clear" w:color="auto" w:fill="auto"/>
            <w:vAlign w:val="center"/>
          </w:tcPr>
          <w:p w14:paraId="404C42A6">
            <w:pPr>
              <w:widowControl/>
              <w:jc w:val="left"/>
              <w:rPr>
                <w:rFonts w:hint="eastAsia" w:ascii="宋体" w:hAnsi="宋体" w:cs="宋体"/>
                <w:color w:val="auto"/>
                <w:kern w:val="0"/>
                <w:sz w:val="22"/>
              </w:rPr>
            </w:pPr>
            <w:r>
              <w:rPr>
                <w:rFonts w:hint="eastAsia" w:ascii="宋体" w:hAnsi="宋体" w:cs="宋体"/>
                <w:color w:val="auto"/>
                <w:kern w:val="0"/>
                <w:sz w:val="22"/>
                <w:szCs w:val="22"/>
              </w:rPr>
              <w:t>1.</w:t>
            </w:r>
            <w:r>
              <w:rPr>
                <w:rFonts w:hint="eastAsia" w:ascii="宋体" w:hAnsi="宋体" w:cs="宋体"/>
                <w:color w:val="auto"/>
                <w:kern w:val="0"/>
                <w:sz w:val="22"/>
              </w:rPr>
              <w:t>规格:304不锈钢,面板厚度1.0mm，DN50*3不锈钢管立柱，标识牌衬底、文字及图案均采用一级反光膜</w:t>
            </w:r>
          </w:p>
          <w:p w14:paraId="48A5BAAA">
            <w:pPr>
              <w:widowControl/>
              <w:rPr>
                <w:rFonts w:hint="eastAsia" w:ascii="宋体" w:hAnsi="宋体" w:cs="宋体"/>
                <w:color w:val="auto"/>
                <w:kern w:val="0"/>
                <w:sz w:val="22"/>
              </w:rPr>
            </w:pPr>
            <w:r>
              <w:rPr>
                <w:rFonts w:hint="eastAsia" w:ascii="宋体" w:hAnsi="宋体" w:cs="宋体"/>
                <w:color w:val="auto"/>
                <w:kern w:val="0"/>
                <w:sz w:val="22"/>
              </w:rPr>
              <w:t>2.尺寸:1.2*0.7m，杆长2.15m，地上部分1.5m，</w:t>
            </w:r>
          </w:p>
        </w:tc>
        <w:tc>
          <w:tcPr>
            <w:tcW w:w="565" w:type="dxa"/>
            <w:shd w:val="clear" w:color="auto" w:fill="auto"/>
            <w:noWrap/>
            <w:vAlign w:val="center"/>
          </w:tcPr>
          <w:p w14:paraId="18F6D5DD">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noWrap/>
            <w:vAlign w:val="center"/>
          </w:tcPr>
          <w:p w14:paraId="50774B69">
            <w:pPr>
              <w:widowControl/>
              <w:jc w:val="center"/>
              <w:rPr>
                <w:rFonts w:hint="eastAsia" w:ascii="宋体" w:hAnsi="宋体" w:cs="宋体"/>
                <w:color w:val="auto"/>
                <w:kern w:val="0"/>
                <w:sz w:val="22"/>
              </w:rPr>
            </w:pPr>
            <w:r>
              <w:rPr>
                <w:rFonts w:hint="eastAsia" w:ascii="宋体" w:hAnsi="宋体" w:cs="宋体"/>
                <w:color w:val="auto"/>
                <w:kern w:val="0"/>
                <w:sz w:val="22"/>
              </w:rPr>
              <w:t>58</w:t>
            </w:r>
          </w:p>
        </w:tc>
      </w:tr>
      <w:tr w14:paraId="6ADCA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0" w:type="dxa"/>
            <w:vMerge w:val="restart"/>
            <w:shd w:val="clear" w:color="auto" w:fill="auto"/>
            <w:noWrap/>
            <w:vAlign w:val="center"/>
          </w:tcPr>
          <w:p w14:paraId="6AE07501">
            <w:pPr>
              <w:widowControl/>
              <w:jc w:val="center"/>
              <w:rPr>
                <w:rFonts w:hint="eastAsia" w:ascii="宋体" w:hAnsi="宋体" w:cs="宋体"/>
                <w:color w:val="auto"/>
                <w:kern w:val="0"/>
                <w:sz w:val="22"/>
              </w:rPr>
            </w:pPr>
            <w:r>
              <w:rPr>
                <w:rFonts w:hint="eastAsia" w:ascii="宋体" w:hAnsi="宋体" w:cs="宋体"/>
                <w:color w:val="auto"/>
                <w:kern w:val="0"/>
                <w:sz w:val="22"/>
              </w:rPr>
              <w:t>2</w:t>
            </w:r>
          </w:p>
        </w:tc>
        <w:tc>
          <w:tcPr>
            <w:tcW w:w="720" w:type="dxa"/>
            <w:vMerge w:val="restart"/>
            <w:shd w:val="clear" w:color="auto" w:fill="auto"/>
            <w:vAlign w:val="center"/>
          </w:tcPr>
          <w:p w14:paraId="3FF5A41F">
            <w:pPr>
              <w:widowControl/>
              <w:jc w:val="center"/>
              <w:rPr>
                <w:rFonts w:hint="eastAsia" w:ascii="宋体" w:hAnsi="宋体" w:cs="宋体"/>
                <w:color w:val="auto"/>
                <w:kern w:val="0"/>
                <w:sz w:val="22"/>
              </w:rPr>
            </w:pPr>
            <w:r>
              <w:rPr>
                <w:rFonts w:hint="eastAsia" w:ascii="宋体" w:hAnsi="宋体" w:cs="宋体"/>
                <w:color w:val="auto"/>
                <w:kern w:val="0"/>
                <w:sz w:val="22"/>
              </w:rPr>
              <w:t>视频监控系统</w:t>
            </w:r>
          </w:p>
        </w:tc>
        <w:tc>
          <w:tcPr>
            <w:tcW w:w="1000" w:type="dxa"/>
            <w:vMerge w:val="restart"/>
            <w:shd w:val="clear" w:color="auto" w:fill="auto"/>
            <w:vAlign w:val="center"/>
          </w:tcPr>
          <w:p w14:paraId="4DA5FD5F">
            <w:pPr>
              <w:widowControl/>
              <w:jc w:val="center"/>
              <w:rPr>
                <w:rFonts w:hint="eastAsia" w:ascii="宋体" w:hAnsi="宋体" w:cs="宋体"/>
                <w:color w:val="auto"/>
                <w:kern w:val="0"/>
                <w:sz w:val="22"/>
              </w:rPr>
            </w:pPr>
            <w:r>
              <w:rPr>
                <w:rFonts w:hint="eastAsia" w:ascii="宋体" w:hAnsi="宋体" w:cs="宋体"/>
                <w:color w:val="auto"/>
                <w:kern w:val="0"/>
                <w:sz w:val="22"/>
              </w:rPr>
              <w:t>球形监控摄像机</w:t>
            </w:r>
          </w:p>
        </w:tc>
        <w:tc>
          <w:tcPr>
            <w:tcW w:w="6326" w:type="dxa"/>
            <w:shd w:val="clear" w:color="auto" w:fill="auto"/>
            <w:vAlign w:val="center"/>
          </w:tcPr>
          <w:p w14:paraId="73F6039E">
            <w:pPr>
              <w:widowControl/>
              <w:jc w:val="left"/>
              <w:rPr>
                <w:rFonts w:hint="eastAsia" w:ascii="宋体" w:hAnsi="宋体" w:cs="宋体"/>
                <w:color w:val="auto"/>
                <w:kern w:val="0"/>
                <w:sz w:val="22"/>
              </w:rPr>
            </w:pPr>
            <w:r>
              <w:rPr>
                <w:rFonts w:hint="eastAsia" w:ascii="宋体" w:hAnsi="宋体" w:cs="宋体"/>
                <w:color w:val="auto"/>
                <w:kern w:val="0"/>
                <w:sz w:val="22"/>
              </w:rPr>
              <w:t>200 万球形广角摄像机</w:t>
            </w:r>
          </w:p>
          <w:p w14:paraId="3FF5C9FF">
            <w:pPr>
              <w:widowControl/>
              <w:jc w:val="left"/>
              <w:rPr>
                <w:rFonts w:hint="eastAsia" w:ascii="宋体" w:hAnsi="宋体" w:cs="宋体"/>
                <w:color w:val="auto"/>
                <w:kern w:val="0"/>
                <w:sz w:val="22"/>
              </w:rPr>
            </w:pPr>
            <w:r>
              <w:rPr>
                <w:rFonts w:hint="eastAsia" w:ascii="宋体" w:hAnsi="宋体" w:cs="宋体"/>
                <w:color w:val="auto"/>
                <w:kern w:val="0"/>
                <w:sz w:val="22"/>
              </w:rPr>
              <w:t>支持 H.265 编码,实现超低码流传输信噪比达到 55dB室外球达到 IP66 防护等级, 6000V 防雷、防浪涌和防突波保护支持绊线入侵、区域入侵、穿越围栏、徘徊检测、物品遗留、物品搬移、快速移动等多种行为检测;支持多种触发规则</w:t>
            </w:r>
          </w:p>
          <w:p w14:paraId="53531061">
            <w:pPr>
              <w:widowControl/>
              <w:jc w:val="left"/>
              <w:rPr>
                <w:rFonts w:hint="eastAsia" w:ascii="宋体" w:hAnsi="宋体" w:cs="宋体"/>
                <w:color w:val="auto"/>
                <w:kern w:val="0"/>
                <w:sz w:val="22"/>
              </w:rPr>
            </w:pPr>
            <w:r>
              <w:rPr>
                <w:rFonts w:hint="eastAsia" w:ascii="宋体" w:hAnsi="宋体" w:cs="宋体"/>
                <w:color w:val="auto"/>
                <w:kern w:val="0"/>
                <w:sz w:val="22"/>
              </w:rPr>
              <w:t>联动动作。</w:t>
            </w:r>
          </w:p>
        </w:tc>
        <w:tc>
          <w:tcPr>
            <w:tcW w:w="565" w:type="dxa"/>
            <w:vMerge w:val="restart"/>
            <w:shd w:val="clear" w:color="auto" w:fill="auto"/>
            <w:vAlign w:val="center"/>
          </w:tcPr>
          <w:p w14:paraId="34A843CA">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vMerge w:val="restart"/>
            <w:shd w:val="clear" w:color="auto" w:fill="auto"/>
            <w:vAlign w:val="center"/>
          </w:tcPr>
          <w:p w14:paraId="363D5B19">
            <w:pPr>
              <w:widowControl/>
              <w:jc w:val="center"/>
              <w:rPr>
                <w:rFonts w:hint="eastAsia" w:ascii="宋体" w:hAnsi="宋体" w:cs="宋体"/>
                <w:color w:val="auto"/>
                <w:kern w:val="0"/>
                <w:sz w:val="22"/>
              </w:rPr>
            </w:pPr>
            <w:r>
              <w:rPr>
                <w:rFonts w:hint="eastAsia" w:ascii="宋体" w:hAnsi="宋体" w:cs="宋体"/>
                <w:color w:val="auto"/>
                <w:kern w:val="0"/>
                <w:sz w:val="22"/>
              </w:rPr>
              <w:t>18</w:t>
            </w:r>
          </w:p>
        </w:tc>
      </w:tr>
      <w:tr w14:paraId="5D02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5" w:hRule="atLeast"/>
        </w:trPr>
        <w:tc>
          <w:tcPr>
            <w:tcW w:w="480" w:type="dxa"/>
            <w:vMerge w:val="continue"/>
            <w:vAlign w:val="center"/>
          </w:tcPr>
          <w:p w14:paraId="2E53B836">
            <w:pPr>
              <w:widowControl/>
              <w:jc w:val="left"/>
              <w:rPr>
                <w:rFonts w:hint="eastAsia" w:ascii="宋体" w:hAnsi="宋体" w:cs="宋体"/>
                <w:color w:val="auto"/>
                <w:kern w:val="0"/>
                <w:sz w:val="22"/>
              </w:rPr>
            </w:pPr>
          </w:p>
        </w:tc>
        <w:tc>
          <w:tcPr>
            <w:tcW w:w="720" w:type="dxa"/>
            <w:vMerge w:val="continue"/>
            <w:vAlign w:val="center"/>
          </w:tcPr>
          <w:p w14:paraId="5CCEA963">
            <w:pPr>
              <w:widowControl/>
              <w:jc w:val="left"/>
              <w:rPr>
                <w:rFonts w:hint="eastAsia" w:ascii="宋体" w:hAnsi="宋体" w:cs="宋体"/>
                <w:color w:val="auto"/>
                <w:kern w:val="0"/>
                <w:sz w:val="22"/>
              </w:rPr>
            </w:pPr>
          </w:p>
        </w:tc>
        <w:tc>
          <w:tcPr>
            <w:tcW w:w="1000" w:type="dxa"/>
            <w:shd w:val="clear" w:color="auto" w:fill="auto"/>
            <w:vAlign w:val="center"/>
          </w:tcPr>
          <w:p w14:paraId="7F451686">
            <w:pPr>
              <w:widowControl/>
              <w:jc w:val="center"/>
              <w:rPr>
                <w:rFonts w:hint="eastAsia" w:ascii="宋体" w:hAnsi="宋体" w:cs="宋体"/>
                <w:color w:val="auto"/>
                <w:kern w:val="0"/>
                <w:sz w:val="22"/>
              </w:rPr>
            </w:pPr>
            <w:r>
              <w:rPr>
                <w:rFonts w:hint="eastAsia" w:ascii="宋体" w:hAnsi="宋体" w:cs="宋体"/>
                <w:color w:val="auto"/>
                <w:kern w:val="0"/>
                <w:sz w:val="22"/>
              </w:rPr>
              <w:t>立杆</w:t>
            </w:r>
          </w:p>
        </w:tc>
        <w:tc>
          <w:tcPr>
            <w:tcW w:w="6326" w:type="dxa"/>
            <w:shd w:val="clear" w:color="auto" w:fill="auto"/>
            <w:vAlign w:val="center"/>
          </w:tcPr>
          <w:p w14:paraId="187E1189">
            <w:pPr>
              <w:widowControl/>
              <w:jc w:val="left"/>
              <w:rPr>
                <w:rFonts w:hint="eastAsia" w:ascii="宋体" w:hAnsi="宋体" w:cs="宋体"/>
                <w:color w:val="auto"/>
                <w:kern w:val="0"/>
                <w:sz w:val="22"/>
              </w:rPr>
            </w:pPr>
            <w:r>
              <w:rPr>
                <w:rFonts w:hint="eastAsia" w:ascii="宋体" w:hAnsi="宋体" w:cs="宋体"/>
                <w:color w:val="auto"/>
                <w:kern w:val="0"/>
                <w:sz w:val="22"/>
              </w:rPr>
              <w:t>立杆: 5m 镀锌钢管,无缝烤漆工艺。配套避雷针避雷器,含基础</w:t>
            </w:r>
          </w:p>
          <w:p w14:paraId="37737C2D">
            <w:pPr>
              <w:widowControl/>
              <w:jc w:val="left"/>
              <w:rPr>
                <w:rFonts w:hint="eastAsia" w:ascii="宋体" w:hAnsi="宋体" w:cs="宋体"/>
                <w:color w:val="auto"/>
                <w:kern w:val="0"/>
                <w:sz w:val="22"/>
              </w:rPr>
            </w:pPr>
            <w:r>
              <w:rPr>
                <w:rFonts w:hint="eastAsia" w:ascii="宋体" w:hAnsi="宋体" w:cs="宋体"/>
                <w:color w:val="auto"/>
                <w:kern w:val="0"/>
                <w:sz w:val="22"/>
              </w:rPr>
              <w:t>浪涌保护器、避雷针、避雷器不锈钢防水机箱,防水 IP55 ,标识;尺寸根据实际传感器尺寸确定,且需要考虑网络设备、电源等附件的安装</w:t>
            </w:r>
          </w:p>
          <w:p w14:paraId="646FA828">
            <w:pPr>
              <w:widowControl/>
              <w:jc w:val="left"/>
              <w:rPr>
                <w:rFonts w:hint="eastAsia" w:ascii="宋体" w:hAnsi="宋体" w:cs="宋体"/>
                <w:color w:val="auto"/>
                <w:kern w:val="0"/>
                <w:sz w:val="22"/>
              </w:rPr>
            </w:pPr>
            <w:r>
              <w:rPr>
                <w:rFonts w:hint="eastAsia" w:ascii="宋体" w:hAnsi="宋体" w:cs="宋体"/>
                <w:color w:val="auto"/>
                <w:kern w:val="0"/>
                <w:sz w:val="22"/>
              </w:rPr>
              <w:t>其他附件:配套各类螺丝、螺母、导轨、抱箍、排插</w:t>
            </w:r>
          </w:p>
          <w:p w14:paraId="2A92F042">
            <w:pPr>
              <w:jc w:val="left"/>
              <w:rPr>
                <w:color w:val="auto"/>
              </w:rPr>
            </w:pPr>
            <w:r>
              <w:rPr>
                <w:rFonts w:hint="eastAsia"/>
                <w:color w:val="auto"/>
              </w:rPr>
              <w:t>4G 全网通 路由器（TP）</w:t>
            </w:r>
          </w:p>
          <w:p w14:paraId="6217D2C4">
            <w:pPr>
              <w:widowControl/>
              <w:jc w:val="left"/>
              <w:rPr>
                <w:rFonts w:hint="eastAsia" w:ascii="宋体" w:hAnsi="宋体" w:cs="宋体"/>
                <w:color w:val="auto"/>
                <w:kern w:val="0"/>
                <w:sz w:val="22"/>
              </w:rPr>
            </w:pPr>
            <w:r>
              <w:rPr>
                <w:rFonts w:hint="eastAsia" w:ascii="宋体" w:hAnsi="宋体" w:cs="宋体"/>
                <w:color w:val="auto"/>
                <w:kern w:val="0"/>
                <w:sz w:val="22"/>
              </w:rPr>
              <w:t>太阳能电池: 磷酸铁锂电池容量,:200AH 工作电压 :25.6V 峰值功率高达 150W, 工作范围-40--85 度, 单晶硅。</w:t>
            </w:r>
          </w:p>
          <w:p w14:paraId="46FD8B49">
            <w:pPr>
              <w:widowControl/>
              <w:jc w:val="left"/>
              <w:rPr>
                <w:rFonts w:hint="eastAsia" w:ascii="宋体" w:hAnsi="宋体" w:cs="宋体"/>
                <w:color w:val="auto"/>
                <w:kern w:val="0"/>
                <w:sz w:val="22"/>
              </w:rPr>
            </w:pPr>
            <w:r>
              <w:rPr>
                <w:rFonts w:hint="eastAsia" w:ascii="宋体" w:hAnsi="宋体" w:cs="宋体"/>
                <w:color w:val="auto"/>
                <w:kern w:val="0"/>
                <w:sz w:val="22"/>
              </w:rPr>
              <w:t>设计使用寿命: 25 年</w:t>
            </w:r>
          </w:p>
          <w:p w14:paraId="07D54072">
            <w:pPr>
              <w:widowControl/>
              <w:jc w:val="left"/>
              <w:rPr>
                <w:rFonts w:hint="eastAsia" w:ascii="宋体" w:hAnsi="宋体" w:cs="宋体"/>
                <w:color w:val="auto"/>
                <w:kern w:val="0"/>
                <w:sz w:val="22"/>
              </w:rPr>
            </w:pPr>
            <w:r>
              <w:rPr>
                <w:rFonts w:hint="eastAsia" w:ascii="宋体" w:hAnsi="宋体" w:cs="宋体"/>
                <w:color w:val="auto"/>
                <w:kern w:val="0"/>
                <w:sz w:val="22"/>
              </w:rPr>
              <w:t>组网物联网卡 : 根据现场网络状况选择三大运营商之一</w:t>
            </w:r>
          </w:p>
        </w:tc>
        <w:tc>
          <w:tcPr>
            <w:tcW w:w="565" w:type="dxa"/>
            <w:vMerge w:val="continue"/>
            <w:vAlign w:val="center"/>
          </w:tcPr>
          <w:p w14:paraId="1B160F7C">
            <w:pPr>
              <w:widowControl/>
              <w:jc w:val="left"/>
              <w:rPr>
                <w:rFonts w:hint="eastAsia" w:ascii="宋体" w:hAnsi="宋体" w:cs="宋体"/>
                <w:color w:val="auto"/>
                <w:kern w:val="0"/>
                <w:sz w:val="22"/>
              </w:rPr>
            </w:pPr>
          </w:p>
        </w:tc>
        <w:tc>
          <w:tcPr>
            <w:tcW w:w="825" w:type="dxa"/>
            <w:vMerge w:val="continue"/>
            <w:vAlign w:val="center"/>
          </w:tcPr>
          <w:p w14:paraId="385CD91F">
            <w:pPr>
              <w:widowControl/>
              <w:jc w:val="left"/>
              <w:rPr>
                <w:rFonts w:hint="eastAsia" w:ascii="宋体" w:hAnsi="宋体" w:cs="宋体"/>
                <w:color w:val="auto"/>
                <w:kern w:val="0"/>
                <w:sz w:val="22"/>
              </w:rPr>
            </w:pPr>
          </w:p>
        </w:tc>
      </w:tr>
      <w:tr w14:paraId="0FC8B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0" w:type="dxa"/>
            <w:vMerge w:val="continue"/>
            <w:vAlign w:val="center"/>
          </w:tcPr>
          <w:p w14:paraId="3AB519E6">
            <w:pPr>
              <w:widowControl/>
              <w:jc w:val="left"/>
              <w:rPr>
                <w:rFonts w:hint="eastAsia" w:ascii="宋体" w:hAnsi="宋体" w:cs="宋体"/>
                <w:color w:val="auto"/>
                <w:kern w:val="0"/>
                <w:sz w:val="22"/>
              </w:rPr>
            </w:pPr>
          </w:p>
        </w:tc>
        <w:tc>
          <w:tcPr>
            <w:tcW w:w="720" w:type="dxa"/>
            <w:vMerge w:val="continue"/>
            <w:vAlign w:val="center"/>
          </w:tcPr>
          <w:p w14:paraId="50AF554F">
            <w:pPr>
              <w:widowControl/>
              <w:jc w:val="left"/>
              <w:rPr>
                <w:rFonts w:hint="eastAsia" w:ascii="宋体" w:hAnsi="宋体" w:cs="宋体"/>
                <w:color w:val="auto"/>
                <w:kern w:val="0"/>
                <w:sz w:val="22"/>
              </w:rPr>
            </w:pPr>
          </w:p>
        </w:tc>
        <w:tc>
          <w:tcPr>
            <w:tcW w:w="1000" w:type="dxa"/>
            <w:shd w:val="clear" w:color="auto" w:fill="auto"/>
            <w:vAlign w:val="center"/>
          </w:tcPr>
          <w:p w14:paraId="71689FD9">
            <w:pPr>
              <w:widowControl/>
              <w:jc w:val="center"/>
              <w:rPr>
                <w:rFonts w:hint="eastAsia" w:ascii="宋体" w:hAnsi="宋体" w:cs="宋体"/>
                <w:color w:val="auto"/>
                <w:kern w:val="0"/>
                <w:sz w:val="22"/>
              </w:rPr>
            </w:pPr>
            <w:r>
              <w:rPr>
                <w:rFonts w:hint="eastAsia" w:ascii="宋体" w:hAnsi="宋体" w:cs="宋体"/>
                <w:color w:val="auto"/>
                <w:kern w:val="0"/>
                <w:sz w:val="22"/>
              </w:rPr>
              <w:t>网关</w:t>
            </w:r>
          </w:p>
        </w:tc>
        <w:tc>
          <w:tcPr>
            <w:tcW w:w="6326" w:type="dxa"/>
            <w:shd w:val="clear" w:color="auto" w:fill="auto"/>
            <w:vAlign w:val="center"/>
          </w:tcPr>
          <w:p w14:paraId="55C9341A">
            <w:pPr>
              <w:widowControl/>
              <w:jc w:val="left"/>
              <w:rPr>
                <w:rFonts w:hint="eastAsia" w:ascii="宋体" w:hAnsi="宋体" w:cs="宋体"/>
                <w:color w:val="auto"/>
                <w:kern w:val="0"/>
                <w:sz w:val="22"/>
              </w:rPr>
            </w:pPr>
            <w:r>
              <w:rPr>
                <w:rFonts w:hint="eastAsia" w:ascii="宋体" w:hAnsi="宋体" w:cs="宋体"/>
                <w:color w:val="auto"/>
                <w:kern w:val="0"/>
                <w:sz w:val="22"/>
              </w:rPr>
              <w:t>i5-3340 CPU @ 2.5GHz+8g+64g ；intel PCI-E 2500M, 支持 B/S 软件,不限用户数</w:t>
            </w:r>
          </w:p>
        </w:tc>
        <w:tc>
          <w:tcPr>
            <w:tcW w:w="565" w:type="dxa"/>
            <w:shd w:val="clear" w:color="auto" w:fill="auto"/>
            <w:vAlign w:val="center"/>
          </w:tcPr>
          <w:p w14:paraId="22E0B56B">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219C99E6">
            <w:pPr>
              <w:widowControl/>
              <w:jc w:val="center"/>
              <w:rPr>
                <w:rFonts w:hint="eastAsia" w:ascii="宋体" w:hAnsi="宋体" w:cs="宋体"/>
                <w:color w:val="auto"/>
                <w:kern w:val="0"/>
                <w:sz w:val="22"/>
              </w:rPr>
            </w:pPr>
            <w:r>
              <w:rPr>
                <w:rFonts w:hint="eastAsia" w:ascii="宋体" w:hAnsi="宋体" w:cs="宋体"/>
                <w:color w:val="auto"/>
                <w:kern w:val="0"/>
                <w:sz w:val="22"/>
              </w:rPr>
              <w:t>1</w:t>
            </w:r>
          </w:p>
        </w:tc>
      </w:tr>
      <w:tr w14:paraId="0CEE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80" w:type="dxa"/>
            <w:vMerge w:val="restart"/>
            <w:shd w:val="clear" w:color="auto" w:fill="auto"/>
            <w:noWrap/>
            <w:vAlign w:val="center"/>
          </w:tcPr>
          <w:p w14:paraId="23704519">
            <w:pPr>
              <w:widowControl/>
              <w:jc w:val="center"/>
              <w:rPr>
                <w:rFonts w:hint="eastAsia" w:ascii="宋体" w:hAnsi="宋体" w:cs="宋体"/>
                <w:color w:val="auto"/>
                <w:kern w:val="0"/>
                <w:sz w:val="22"/>
              </w:rPr>
            </w:pPr>
            <w:r>
              <w:rPr>
                <w:rFonts w:hint="eastAsia" w:ascii="宋体" w:hAnsi="宋体" w:cs="宋体"/>
                <w:color w:val="auto"/>
                <w:kern w:val="0"/>
                <w:sz w:val="22"/>
              </w:rPr>
              <w:t>3</w:t>
            </w:r>
          </w:p>
        </w:tc>
        <w:tc>
          <w:tcPr>
            <w:tcW w:w="720" w:type="dxa"/>
            <w:vMerge w:val="restart"/>
            <w:shd w:val="clear" w:color="auto" w:fill="auto"/>
            <w:vAlign w:val="center"/>
          </w:tcPr>
          <w:p w14:paraId="25179398">
            <w:pPr>
              <w:widowControl/>
              <w:jc w:val="center"/>
              <w:rPr>
                <w:rFonts w:hint="eastAsia" w:ascii="宋体" w:hAnsi="宋体" w:cs="宋体"/>
                <w:color w:val="auto"/>
                <w:kern w:val="0"/>
                <w:sz w:val="22"/>
              </w:rPr>
            </w:pPr>
            <w:r>
              <w:rPr>
                <w:rFonts w:hint="eastAsia" w:ascii="宋体" w:hAnsi="宋体" w:cs="宋体"/>
                <w:color w:val="auto"/>
                <w:kern w:val="0"/>
                <w:sz w:val="22"/>
              </w:rPr>
              <w:t>流量在线监测系统</w:t>
            </w:r>
          </w:p>
        </w:tc>
        <w:tc>
          <w:tcPr>
            <w:tcW w:w="1000" w:type="dxa"/>
            <w:vMerge w:val="restart"/>
            <w:shd w:val="clear" w:color="auto" w:fill="auto"/>
            <w:vAlign w:val="center"/>
          </w:tcPr>
          <w:p w14:paraId="1485FAF3">
            <w:pPr>
              <w:widowControl/>
              <w:jc w:val="center"/>
              <w:rPr>
                <w:rFonts w:hint="eastAsia" w:ascii="宋体" w:hAnsi="宋体" w:cs="宋体"/>
                <w:color w:val="auto"/>
                <w:kern w:val="0"/>
                <w:sz w:val="22"/>
              </w:rPr>
            </w:pPr>
            <w:r>
              <w:rPr>
                <w:rFonts w:hint="eastAsia" w:ascii="宋体" w:hAnsi="宋体" w:cs="宋体"/>
                <w:color w:val="auto"/>
                <w:kern w:val="0"/>
                <w:sz w:val="22"/>
              </w:rPr>
              <w:t>雷达流量计</w:t>
            </w:r>
          </w:p>
        </w:tc>
        <w:tc>
          <w:tcPr>
            <w:tcW w:w="6326" w:type="dxa"/>
            <w:shd w:val="clear" w:color="auto" w:fill="auto"/>
            <w:vAlign w:val="center"/>
          </w:tcPr>
          <w:p w14:paraId="72F8EFC0">
            <w:pPr>
              <w:widowControl/>
              <w:jc w:val="left"/>
              <w:rPr>
                <w:rFonts w:hint="eastAsia" w:ascii="宋体" w:hAnsi="宋体" w:cs="宋体"/>
                <w:color w:val="auto"/>
                <w:kern w:val="0"/>
                <w:sz w:val="22"/>
              </w:rPr>
            </w:pPr>
            <w:r>
              <w:rPr>
                <w:rFonts w:hint="eastAsia" w:ascii="宋体" w:hAnsi="宋体" w:cs="宋体"/>
                <w:color w:val="auto"/>
                <w:kern w:val="0"/>
                <w:sz w:val="22"/>
              </w:rPr>
              <w:t>水位量程:0.05~50m</w:t>
            </w:r>
          </w:p>
          <w:p w14:paraId="531290C9">
            <w:pPr>
              <w:widowControl/>
              <w:jc w:val="left"/>
              <w:rPr>
                <w:rFonts w:hint="eastAsia" w:ascii="宋体" w:hAnsi="宋体" w:cs="宋体"/>
                <w:color w:val="auto"/>
                <w:kern w:val="0"/>
                <w:sz w:val="22"/>
              </w:rPr>
            </w:pPr>
            <w:r>
              <w:rPr>
                <w:rFonts w:hint="eastAsia" w:ascii="宋体" w:hAnsi="宋体" w:cs="宋体"/>
                <w:color w:val="auto"/>
                <w:kern w:val="0"/>
                <w:sz w:val="22"/>
              </w:rPr>
              <w:t>流速量程:0.03~21m/s</w:t>
            </w:r>
          </w:p>
          <w:p w14:paraId="0A494890">
            <w:pPr>
              <w:widowControl/>
              <w:jc w:val="left"/>
              <w:rPr>
                <w:rFonts w:hint="eastAsia" w:ascii="宋体" w:hAnsi="宋体" w:cs="宋体"/>
                <w:color w:val="auto"/>
                <w:kern w:val="0"/>
                <w:sz w:val="22"/>
              </w:rPr>
            </w:pPr>
            <w:r>
              <w:rPr>
                <w:rFonts w:hint="eastAsia" w:ascii="宋体" w:hAnsi="宋体" w:cs="宋体"/>
                <w:color w:val="auto"/>
                <w:kern w:val="0"/>
                <w:sz w:val="22"/>
              </w:rPr>
              <w:t>水位精度:±1mm</w:t>
            </w:r>
          </w:p>
          <w:p w14:paraId="3871721D">
            <w:pPr>
              <w:widowControl/>
              <w:jc w:val="left"/>
              <w:rPr>
                <w:rFonts w:hint="eastAsia" w:ascii="宋体" w:hAnsi="宋体" w:cs="宋体"/>
                <w:color w:val="auto"/>
                <w:kern w:val="0"/>
                <w:sz w:val="22"/>
              </w:rPr>
            </w:pPr>
            <w:r>
              <w:rPr>
                <w:rFonts w:hint="eastAsia" w:ascii="宋体" w:hAnsi="宋体" w:cs="宋体"/>
                <w:color w:val="auto"/>
                <w:kern w:val="0"/>
                <w:sz w:val="22"/>
              </w:rPr>
              <w:t>流速精度:0.01m/s</w:t>
            </w:r>
          </w:p>
          <w:p w14:paraId="7333860B">
            <w:pPr>
              <w:widowControl/>
              <w:jc w:val="left"/>
              <w:rPr>
                <w:rFonts w:hint="eastAsia" w:ascii="宋体" w:hAnsi="宋体" w:cs="宋体"/>
                <w:color w:val="auto"/>
                <w:kern w:val="0"/>
                <w:sz w:val="22"/>
              </w:rPr>
            </w:pPr>
            <w:r>
              <w:rPr>
                <w:rFonts w:hint="eastAsia" w:ascii="宋体" w:hAnsi="宋体" w:cs="宋体"/>
                <w:color w:val="auto"/>
                <w:kern w:val="0"/>
                <w:sz w:val="22"/>
              </w:rPr>
              <w:t>工作电压:12vDC</w:t>
            </w:r>
          </w:p>
          <w:p w14:paraId="1AAA4717">
            <w:pPr>
              <w:widowControl/>
              <w:jc w:val="left"/>
              <w:rPr>
                <w:rFonts w:hint="eastAsia" w:ascii="宋体" w:hAnsi="宋体" w:cs="宋体"/>
                <w:color w:val="auto"/>
                <w:kern w:val="0"/>
                <w:sz w:val="22"/>
              </w:rPr>
            </w:pPr>
            <w:r>
              <w:rPr>
                <w:rFonts w:hint="eastAsia" w:ascii="宋体" w:hAnsi="宋体" w:cs="宋体"/>
                <w:color w:val="auto"/>
                <w:kern w:val="0"/>
                <w:sz w:val="22"/>
              </w:rPr>
              <w:t>温度补偿:自动温度补偿</w:t>
            </w:r>
          </w:p>
          <w:p w14:paraId="1175F0D6">
            <w:pPr>
              <w:widowControl/>
              <w:jc w:val="left"/>
              <w:rPr>
                <w:rFonts w:hint="eastAsia" w:ascii="宋体" w:hAnsi="宋体" w:cs="宋体"/>
                <w:color w:val="auto"/>
                <w:kern w:val="0"/>
                <w:sz w:val="22"/>
              </w:rPr>
            </w:pPr>
            <w:r>
              <w:rPr>
                <w:rFonts w:hint="eastAsia" w:ascii="宋体" w:hAnsi="宋体" w:cs="宋体"/>
                <w:color w:val="auto"/>
                <w:kern w:val="0"/>
                <w:sz w:val="22"/>
              </w:rPr>
              <w:t>遥测终端( RTU )</w:t>
            </w:r>
          </w:p>
          <w:p w14:paraId="74A4ED0C">
            <w:pPr>
              <w:widowControl/>
              <w:jc w:val="left"/>
              <w:rPr>
                <w:rFonts w:hint="eastAsia" w:ascii="宋体" w:hAnsi="宋体" w:cs="宋体"/>
                <w:color w:val="auto"/>
                <w:kern w:val="0"/>
                <w:sz w:val="22"/>
              </w:rPr>
            </w:pPr>
            <w:r>
              <w:rPr>
                <w:rFonts w:hint="eastAsia" w:ascii="宋体" w:hAnsi="宋体" w:cs="宋体"/>
                <w:color w:val="auto"/>
                <w:kern w:val="0"/>
                <w:sz w:val="22"/>
              </w:rPr>
              <w:t>通讯方式 无线传输</w:t>
            </w:r>
          </w:p>
          <w:p w14:paraId="7626E51C">
            <w:pPr>
              <w:widowControl/>
              <w:jc w:val="left"/>
              <w:rPr>
                <w:rFonts w:hint="eastAsia" w:ascii="宋体" w:hAnsi="宋体" w:cs="宋体"/>
                <w:color w:val="auto"/>
                <w:kern w:val="0"/>
                <w:sz w:val="22"/>
              </w:rPr>
            </w:pPr>
            <w:r>
              <w:rPr>
                <w:rFonts w:hint="eastAsia" w:ascii="宋体" w:hAnsi="宋体" w:cs="宋体"/>
                <w:color w:val="auto"/>
                <w:kern w:val="0"/>
                <w:sz w:val="22"/>
              </w:rPr>
              <w:t>发射功率 20dBm</w:t>
            </w:r>
          </w:p>
          <w:p w14:paraId="4D3057D6">
            <w:pPr>
              <w:widowControl/>
              <w:jc w:val="left"/>
              <w:rPr>
                <w:rFonts w:hint="eastAsia" w:ascii="宋体" w:hAnsi="宋体" w:cs="宋体"/>
                <w:color w:val="auto"/>
                <w:kern w:val="0"/>
                <w:sz w:val="22"/>
              </w:rPr>
            </w:pPr>
            <w:r>
              <w:rPr>
                <w:rFonts w:hint="eastAsia" w:ascii="宋体" w:hAnsi="宋体" w:cs="宋体"/>
                <w:color w:val="auto"/>
                <w:kern w:val="0"/>
                <w:sz w:val="22"/>
              </w:rPr>
              <w:t>电池容量 3.6V@38Ah</w:t>
            </w:r>
          </w:p>
          <w:p w14:paraId="52A67F8A">
            <w:pPr>
              <w:widowControl/>
              <w:jc w:val="left"/>
              <w:rPr>
                <w:rFonts w:hint="eastAsia" w:ascii="宋体" w:hAnsi="宋体" w:cs="宋体"/>
                <w:color w:val="auto"/>
                <w:kern w:val="0"/>
                <w:sz w:val="22"/>
              </w:rPr>
            </w:pPr>
            <w:r>
              <w:rPr>
                <w:rFonts w:hint="eastAsia" w:ascii="宋体" w:hAnsi="宋体" w:cs="宋体"/>
                <w:color w:val="auto"/>
                <w:kern w:val="0"/>
                <w:sz w:val="22"/>
              </w:rPr>
              <w:t>动态电流 &lt;500mA</w:t>
            </w:r>
          </w:p>
          <w:p w14:paraId="58779FF5">
            <w:pPr>
              <w:widowControl/>
              <w:jc w:val="left"/>
              <w:rPr>
                <w:rFonts w:hint="eastAsia" w:ascii="宋体" w:hAnsi="宋体" w:cs="宋体"/>
                <w:color w:val="auto"/>
                <w:kern w:val="0"/>
                <w:sz w:val="22"/>
              </w:rPr>
            </w:pPr>
            <w:r>
              <w:rPr>
                <w:rFonts w:hint="eastAsia" w:ascii="宋体" w:hAnsi="宋体" w:cs="宋体"/>
                <w:color w:val="auto"/>
                <w:kern w:val="0"/>
                <w:sz w:val="22"/>
              </w:rPr>
              <w:t>静态电流 &lt; 35uA</w:t>
            </w:r>
          </w:p>
          <w:p w14:paraId="00405725">
            <w:pPr>
              <w:widowControl/>
              <w:jc w:val="left"/>
              <w:rPr>
                <w:rFonts w:hint="eastAsia" w:ascii="宋体" w:hAnsi="宋体" w:cs="宋体"/>
                <w:color w:val="auto"/>
                <w:kern w:val="0"/>
                <w:sz w:val="22"/>
              </w:rPr>
            </w:pPr>
            <w:r>
              <w:rPr>
                <w:rFonts w:hint="eastAsia" w:ascii="宋体" w:hAnsi="宋体" w:cs="宋体"/>
                <w:color w:val="auto"/>
                <w:kern w:val="0"/>
                <w:sz w:val="22"/>
              </w:rPr>
              <w:t>存储容量 4Mbit</w:t>
            </w:r>
          </w:p>
          <w:p w14:paraId="3F5BD173">
            <w:pPr>
              <w:widowControl/>
              <w:jc w:val="left"/>
              <w:rPr>
                <w:rFonts w:hint="eastAsia" w:ascii="宋体" w:hAnsi="宋体" w:cs="宋体"/>
                <w:color w:val="auto"/>
                <w:kern w:val="0"/>
                <w:sz w:val="22"/>
              </w:rPr>
            </w:pPr>
            <w:r>
              <w:rPr>
                <w:rFonts w:hint="eastAsia" w:ascii="宋体" w:hAnsi="宋体" w:cs="宋体"/>
                <w:color w:val="auto"/>
                <w:kern w:val="0"/>
                <w:sz w:val="22"/>
              </w:rPr>
              <w:t>历史数据数量 &gt;4000 条</w:t>
            </w:r>
          </w:p>
          <w:p w14:paraId="407F0CA9">
            <w:pPr>
              <w:widowControl/>
              <w:jc w:val="left"/>
              <w:rPr>
                <w:rFonts w:hint="eastAsia" w:ascii="宋体" w:hAnsi="宋体" w:cs="宋体"/>
                <w:color w:val="auto"/>
                <w:kern w:val="0"/>
                <w:sz w:val="22"/>
              </w:rPr>
            </w:pPr>
            <w:r>
              <w:rPr>
                <w:rFonts w:hint="eastAsia" w:ascii="宋体" w:hAnsi="宋体" w:cs="宋体"/>
                <w:color w:val="auto"/>
                <w:kern w:val="0"/>
                <w:sz w:val="22"/>
              </w:rPr>
              <w:t>存储时间 &gt;10 年</w:t>
            </w:r>
          </w:p>
          <w:p w14:paraId="65157620">
            <w:pPr>
              <w:widowControl/>
              <w:jc w:val="left"/>
              <w:rPr>
                <w:rFonts w:hint="eastAsia" w:ascii="宋体" w:hAnsi="宋体" w:cs="宋体"/>
                <w:color w:val="auto"/>
                <w:kern w:val="0"/>
                <w:sz w:val="22"/>
              </w:rPr>
            </w:pPr>
            <w:r>
              <w:rPr>
                <w:rFonts w:hint="eastAsia" w:ascii="宋体" w:hAnsi="宋体" w:cs="宋体"/>
                <w:color w:val="auto"/>
                <w:kern w:val="0"/>
                <w:sz w:val="22"/>
              </w:rPr>
              <w:t>防水等级 IP68</w:t>
            </w:r>
          </w:p>
          <w:p w14:paraId="03619573">
            <w:pPr>
              <w:widowControl/>
              <w:jc w:val="left"/>
              <w:rPr>
                <w:rFonts w:hint="eastAsia" w:ascii="宋体" w:hAnsi="宋体" w:cs="宋体"/>
                <w:color w:val="auto"/>
                <w:kern w:val="0"/>
                <w:sz w:val="22"/>
              </w:rPr>
            </w:pPr>
            <w:r>
              <w:rPr>
                <w:rFonts w:hint="eastAsia" w:ascii="宋体" w:hAnsi="宋体" w:cs="宋体"/>
                <w:color w:val="auto"/>
                <w:kern w:val="0"/>
                <w:sz w:val="22"/>
              </w:rPr>
              <w:t>工作环境 温度 (-40 ℃~ +85 ℃ ), 环境相对湿度</w:t>
            </w:r>
          </w:p>
          <w:p w14:paraId="51AF1EDD">
            <w:pPr>
              <w:widowControl/>
              <w:jc w:val="left"/>
              <w:rPr>
                <w:rFonts w:hint="eastAsia" w:ascii="宋体" w:hAnsi="宋体" w:cs="宋体"/>
                <w:color w:val="auto"/>
                <w:kern w:val="0"/>
                <w:sz w:val="22"/>
              </w:rPr>
            </w:pPr>
            <w:r>
              <w:rPr>
                <w:rFonts w:hint="eastAsia" w:ascii="宋体" w:hAnsi="宋体" w:cs="宋体"/>
                <w:color w:val="auto"/>
                <w:kern w:val="0"/>
                <w:sz w:val="22"/>
              </w:rPr>
              <w:t>立杆: 3.5m 镀锌钢管,无缝烤漆工艺。配套避雷针避雷器,含基础</w:t>
            </w:r>
          </w:p>
          <w:p w14:paraId="463FE611">
            <w:pPr>
              <w:widowControl/>
              <w:jc w:val="left"/>
              <w:rPr>
                <w:rFonts w:hint="eastAsia" w:ascii="宋体" w:hAnsi="宋体" w:cs="宋体"/>
                <w:color w:val="auto"/>
                <w:kern w:val="0"/>
                <w:sz w:val="22"/>
              </w:rPr>
            </w:pPr>
            <w:r>
              <w:rPr>
                <w:rFonts w:hint="eastAsia" w:ascii="宋体" w:hAnsi="宋体" w:cs="宋体"/>
                <w:color w:val="auto"/>
                <w:kern w:val="0"/>
                <w:sz w:val="22"/>
              </w:rPr>
              <w:t>机箱:不锈钢,防水 IP55 ,标识;尺寸根据实际传感器尺寸确定,且需要考虑 RTU 电源等附件的安装</w:t>
            </w:r>
          </w:p>
        </w:tc>
        <w:tc>
          <w:tcPr>
            <w:tcW w:w="565" w:type="dxa"/>
            <w:vMerge w:val="restart"/>
            <w:shd w:val="clear" w:color="auto" w:fill="auto"/>
            <w:vAlign w:val="center"/>
          </w:tcPr>
          <w:p w14:paraId="1C69F597">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vMerge w:val="restart"/>
            <w:shd w:val="clear" w:color="auto" w:fill="auto"/>
            <w:vAlign w:val="center"/>
          </w:tcPr>
          <w:p w14:paraId="27FF6C69">
            <w:pPr>
              <w:widowControl/>
              <w:jc w:val="center"/>
              <w:rPr>
                <w:rFonts w:hint="eastAsia" w:ascii="宋体" w:hAnsi="宋体" w:cs="宋体"/>
                <w:color w:val="auto"/>
                <w:kern w:val="0"/>
                <w:sz w:val="22"/>
              </w:rPr>
            </w:pPr>
            <w:r>
              <w:rPr>
                <w:rFonts w:hint="eastAsia" w:ascii="宋体" w:hAnsi="宋体" w:cs="宋体"/>
                <w:color w:val="auto"/>
                <w:kern w:val="0"/>
                <w:sz w:val="22"/>
              </w:rPr>
              <w:t>3</w:t>
            </w:r>
          </w:p>
        </w:tc>
      </w:tr>
      <w:tr w14:paraId="4AF0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0" w:type="dxa"/>
            <w:vMerge w:val="restart"/>
            <w:shd w:val="clear" w:color="auto" w:fill="auto"/>
            <w:noWrap/>
            <w:vAlign w:val="center"/>
          </w:tcPr>
          <w:p w14:paraId="3F70B3F0">
            <w:pPr>
              <w:widowControl/>
              <w:jc w:val="center"/>
              <w:rPr>
                <w:rFonts w:hint="eastAsia" w:ascii="宋体" w:hAnsi="宋体" w:cs="宋体"/>
                <w:color w:val="auto"/>
                <w:kern w:val="0"/>
                <w:sz w:val="22"/>
              </w:rPr>
            </w:pPr>
            <w:r>
              <w:rPr>
                <w:rFonts w:hint="eastAsia" w:ascii="宋体" w:hAnsi="宋体" w:cs="宋体"/>
                <w:color w:val="auto"/>
                <w:kern w:val="0"/>
                <w:sz w:val="22"/>
              </w:rPr>
              <w:t>4</w:t>
            </w:r>
          </w:p>
        </w:tc>
        <w:tc>
          <w:tcPr>
            <w:tcW w:w="720" w:type="dxa"/>
            <w:vMerge w:val="restart"/>
            <w:shd w:val="clear" w:color="auto" w:fill="auto"/>
            <w:vAlign w:val="center"/>
          </w:tcPr>
          <w:p w14:paraId="61B3CCB6">
            <w:pPr>
              <w:widowControl/>
              <w:jc w:val="center"/>
              <w:rPr>
                <w:rFonts w:hint="eastAsia" w:ascii="宋体" w:hAnsi="宋体" w:cs="宋体"/>
                <w:color w:val="auto"/>
                <w:kern w:val="0"/>
                <w:sz w:val="22"/>
              </w:rPr>
            </w:pPr>
            <w:r>
              <w:rPr>
                <w:rFonts w:hint="eastAsia" w:ascii="宋体" w:hAnsi="宋体" w:cs="宋体"/>
                <w:color w:val="auto"/>
                <w:kern w:val="0"/>
                <w:sz w:val="22"/>
              </w:rPr>
              <w:t>水质自动监测微站</w:t>
            </w:r>
          </w:p>
        </w:tc>
        <w:tc>
          <w:tcPr>
            <w:tcW w:w="1000" w:type="dxa"/>
            <w:vMerge w:val="restart"/>
            <w:shd w:val="clear" w:color="auto" w:fill="auto"/>
            <w:vAlign w:val="center"/>
          </w:tcPr>
          <w:p w14:paraId="49C149BE">
            <w:pPr>
              <w:widowControl/>
              <w:jc w:val="center"/>
              <w:rPr>
                <w:rFonts w:hint="eastAsia" w:ascii="宋体" w:hAnsi="宋体" w:cs="宋体"/>
                <w:color w:val="auto"/>
                <w:kern w:val="0"/>
                <w:sz w:val="22"/>
              </w:rPr>
            </w:pPr>
            <w:r>
              <w:rPr>
                <w:rFonts w:hint="eastAsia" w:ascii="宋体" w:hAnsi="宋体" w:cs="宋体"/>
                <w:color w:val="auto"/>
                <w:kern w:val="0"/>
                <w:sz w:val="22"/>
              </w:rPr>
              <w:t>五参数水质自动分析仪</w:t>
            </w:r>
          </w:p>
        </w:tc>
        <w:tc>
          <w:tcPr>
            <w:tcW w:w="6326" w:type="dxa"/>
            <w:shd w:val="clear" w:color="auto" w:fill="auto"/>
            <w:vAlign w:val="center"/>
          </w:tcPr>
          <w:p w14:paraId="1736DFE2">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水温自动分析仪: 测定原理 热电阻或热电偶                        量程 0℃~50℃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水温误差 ±0.5℃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MTBF ≥720 h/次</w:t>
            </w:r>
          </w:p>
        </w:tc>
        <w:tc>
          <w:tcPr>
            <w:tcW w:w="565" w:type="dxa"/>
            <w:vMerge w:val="restart"/>
            <w:shd w:val="clear" w:color="auto" w:fill="auto"/>
            <w:vAlign w:val="center"/>
          </w:tcPr>
          <w:p w14:paraId="2F379D1F">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vMerge w:val="restart"/>
            <w:shd w:val="clear" w:color="auto" w:fill="auto"/>
            <w:vAlign w:val="center"/>
          </w:tcPr>
          <w:p w14:paraId="039374B3">
            <w:pPr>
              <w:widowControl/>
              <w:jc w:val="center"/>
              <w:rPr>
                <w:rFonts w:hint="eastAsia" w:ascii="宋体" w:hAnsi="宋体" w:cs="宋体"/>
                <w:color w:val="auto"/>
                <w:kern w:val="0"/>
                <w:sz w:val="22"/>
              </w:rPr>
            </w:pPr>
            <w:r>
              <w:rPr>
                <w:rFonts w:hint="eastAsia" w:ascii="宋体" w:hAnsi="宋体" w:cs="宋体"/>
                <w:color w:val="auto"/>
                <w:kern w:val="0"/>
                <w:sz w:val="22"/>
              </w:rPr>
              <w:t>10</w:t>
            </w:r>
          </w:p>
        </w:tc>
      </w:tr>
      <w:tr w14:paraId="79B6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480" w:type="dxa"/>
            <w:vMerge w:val="continue"/>
            <w:vAlign w:val="center"/>
          </w:tcPr>
          <w:p w14:paraId="0C4E799C">
            <w:pPr>
              <w:widowControl/>
              <w:jc w:val="left"/>
              <w:rPr>
                <w:rFonts w:hint="eastAsia" w:ascii="宋体" w:hAnsi="宋体" w:cs="宋体"/>
                <w:color w:val="auto"/>
                <w:kern w:val="0"/>
                <w:sz w:val="22"/>
              </w:rPr>
            </w:pPr>
          </w:p>
        </w:tc>
        <w:tc>
          <w:tcPr>
            <w:tcW w:w="720" w:type="dxa"/>
            <w:vMerge w:val="continue"/>
            <w:vAlign w:val="center"/>
          </w:tcPr>
          <w:p w14:paraId="399C0F98">
            <w:pPr>
              <w:widowControl/>
              <w:jc w:val="left"/>
              <w:rPr>
                <w:rFonts w:hint="eastAsia" w:ascii="宋体" w:hAnsi="宋体" w:cs="宋体"/>
                <w:color w:val="auto"/>
                <w:kern w:val="0"/>
                <w:sz w:val="22"/>
              </w:rPr>
            </w:pPr>
          </w:p>
        </w:tc>
        <w:tc>
          <w:tcPr>
            <w:tcW w:w="1000" w:type="dxa"/>
            <w:vMerge w:val="continue"/>
            <w:vAlign w:val="center"/>
          </w:tcPr>
          <w:p w14:paraId="330EFD5B">
            <w:pPr>
              <w:widowControl/>
              <w:jc w:val="left"/>
              <w:rPr>
                <w:rFonts w:hint="eastAsia" w:ascii="宋体" w:hAnsi="宋体" w:cs="宋体"/>
                <w:color w:val="auto"/>
                <w:kern w:val="0"/>
                <w:sz w:val="22"/>
              </w:rPr>
            </w:pPr>
          </w:p>
        </w:tc>
        <w:tc>
          <w:tcPr>
            <w:tcW w:w="6326" w:type="dxa"/>
            <w:shd w:val="clear" w:color="auto" w:fill="auto"/>
            <w:vAlign w:val="center"/>
          </w:tcPr>
          <w:p w14:paraId="611A5C4E">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pH 水质自动分析仪：测定原理 玻璃电极法                         测量范围 pH 0～14</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漂移 ±0.1pH</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精密度 ≤0.1pH</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☆示值误差 ±0.02</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☆示值重复性 ≤0.01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响应时间 ≤30 s</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电压影响 ±0.1pH</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温度补偿精度 ±0.1pH</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MTBF ≥720 h/次</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实际水样比对试验 ±0.1pH以内</w:t>
            </w:r>
          </w:p>
        </w:tc>
        <w:tc>
          <w:tcPr>
            <w:tcW w:w="565" w:type="dxa"/>
            <w:vMerge w:val="continue"/>
            <w:vAlign w:val="center"/>
          </w:tcPr>
          <w:p w14:paraId="4B540AC8">
            <w:pPr>
              <w:widowControl/>
              <w:jc w:val="left"/>
              <w:rPr>
                <w:rFonts w:hint="eastAsia" w:ascii="宋体" w:hAnsi="宋体" w:cs="宋体"/>
                <w:color w:val="auto"/>
                <w:kern w:val="0"/>
                <w:sz w:val="22"/>
              </w:rPr>
            </w:pPr>
          </w:p>
        </w:tc>
        <w:tc>
          <w:tcPr>
            <w:tcW w:w="825" w:type="dxa"/>
            <w:vMerge w:val="continue"/>
            <w:vAlign w:val="center"/>
          </w:tcPr>
          <w:p w14:paraId="722E6A74">
            <w:pPr>
              <w:widowControl/>
              <w:jc w:val="left"/>
              <w:rPr>
                <w:rFonts w:hint="eastAsia" w:ascii="宋体" w:hAnsi="宋体" w:cs="宋体"/>
                <w:color w:val="auto"/>
                <w:kern w:val="0"/>
                <w:sz w:val="22"/>
              </w:rPr>
            </w:pPr>
          </w:p>
        </w:tc>
      </w:tr>
      <w:tr w14:paraId="5F1B0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480" w:type="dxa"/>
            <w:vMerge w:val="continue"/>
            <w:vAlign w:val="center"/>
          </w:tcPr>
          <w:p w14:paraId="75355A3D">
            <w:pPr>
              <w:widowControl/>
              <w:jc w:val="left"/>
              <w:rPr>
                <w:rFonts w:hint="eastAsia" w:ascii="宋体" w:hAnsi="宋体" w:cs="宋体"/>
                <w:color w:val="auto"/>
                <w:kern w:val="0"/>
                <w:sz w:val="22"/>
              </w:rPr>
            </w:pPr>
          </w:p>
        </w:tc>
        <w:tc>
          <w:tcPr>
            <w:tcW w:w="720" w:type="dxa"/>
            <w:vMerge w:val="continue"/>
            <w:vAlign w:val="center"/>
          </w:tcPr>
          <w:p w14:paraId="1AD3BEFD">
            <w:pPr>
              <w:widowControl/>
              <w:jc w:val="left"/>
              <w:rPr>
                <w:rFonts w:hint="eastAsia" w:ascii="宋体" w:hAnsi="宋体" w:cs="宋体"/>
                <w:color w:val="auto"/>
                <w:kern w:val="0"/>
                <w:sz w:val="22"/>
              </w:rPr>
            </w:pPr>
          </w:p>
        </w:tc>
        <w:tc>
          <w:tcPr>
            <w:tcW w:w="1000" w:type="dxa"/>
            <w:vMerge w:val="continue"/>
            <w:vAlign w:val="center"/>
          </w:tcPr>
          <w:p w14:paraId="4852A7E2">
            <w:pPr>
              <w:widowControl/>
              <w:jc w:val="left"/>
              <w:rPr>
                <w:rFonts w:hint="eastAsia" w:ascii="宋体" w:hAnsi="宋体" w:cs="宋体"/>
                <w:color w:val="auto"/>
                <w:kern w:val="0"/>
                <w:sz w:val="22"/>
              </w:rPr>
            </w:pPr>
          </w:p>
        </w:tc>
        <w:tc>
          <w:tcPr>
            <w:tcW w:w="6326" w:type="dxa"/>
            <w:shd w:val="clear" w:color="auto" w:fill="auto"/>
            <w:vAlign w:val="center"/>
          </w:tcPr>
          <w:p w14:paraId="25FF56E1">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溶解氧水质自动分析仪：测定原理 荧光法                           测量范围 0~20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零点漂移 ±0.3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量程漂移 ±0.3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☆重复性 ≤0.01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☆示值误差 ±0.28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零值误差 ≤0.03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响应时间 ≤20.35 s</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电压影响 ±0.3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温度补偿精度 ±0.3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MTBF ≥720 h/次</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实际水样比对试验 ±0.3 mg/L</w:t>
            </w:r>
          </w:p>
        </w:tc>
        <w:tc>
          <w:tcPr>
            <w:tcW w:w="565" w:type="dxa"/>
            <w:vMerge w:val="continue"/>
            <w:vAlign w:val="center"/>
          </w:tcPr>
          <w:p w14:paraId="4FB4BE0B">
            <w:pPr>
              <w:widowControl/>
              <w:jc w:val="left"/>
              <w:rPr>
                <w:rFonts w:hint="eastAsia" w:ascii="宋体" w:hAnsi="宋体" w:cs="宋体"/>
                <w:color w:val="auto"/>
                <w:kern w:val="0"/>
                <w:sz w:val="22"/>
              </w:rPr>
            </w:pPr>
          </w:p>
        </w:tc>
        <w:tc>
          <w:tcPr>
            <w:tcW w:w="825" w:type="dxa"/>
            <w:vMerge w:val="continue"/>
            <w:vAlign w:val="center"/>
          </w:tcPr>
          <w:p w14:paraId="63EB90B3">
            <w:pPr>
              <w:widowControl/>
              <w:jc w:val="left"/>
              <w:rPr>
                <w:rFonts w:hint="eastAsia" w:ascii="宋体" w:hAnsi="宋体" w:cs="宋体"/>
                <w:color w:val="auto"/>
                <w:kern w:val="0"/>
                <w:sz w:val="22"/>
              </w:rPr>
            </w:pPr>
          </w:p>
        </w:tc>
      </w:tr>
      <w:tr w14:paraId="2A61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480" w:type="dxa"/>
            <w:vMerge w:val="continue"/>
            <w:vAlign w:val="center"/>
          </w:tcPr>
          <w:p w14:paraId="2A1B9A0C">
            <w:pPr>
              <w:widowControl/>
              <w:jc w:val="left"/>
              <w:rPr>
                <w:rFonts w:hint="eastAsia" w:ascii="宋体" w:hAnsi="宋体" w:cs="宋体"/>
                <w:color w:val="auto"/>
                <w:kern w:val="0"/>
                <w:sz w:val="22"/>
              </w:rPr>
            </w:pPr>
          </w:p>
        </w:tc>
        <w:tc>
          <w:tcPr>
            <w:tcW w:w="720" w:type="dxa"/>
            <w:vMerge w:val="continue"/>
            <w:vAlign w:val="center"/>
          </w:tcPr>
          <w:p w14:paraId="7FF1762D">
            <w:pPr>
              <w:widowControl/>
              <w:jc w:val="left"/>
              <w:rPr>
                <w:rFonts w:hint="eastAsia" w:ascii="宋体" w:hAnsi="宋体" w:cs="宋体"/>
                <w:color w:val="auto"/>
                <w:kern w:val="0"/>
                <w:sz w:val="22"/>
              </w:rPr>
            </w:pPr>
          </w:p>
        </w:tc>
        <w:tc>
          <w:tcPr>
            <w:tcW w:w="1000" w:type="dxa"/>
            <w:vMerge w:val="continue"/>
            <w:vAlign w:val="center"/>
          </w:tcPr>
          <w:p w14:paraId="6D4FA8E9">
            <w:pPr>
              <w:widowControl/>
              <w:jc w:val="left"/>
              <w:rPr>
                <w:rFonts w:hint="eastAsia" w:ascii="宋体" w:hAnsi="宋体" w:cs="宋体"/>
                <w:color w:val="auto"/>
                <w:kern w:val="0"/>
                <w:sz w:val="22"/>
              </w:rPr>
            </w:pPr>
          </w:p>
        </w:tc>
        <w:tc>
          <w:tcPr>
            <w:tcW w:w="6326" w:type="dxa"/>
            <w:shd w:val="clear" w:color="auto" w:fill="auto"/>
            <w:vAlign w:val="center"/>
          </w:tcPr>
          <w:p w14:paraId="240FE98F">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电导率水质自动分析仪：测定原理 四极式电极法                                测量范围 0~500 mS/m</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零点漂移 ±1%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量程漂移 ±1%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响应时间 ≤30 s</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☆重复性 ≤0.1%FS</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示值误差 ±1%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引用误差 ±0.5%FS</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电压影响 ±1%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温度补偿精度 ±1%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MTBF ≥720 h/次</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实际水样比对试验 ±1%</w:t>
            </w:r>
          </w:p>
        </w:tc>
        <w:tc>
          <w:tcPr>
            <w:tcW w:w="565" w:type="dxa"/>
            <w:vMerge w:val="continue"/>
            <w:vAlign w:val="center"/>
          </w:tcPr>
          <w:p w14:paraId="117FD09E">
            <w:pPr>
              <w:widowControl/>
              <w:jc w:val="left"/>
              <w:rPr>
                <w:rFonts w:hint="eastAsia" w:ascii="宋体" w:hAnsi="宋体" w:cs="宋体"/>
                <w:color w:val="auto"/>
                <w:kern w:val="0"/>
                <w:sz w:val="22"/>
              </w:rPr>
            </w:pPr>
          </w:p>
        </w:tc>
        <w:tc>
          <w:tcPr>
            <w:tcW w:w="825" w:type="dxa"/>
            <w:vMerge w:val="continue"/>
            <w:vAlign w:val="center"/>
          </w:tcPr>
          <w:p w14:paraId="6F7303AE">
            <w:pPr>
              <w:widowControl/>
              <w:jc w:val="left"/>
              <w:rPr>
                <w:rFonts w:hint="eastAsia" w:ascii="宋体" w:hAnsi="宋体" w:cs="宋体"/>
                <w:color w:val="auto"/>
                <w:kern w:val="0"/>
                <w:sz w:val="22"/>
              </w:rPr>
            </w:pPr>
          </w:p>
        </w:tc>
      </w:tr>
      <w:tr w14:paraId="3C9B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480" w:type="dxa"/>
            <w:vMerge w:val="continue"/>
            <w:vAlign w:val="center"/>
          </w:tcPr>
          <w:p w14:paraId="6912DF61">
            <w:pPr>
              <w:widowControl/>
              <w:jc w:val="left"/>
              <w:rPr>
                <w:rFonts w:hint="eastAsia" w:ascii="宋体" w:hAnsi="宋体" w:cs="宋体"/>
                <w:color w:val="auto"/>
                <w:kern w:val="0"/>
                <w:sz w:val="22"/>
              </w:rPr>
            </w:pPr>
          </w:p>
        </w:tc>
        <w:tc>
          <w:tcPr>
            <w:tcW w:w="720" w:type="dxa"/>
            <w:vMerge w:val="continue"/>
            <w:vAlign w:val="center"/>
          </w:tcPr>
          <w:p w14:paraId="141072BE">
            <w:pPr>
              <w:widowControl/>
              <w:jc w:val="left"/>
              <w:rPr>
                <w:rFonts w:hint="eastAsia" w:ascii="宋体" w:hAnsi="宋体" w:cs="宋体"/>
                <w:color w:val="auto"/>
                <w:kern w:val="0"/>
                <w:sz w:val="22"/>
              </w:rPr>
            </w:pPr>
          </w:p>
        </w:tc>
        <w:tc>
          <w:tcPr>
            <w:tcW w:w="1000" w:type="dxa"/>
            <w:vMerge w:val="continue"/>
            <w:vAlign w:val="center"/>
          </w:tcPr>
          <w:p w14:paraId="560EA915">
            <w:pPr>
              <w:widowControl/>
              <w:jc w:val="left"/>
              <w:rPr>
                <w:rFonts w:hint="eastAsia" w:ascii="宋体" w:hAnsi="宋体" w:cs="宋体"/>
                <w:color w:val="auto"/>
                <w:kern w:val="0"/>
                <w:sz w:val="22"/>
              </w:rPr>
            </w:pPr>
          </w:p>
        </w:tc>
        <w:tc>
          <w:tcPr>
            <w:tcW w:w="6326" w:type="dxa"/>
            <w:shd w:val="clear" w:color="auto" w:fill="auto"/>
            <w:vAlign w:val="center"/>
          </w:tcPr>
          <w:p w14:paraId="0B795E1A">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浊度水质自动分析仪： 测定原理 散射法/透射法                                 测量范围 0~1000 NTU</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零点漂移 ±0.01%FS</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量程漂移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线性误差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☆重复性 ≤0.1%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☆示值误差 ±1.3%</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示值稳定性 ±0.1%FS</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电压影响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温度补偿精度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MTBF ≥720 h/次</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实际水样比对试验 ±10%</w:t>
            </w:r>
          </w:p>
        </w:tc>
        <w:tc>
          <w:tcPr>
            <w:tcW w:w="565" w:type="dxa"/>
            <w:vMerge w:val="continue"/>
            <w:vAlign w:val="center"/>
          </w:tcPr>
          <w:p w14:paraId="4A1BCC42">
            <w:pPr>
              <w:widowControl/>
              <w:jc w:val="left"/>
              <w:rPr>
                <w:rFonts w:hint="eastAsia" w:ascii="宋体" w:hAnsi="宋体" w:cs="宋体"/>
                <w:color w:val="auto"/>
                <w:kern w:val="0"/>
                <w:sz w:val="22"/>
              </w:rPr>
            </w:pPr>
          </w:p>
        </w:tc>
        <w:tc>
          <w:tcPr>
            <w:tcW w:w="825" w:type="dxa"/>
            <w:vMerge w:val="continue"/>
            <w:vAlign w:val="center"/>
          </w:tcPr>
          <w:p w14:paraId="2777DE63">
            <w:pPr>
              <w:widowControl/>
              <w:jc w:val="left"/>
              <w:rPr>
                <w:rFonts w:hint="eastAsia" w:ascii="宋体" w:hAnsi="宋体" w:cs="宋体"/>
                <w:color w:val="auto"/>
                <w:kern w:val="0"/>
                <w:sz w:val="22"/>
              </w:rPr>
            </w:pPr>
          </w:p>
        </w:tc>
      </w:tr>
      <w:tr w14:paraId="36FE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8" w:hRule="atLeast"/>
        </w:trPr>
        <w:tc>
          <w:tcPr>
            <w:tcW w:w="480" w:type="dxa"/>
            <w:vMerge w:val="continue"/>
            <w:vAlign w:val="center"/>
          </w:tcPr>
          <w:p w14:paraId="2D741A4E">
            <w:pPr>
              <w:widowControl/>
              <w:jc w:val="left"/>
              <w:rPr>
                <w:rFonts w:hint="eastAsia" w:ascii="宋体" w:hAnsi="宋体" w:cs="宋体"/>
                <w:color w:val="auto"/>
                <w:kern w:val="0"/>
                <w:sz w:val="22"/>
              </w:rPr>
            </w:pPr>
          </w:p>
        </w:tc>
        <w:tc>
          <w:tcPr>
            <w:tcW w:w="720" w:type="dxa"/>
            <w:vMerge w:val="continue"/>
            <w:vAlign w:val="center"/>
          </w:tcPr>
          <w:p w14:paraId="5A21E10D">
            <w:pPr>
              <w:widowControl/>
              <w:jc w:val="left"/>
              <w:rPr>
                <w:rFonts w:hint="eastAsia" w:ascii="宋体" w:hAnsi="宋体" w:cs="宋体"/>
                <w:color w:val="auto"/>
                <w:kern w:val="0"/>
                <w:sz w:val="22"/>
              </w:rPr>
            </w:pPr>
          </w:p>
        </w:tc>
        <w:tc>
          <w:tcPr>
            <w:tcW w:w="1000" w:type="dxa"/>
            <w:vMerge w:val="restart"/>
            <w:shd w:val="clear" w:color="auto" w:fill="auto"/>
            <w:vAlign w:val="center"/>
          </w:tcPr>
          <w:p w14:paraId="60C38AD5">
            <w:pPr>
              <w:widowControl/>
              <w:jc w:val="center"/>
              <w:rPr>
                <w:rFonts w:hint="eastAsia" w:ascii="宋体" w:hAnsi="宋体" w:cs="宋体"/>
                <w:color w:val="auto"/>
                <w:kern w:val="0"/>
                <w:sz w:val="22"/>
              </w:rPr>
            </w:pPr>
            <w:r>
              <w:rPr>
                <w:rFonts w:hint="eastAsia" w:ascii="宋体" w:hAnsi="宋体" w:cs="宋体"/>
                <w:color w:val="auto"/>
                <w:kern w:val="0"/>
                <w:sz w:val="22"/>
              </w:rPr>
              <w:t>化学需氧量水质自动分析仪</w:t>
            </w:r>
          </w:p>
        </w:tc>
        <w:tc>
          <w:tcPr>
            <w:tcW w:w="6326" w:type="dxa"/>
            <w:shd w:val="clear" w:color="auto" w:fill="auto"/>
            <w:vAlign w:val="center"/>
          </w:tcPr>
          <w:p w14:paraId="48B208C9">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测定原理:重铬酸钾氧化分光光度法</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量程 15mg/L～100mg/L，可调</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示值误差                                               20%* ±10%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50%* ±8%</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80%*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定量下限 ≤15 mg/L（示值误差 ±30%）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检出限 ≤4mg/L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24h低浓度漂移 ±5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24h高浓度漂移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精密度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记忆效应                                               80%*→20%* ±5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20%*→80%* ±5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☆相对示值误差 ±1.2%</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☆示值稳定性 ±2.3%</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电压影响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环境温度影响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氯离子影响试验 ±10%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实际水样比对试验                                   CODCr＜50 mg/L   ≤5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CODCr≥50 mg/L   ≤10%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最小维护周期 ≥168h/次</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有效数据率 ≥90%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一致性 ≥90%</w:t>
            </w:r>
          </w:p>
        </w:tc>
        <w:tc>
          <w:tcPr>
            <w:tcW w:w="565" w:type="dxa"/>
            <w:vMerge w:val="restart"/>
            <w:shd w:val="clear" w:color="auto" w:fill="auto"/>
            <w:vAlign w:val="center"/>
          </w:tcPr>
          <w:p w14:paraId="7107E713">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vMerge w:val="restart"/>
            <w:shd w:val="clear" w:color="auto" w:fill="auto"/>
            <w:vAlign w:val="center"/>
          </w:tcPr>
          <w:p w14:paraId="5738BEDC">
            <w:pPr>
              <w:widowControl/>
              <w:jc w:val="center"/>
              <w:rPr>
                <w:rFonts w:hint="eastAsia" w:ascii="宋体" w:hAnsi="宋体" w:cs="宋体"/>
                <w:color w:val="auto"/>
                <w:kern w:val="0"/>
                <w:sz w:val="22"/>
              </w:rPr>
            </w:pPr>
            <w:r>
              <w:rPr>
                <w:rFonts w:hint="eastAsia" w:ascii="宋体" w:hAnsi="宋体" w:cs="宋体"/>
                <w:color w:val="auto"/>
                <w:kern w:val="0"/>
                <w:sz w:val="22"/>
              </w:rPr>
              <w:t>10</w:t>
            </w:r>
          </w:p>
        </w:tc>
      </w:tr>
      <w:tr w14:paraId="30872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80" w:type="dxa"/>
            <w:vMerge w:val="continue"/>
            <w:vAlign w:val="center"/>
          </w:tcPr>
          <w:p w14:paraId="6A156098">
            <w:pPr>
              <w:widowControl/>
              <w:jc w:val="left"/>
              <w:rPr>
                <w:rFonts w:hint="eastAsia" w:ascii="宋体" w:hAnsi="宋体" w:cs="宋体"/>
                <w:color w:val="auto"/>
                <w:kern w:val="0"/>
                <w:sz w:val="22"/>
              </w:rPr>
            </w:pPr>
          </w:p>
        </w:tc>
        <w:tc>
          <w:tcPr>
            <w:tcW w:w="720" w:type="dxa"/>
            <w:vMerge w:val="continue"/>
            <w:vAlign w:val="center"/>
          </w:tcPr>
          <w:p w14:paraId="5127A3D3">
            <w:pPr>
              <w:widowControl/>
              <w:jc w:val="left"/>
              <w:rPr>
                <w:rFonts w:hint="eastAsia" w:ascii="宋体" w:hAnsi="宋体" w:cs="宋体"/>
                <w:color w:val="auto"/>
                <w:kern w:val="0"/>
                <w:sz w:val="22"/>
              </w:rPr>
            </w:pPr>
          </w:p>
        </w:tc>
        <w:tc>
          <w:tcPr>
            <w:tcW w:w="1000" w:type="dxa"/>
            <w:shd w:val="clear" w:color="auto" w:fill="auto"/>
            <w:vAlign w:val="center"/>
          </w:tcPr>
          <w:p w14:paraId="78C4B21C">
            <w:pPr>
              <w:widowControl/>
              <w:jc w:val="center"/>
              <w:rPr>
                <w:rFonts w:hint="eastAsia" w:ascii="宋体" w:hAnsi="宋体" w:cs="宋体"/>
                <w:color w:val="auto"/>
                <w:kern w:val="0"/>
                <w:sz w:val="22"/>
              </w:rPr>
            </w:pPr>
            <w:r>
              <w:rPr>
                <w:rFonts w:hint="eastAsia" w:ascii="宋体" w:hAnsi="宋体" w:cs="宋体"/>
                <w:color w:val="auto"/>
                <w:kern w:val="0"/>
                <w:sz w:val="22"/>
              </w:rPr>
              <w:t>氨氮水质自动分析仪</w:t>
            </w:r>
          </w:p>
        </w:tc>
        <w:tc>
          <w:tcPr>
            <w:tcW w:w="6326" w:type="dxa"/>
            <w:shd w:val="clear" w:color="auto" w:fill="auto"/>
            <w:vAlign w:val="center"/>
          </w:tcPr>
          <w:p w14:paraId="2CF1E1EC">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测定原理:水杨酸分光光度法</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量程 0.1～5 mg/L，可调</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定量下限 ≤0.15 mg/L（示值误差 ±30%）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检出限 ≤0.04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 xml:space="preserve">24h低浓度漂移 ≤0.02 mg/L </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24h高浓度漂移 ≤1%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记忆效应                                             80%*→20%* ±0.3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20%*→80%* ±0.2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☆示值误差                                              氨氮≤2.0mg/L：±0.002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氨氮＞2.0mg/L：±0.5%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☆重复性                                                氨氮≤2.0mg/L：≤0.4%</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氨氮＞2.0mg/L：≤0.2%</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稳定性                                                氨氮≤2.0mg/L：±0.6%</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氨氮＞2.0mg/L：±0.2%</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电压影响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pH影响试验 ±6%</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环境温度影响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实际水样比对试验                                      氨氮＜2.00 mg/L    ≤0.2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氨氮≥2.00 mg/L    ≤10%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最小维护周期 ≥168h/次</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有效数据率 ≥90%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一致性 ≥90%</w:t>
            </w:r>
          </w:p>
        </w:tc>
        <w:tc>
          <w:tcPr>
            <w:tcW w:w="565" w:type="dxa"/>
            <w:shd w:val="clear" w:color="auto" w:fill="auto"/>
            <w:vAlign w:val="center"/>
          </w:tcPr>
          <w:p w14:paraId="5674D70D">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5B6AF007">
            <w:pPr>
              <w:widowControl/>
              <w:jc w:val="center"/>
              <w:rPr>
                <w:rFonts w:hint="eastAsia" w:ascii="宋体" w:hAnsi="宋体" w:cs="宋体"/>
                <w:color w:val="auto"/>
                <w:kern w:val="0"/>
                <w:sz w:val="22"/>
              </w:rPr>
            </w:pPr>
            <w:r>
              <w:rPr>
                <w:rFonts w:hint="eastAsia" w:ascii="宋体" w:hAnsi="宋体" w:cs="宋体"/>
                <w:color w:val="auto"/>
                <w:kern w:val="0"/>
                <w:sz w:val="22"/>
              </w:rPr>
              <w:t>10</w:t>
            </w:r>
          </w:p>
        </w:tc>
      </w:tr>
      <w:tr w14:paraId="3FFF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80" w:type="dxa"/>
            <w:vMerge w:val="continue"/>
            <w:vAlign w:val="center"/>
          </w:tcPr>
          <w:p w14:paraId="4B3E6A95">
            <w:pPr>
              <w:widowControl/>
              <w:jc w:val="left"/>
              <w:rPr>
                <w:rFonts w:hint="eastAsia" w:ascii="宋体" w:hAnsi="宋体" w:cs="宋体"/>
                <w:color w:val="auto"/>
                <w:kern w:val="0"/>
                <w:sz w:val="22"/>
              </w:rPr>
            </w:pPr>
          </w:p>
        </w:tc>
        <w:tc>
          <w:tcPr>
            <w:tcW w:w="720" w:type="dxa"/>
            <w:vMerge w:val="continue"/>
            <w:vAlign w:val="center"/>
          </w:tcPr>
          <w:p w14:paraId="348BA854">
            <w:pPr>
              <w:widowControl/>
              <w:jc w:val="left"/>
              <w:rPr>
                <w:rFonts w:hint="eastAsia" w:ascii="宋体" w:hAnsi="宋体" w:cs="宋体"/>
                <w:color w:val="auto"/>
                <w:kern w:val="0"/>
                <w:sz w:val="22"/>
              </w:rPr>
            </w:pPr>
          </w:p>
        </w:tc>
        <w:tc>
          <w:tcPr>
            <w:tcW w:w="1000" w:type="dxa"/>
            <w:shd w:val="clear" w:color="auto" w:fill="auto"/>
            <w:vAlign w:val="center"/>
          </w:tcPr>
          <w:p w14:paraId="6CC55BF4">
            <w:pPr>
              <w:widowControl/>
              <w:jc w:val="center"/>
              <w:rPr>
                <w:rFonts w:hint="eastAsia" w:ascii="宋体" w:hAnsi="宋体" w:cs="宋体"/>
                <w:color w:val="auto"/>
                <w:kern w:val="0"/>
                <w:sz w:val="22"/>
              </w:rPr>
            </w:pPr>
            <w:r>
              <w:rPr>
                <w:rFonts w:hint="eastAsia" w:ascii="宋体" w:hAnsi="宋体" w:cs="宋体"/>
                <w:color w:val="auto"/>
                <w:kern w:val="0"/>
                <w:sz w:val="22"/>
              </w:rPr>
              <w:t>总磷水质自动分析仪</w:t>
            </w:r>
          </w:p>
        </w:tc>
        <w:tc>
          <w:tcPr>
            <w:tcW w:w="6326" w:type="dxa"/>
            <w:shd w:val="clear" w:color="auto" w:fill="auto"/>
            <w:vAlign w:val="center"/>
          </w:tcPr>
          <w:p w14:paraId="6A659DBE">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测定原理:钼酸铵分光光度法</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量程 0.02～2 mg/L，可调</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定量下限   ≤0.020 mg/L（示值误差 ±30%）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检出限 ≤0.01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24h低浓度漂移 ≤0.01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24h高浓度漂移 ≤1%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记忆效应                                                 3.20 mg/L→0.800 mg/L ±0.04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0.800 mg/L→3.20 mg/L ±0.16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☆示值误差                                              总磷≤0.5 mg/L：±0.003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总磷＞0.5 mg/L：±1.1%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☆重复性 ≤0.7%</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稳定性 ≤2.0%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电压影响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环境温度影响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实际水样比对试验                                      总磷＜0.4 mg/L   ≤0.04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总磷≥0.4 mg/L   ≤10%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最小维护周期 ≥168h/次</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有效数据率 ≥90%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一致性 ≥90%</w:t>
            </w:r>
          </w:p>
        </w:tc>
        <w:tc>
          <w:tcPr>
            <w:tcW w:w="565" w:type="dxa"/>
            <w:shd w:val="clear" w:color="auto" w:fill="auto"/>
            <w:vAlign w:val="center"/>
          </w:tcPr>
          <w:p w14:paraId="576176D6">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5118D066">
            <w:pPr>
              <w:widowControl/>
              <w:jc w:val="center"/>
              <w:rPr>
                <w:rFonts w:hint="eastAsia" w:ascii="宋体" w:hAnsi="宋体" w:cs="宋体"/>
                <w:color w:val="auto"/>
                <w:kern w:val="0"/>
                <w:sz w:val="22"/>
              </w:rPr>
            </w:pPr>
            <w:r>
              <w:rPr>
                <w:rFonts w:hint="eastAsia" w:ascii="宋体" w:hAnsi="宋体" w:cs="宋体"/>
                <w:color w:val="auto"/>
                <w:kern w:val="0"/>
                <w:sz w:val="22"/>
              </w:rPr>
              <w:t>10</w:t>
            </w:r>
          </w:p>
        </w:tc>
      </w:tr>
      <w:tr w14:paraId="2189F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7" w:hRule="atLeast"/>
        </w:trPr>
        <w:tc>
          <w:tcPr>
            <w:tcW w:w="480" w:type="dxa"/>
            <w:vMerge w:val="continue"/>
            <w:vAlign w:val="center"/>
          </w:tcPr>
          <w:p w14:paraId="515077E9">
            <w:pPr>
              <w:widowControl/>
              <w:jc w:val="left"/>
              <w:rPr>
                <w:rFonts w:hint="eastAsia" w:ascii="宋体" w:hAnsi="宋体" w:cs="宋体"/>
                <w:color w:val="auto"/>
                <w:kern w:val="0"/>
                <w:sz w:val="22"/>
              </w:rPr>
            </w:pPr>
          </w:p>
        </w:tc>
        <w:tc>
          <w:tcPr>
            <w:tcW w:w="720" w:type="dxa"/>
            <w:vMerge w:val="continue"/>
            <w:vAlign w:val="center"/>
          </w:tcPr>
          <w:p w14:paraId="171515F7">
            <w:pPr>
              <w:widowControl/>
              <w:jc w:val="left"/>
              <w:rPr>
                <w:rFonts w:hint="eastAsia" w:ascii="宋体" w:hAnsi="宋体" w:cs="宋体"/>
                <w:color w:val="auto"/>
                <w:kern w:val="0"/>
                <w:sz w:val="22"/>
              </w:rPr>
            </w:pPr>
          </w:p>
        </w:tc>
        <w:tc>
          <w:tcPr>
            <w:tcW w:w="1000" w:type="dxa"/>
            <w:shd w:val="clear" w:color="auto" w:fill="auto"/>
            <w:vAlign w:val="center"/>
          </w:tcPr>
          <w:p w14:paraId="1EF862EC">
            <w:pPr>
              <w:widowControl/>
              <w:jc w:val="center"/>
              <w:rPr>
                <w:rFonts w:hint="eastAsia" w:ascii="宋体" w:hAnsi="宋体" w:cs="宋体"/>
                <w:color w:val="auto"/>
                <w:kern w:val="0"/>
                <w:sz w:val="22"/>
              </w:rPr>
            </w:pPr>
            <w:r>
              <w:rPr>
                <w:rFonts w:hint="eastAsia" w:ascii="宋体" w:hAnsi="宋体" w:cs="宋体"/>
                <w:color w:val="auto"/>
                <w:kern w:val="0"/>
                <w:sz w:val="22"/>
              </w:rPr>
              <w:t>总氮水质自动分析仪</w:t>
            </w:r>
          </w:p>
        </w:tc>
        <w:tc>
          <w:tcPr>
            <w:tcW w:w="6326" w:type="dxa"/>
            <w:shd w:val="clear" w:color="auto" w:fill="auto"/>
            <w:vAlign w:val="center"/>
          </w:tcPr>
          <w:p w14:paraId="39F7C86F">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分析方法:碱性过硫酸钾氧化紫外分光光度法</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量程 0.2～10 mg/L，可调</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定量下限 ≤0.300 mg/L（示值误差 ±30%）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检出限 ≤0.1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24h低浓度漂移 ≤0.0500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24h高浓度漂移 ≤1%</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记忆效应                                             16.0 mg/L→4.00 mg/L ±0.400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4.00 mg/L→16.0 mg/L ±0.800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☆示值误差                                              总氮≤2.0mg/L：±0.0142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总氮＞2.0mg/L：±0.3%</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☆重复性 ≤0.2%</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稳定性 ≤0.6%</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电压影响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环境温度影响 ±5%</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实际水样比对试验                                      总氮＜2.00 mg/L    ≤0.2 mg/L</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总氮≥ 2.00 mg/L    ≤10%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最小维护周期 ≥168h/次</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有效数据率 ≥90%</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一致性 ≥90%                                          PLC控制程序取得软件著作权证书，提供著作权证书并加盖公章。</w:t>
            </w:r>
          </w:p>
        </w:tc>
        <w:tc>
          <w:tcPr>
            <w:tcW w:w="565" w:type="dxa"/>
            <w:shd w:val="clear" w:color="auto" w:fill="auto"/>
            <w:vAlign w:val="center"/>
          </w:tcPr>
          <w:p w14:paraId="71D115D9">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7D4029A1">
            <w:pPr>
              <w:widowControl/>
              <w:jc w:val="center"/>
              <w:rPr>
                <w:rFonts w:hint="eastAsia" w:ascii="宋体" w:hAnsi="宋体" w:cs="宋体"/>
                <w:color w:val="auto"/>
                <w:kern w:val="0"/>
                <w:sz w:val="22"/>
              </w:rPr>
            </w:pPr>
            <w:r>
              <w:rPr>
                <w:rFonts w:hint="eastAsia" w:ascii="宋体" w:hAnsi="宋体" w:cs="宋体"/>
                <w:color w:val="auto"/>
                <w:kern w:val="0"/>
                <w:sz w:val="22"/>
              </w:rPr>
              <w:t>10</w:t>
            </w:r>
          </w:p>
        </w:tc>
      </w:tr>
      <w:tr w14:paraId="7B2AC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0" w:type="dxa"/>
            <w:vMerge w:val="continue"/>
            <w:vAlign w:val="center"/>
          </w:tcPr>
          <w:p w14:paraId="4434C9A3">
            <w:pPr>
              <w:widowControl/>
              <w:jc w:val="left"/>
              <w:rPr>
                <w:rFonts w:hint="eastAsia" w:ascii="宋体" w:hAnsi="宋体" w:cs="宋体"/>
                <w:color w:val="auto"/>
                <w:kern w:val="0"/>
                <w:sz w:val="22"/>
              </w:rPr>
            </w:pPr>
          </w:p>
        </w:tc>
        <w:tc>
          <w:tcPr>
            <w:tcW w:w="720" w:type="dxa"/>
            <w:vMerge w:val="continue"/>
            <w:vAlign w:val="center"/>
          </w:tcPr>
          <w:p w14:paraId="38285545">
            <w:pPr>
              <w:widowControl/>
              <w:jc w:val="left"/>
              <w:rPr>
                <w:rFonts w:hint="eastAsia" w:ascii="宋体" w:hAnsi="宋体" w:cs="宋体"/>
                <w:color w:val="auto"/>
                <w:kern w:val="0"/>
                <w:sz w:val="22"/>
              </w:rPr>
            </w:pPr>
          </w:p>
        </w:tc>
        <w:tc>
          <w:tcPr>
            <w:tcW w:w="1000" w:type="dxa"/>
            <w:shd w:val="clear" w:color="auto" w:fill="auto"/>
            <w:vAlign w:val="center"/>
          </w:tcPr>
          <w:p w14:paraId="7E5C16D9">
            <w:pPr>
              <w:widowControl/>
              <w:jc w:val="center"/>
              <w:rPr>
                <w:rFonts w:hint="eastAsia" w:ascii="宋体" w:hAnsi="宋体" w:cs="宋体"/>
                <w:color w:val="auto"/>
                <w:kern w:val="0"/>
                <w:sz w:val="22"/>
              </w:rPr>
            </w:pPr>
            <w:r>
              <w:rPr>
                <w:rFonts w:hint="eastAsia" w:ascii="宋体" w:hAnsi="宋体" w:cs="宋体"/>
                <w:color w:val="auto"/>
                <w:kern w:val="0"/>
                <w:sz w:val="22"/>
              </w:rPr>
              <w:t>水质监测站管理系统　</w:t>
            </w:r>
          </w:p>
        </w:tc>
        <w:tc>
          <w:tcPr>
            <w:tcW w:w="6326" w:type="dxa"/>
            <w:shd w:val="clear" w:color="auto" w:fill="auto"/>
            <w:vAlign w:val="center"/>
          </w:tcPr>
          <w:p w14:paraId="2DE57A6B">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1)具备参数设置功能，能够对小数位、单位、仪器测定上下限等参数进行设置；</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2)具备各仪器监测结果、状态参数、运行流程、报警信息等显示的功能；</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3)具有监测数据查询、导出功能，可分类查询水质周期数据、质控数据及其对应的仪器、系统日志流程信息；</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4)可提供水质监测站运行的站点软件及可视动画仿真监控界面。</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5）户外微型水质自动监测设备上位机控制程序具备边缘计算能力，并取得相关软件著作权证书，提供著作权证书并加盖公章。</w:t>
            </w:r>
          </w:p>
        </w:tc>
        <w:tc>
          <w:tcPr>
            <w:tcW w:w="565" w:type="dxa"/>
            <w:shd w:val="clear" w:color="auto" w:fill="auto"/>
            <w:vAlign w:val="center"/>
          </w:tcPr>
          <w:p w14:paraId="579630D0">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37DB8284">
            <w:pPr>
              <w:widowControl/>
              <w:jc w:val="center"/>
              <w:rPr>
                <w:rFonts w:hint="eastAsia" w:ascii="宋体" w:hAnsi="宋体" w:cs="宋体"/>
                <w:color w:val="auto"/>
                <w:kern w:val="0"/>
                <w:sz w:val="22"/>
              </w:rPr>
            </w:pPr>
            <w:r>
              <w:rPr>
                <w:rFonts w:hint="eastAsia" w:ascii="宋体" w:hAnsi="宋体" w:cs="宋体"/>
                <w:color w:val="auto"/>
                <w:kern w:val="0"/>
                <w:sz w:val="22"/>
              </w:rPr>
              <w:t>10</w:t>
            </w:r>
          </w:p>
        </w:tc>
      </w:tr>
      <w:tr w14:paraId="2B6E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0" w:type="dxa"/>
            <w:vMerge w:val="continue"/>
            <w:vAlign w:val="center"/>
          </w:tcPr>
          <w:p w14:paraId="33CC289D">
            <w:pPr>
              <w:widowControl/>
              <w:jc w:val="left"/>
              <w:rPr>
                <w:rFonts w:hint="eastAsia" w:ascii="宋体" w:hAnsi="宋体" w:cs="宋体"/>
                <w:color w:val="auto"/>
                <w:kern w:val="0"/>
                <w:sz w:val="22"/>
              </w:rPr>
            </w:pPr>
          </w:p>
        </w:tc>
        <w:tc>
          <w:tcPr>
            <w:tcW w:w="720" w:type="dxa"/>
            <w:vMerge w:val="continue"/>
            <w:vAlign w:val="center"/>
          </w:tcPr>
          <w:p w14:paraId="3A3ED219">
            <w:pPr>
              <w:widowControl/>
              <w:jc w:val="left"/>
              <w:rPr>
                <w:rFonts w:hint="eastAsia" w:ascii="宋体" w:hAnsi="宋体" w:cs="宋体"/>
                <w:color w:val="auto"/>
                <w:kern w:val="0"/>
                <w:sz w:val="22"/>
              </w:rPr>
            </w:pPr>
          </w:p>
        </w:tc>
        <w:tc>
          <w:tcPr>
            <w:tcW w:w="1000" w:type="dxa"/>
            <w:shd w:val="clear" w:color="auto" w:fill="auto"/>
            <w:vAlign w:val="center"/>
          </w:tcPr>
          <w:p w14:paraId="170ED25D">
            <w:pPr>
              <w:widowControl/>
              <w:jc w:val="center"/>
              <w:rPr>
                <w:rFonts w:hint="eastAsia" w:ascii="宋体" w:hAnsi="宋体" w:cs="宋体"/>
                <w:color w:val="auto"/>
                <w:kern w:val="0"/>
                <w:sz w:val="22"/>
              </w:rPr>
            </w:pPr>
            <w:r>
              <w:rPr>
                <w:rFonts w:hint="eastAsia" w:ascii="宋体" w:hAnsi="宋体" w:cs="宋体"/>
                <w:color w:val="auto"/>
                <w:kern w:val="0"/>
                <w:sz w:val="22"/>
              </w:rPr>
              <w:t>　</w:t>
            </w:r>
          </w:p>
        </w:tc>
        <w:tc>
          <w:tcPr>
            <w:tcW w:w="6326" w:type="dxa"/>
            <w:shd w:val="clear" w:color="auto" w:fill="auto"/>
            <w:vAlign w:val="center"/>
          </w:tcPr>
          <w:p w14:paraId="2EA905FD">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主控单元、通信单元、取水单元、反冲洗系统、温控系统、不锈钢柜体</w:t>
            </w:r>
          </w:p>
        </w:tc>
        <w:tc>
          <w:tcPr>
            <w:tcW w:w="565" w:type="dxa"/>
            <w:shd w:val="clear" w:color="auto" w:fill="auto"/>
            <w:vAlign w:val="center"/>
          </w:tcPr>
          <w:p w14:paraId="25578A56">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2A62CD66">
            <w:pPr>
              <w:widowControl/>
              <w:jc w:val="center"/>
              <w:rPr>
                <w:rFonts w:hint="eastAsia" w:ascii="宋体" w:hAnsi="宋体" w:cs="宋体"/>
                <w:color w:val="auto"/>
                <w:kern w:val="0"/>
                <w:sz w:val="22"/>
              </w:rPr>
            </w:pPr>
            <w:r>
              <w:rPr>
                <w:rFonts w:hint="eastAsia" w:ascii="宋体" w:hAnsi="宋体" w:cs="宋体"/>
                <w:color w:val="auto"/>
                <w:kern w:val="0"/>
                <w:sz w:val="22"/>
              </w:rPr>
              <w:t>10</w:t>
            </w:r>
          </w:p>
        </w:tc>
      </w:tr>
      <w:tr w14:paraId="261E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0" w:type="dxa"/>
            <w:vMerge w:val="continue"/>
            <w:vAlign w:val="center"/>
          </w:tcPr>
          <w:p w14:paraId="4CE9972A">
            <w:pPr>
              <w:widowControl/>
              <w:jc w:val="left"/>
              <w:rPr>
                <w:rFonts w:hint="eastAsia" w:ascii="宋体" w:hAnsi="宋体" w:cs="宋体"/>
                <w:color w:val="auto"/>
                <w:kern w:val="0"/>
                <w:sz w:val="22"/>
              </w:rPr>
            </w:pPr>
          </w:p>
        </w:tc>
        <w:tc>
          <w:tcPr>
            <w:tcW w:w="720" w:type="dxa"/>
            <w:vMerge w:val="continue"/>
            <w:vAlign w:val="center"/>
          </w:tcPr>
          <w:p w14:paraId="38590F29">
            <w:pPr>
              <w:widowControl/>
              <w:jc w:val="left"/>
              <w:rPr>
                <w:rFonts w:hint="eastAsia" w:ascii="宋体" w:hAnsi="宋体" w:cs="宋体"/>
                <w:color w:val="auto"/>
                <w:kern w:val="0"/>
                <w:sz w:val="22"/>
              </w:rPr>
            </w:pPr>
          </w:p>
        </w:tc>
        <w:tc>
          <w:tcPr>
            <w:tcW w:w="1000" w:type="dxa"/>
            <w:shd w:val="clear" w:color="auto" w:fill="auto"/>
            <w:vAlign w:val="center"/>
          </w:tcPr>
          <w:p w14:paraId="4BA756C2">
            <w:pPr>
              <w:widowControl/>
              <w:jc w:val="center"/>
              <w:rPr>
                <w:rFonts w:hint="eastAsia" w:ascii="宋体" w:hAnsi="宋体" w:cs="宋体"/>
                <w:color w:val="auto"/>
                <w:kern w:val="0"/>
                <w:sz w:val="22"/>
              </w:rPr>
            </w:pPr>
            <w:r>
              <w:rPr>
                <w:rFonts w:hint="eastAsia" w:ascii="宋体" w:hAnsi="宋体" w:cs="宋体"/>
                <w:color w:val="auto"/>
                <w:kern w:val="0"/>
                <w:sz w:val="22"/>
              </w:rPr>
              <w:t>接入系统</w:t>
            </w:r>
          </w:p>
        </w:tc>
        <w:tc>
          <w:tcPr>
            <w:tcW w:w="6326" w:type="dxa"/>
            <w:shd w:val="clear" w:color="auto" w:fill="auto"/>
            <w:vAlign w:val="center"/>
          </w:tcPr>
          <w:p w14:paraId="6DB83986">
            <w:pPr>
              <w:widowControl/>
              <w:jc w:val="left"/>
              <w:textAlignment w:val="center"/>
              <w:rPr>
                <w:rFonts w:hint="eastAsia" w:ascii="宋体" w:hAnsi="宋体" w:cs="宋体"/>
                <w:color w:val="auto"/>
                <w:kern w:val="0"/>
                <w:sz w:val="22"/>
              </w:rPr>
            </w:pPr>
            <w:r>
              <w:rPr>
                <w:rFonts w:hint="eastAsia" w:ascii="宋体" w:hAnsi="宋体" w:cs="宋体"/>
                <w:color w:val="auto"/>
                <w:kern w:val="0"/>
                <w:sz w:val="22"/>
                <w:szCs w:val="22"/>
                <w:lang w:bidi="ar"/>
              </w:rPr>
              <w:t>4G 全网通 无线路由；1*WAN/LAN有线网口；1个LAN有线网口；无线局域网：支持IEEE802.11b/g/n，2.4GHz AP 模式；覆盖距离：空旷地带100m。</w:t>
            </w:r>
          </w:p>
        </w:tc>
        <w:tc>
          <w:tcPr>
            <w:tcW w:w="565" w:type="dxa"/>
            <w:shd w:val="clear" w:color="auto" w:fill="auto"/>
            <w:vAlign w:val="center"/>
          </w:tcPr>
          <w:p w14:paraId="4F83BCD8">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0BF08B5B">
            <w:pPr>
              <w:widowControl/>
              <w:jc w:val="center"/>
              <w:rPr>
                <w:rFonts w:hint="eastAsia" w:ascii="宋体" w:hAnsi="宋体" w:cs="宋体"/>
                <w:color w:val="auto"/>
                <w:kern w:val="0"/>
                <w:sz w:val="22"/>
              </w:rPr>
            </w:pPr>
            <w:r>
              <w:rPr>
                <w:rFonts w:hint="eastAsia" w:ascii="宋体" w:hAnsi="宋体" w:cs="宋体"/>
                <w:color w:val="auto"/>
                <w:kern w:val="0"/>
                <w:sz w:val="22"/>
              </w:rPr>
              <w:t>10</w:t>
            </w:r>
          </w:p>
        </w:tc>
      </w:tr>
      <w:tr w14:paraId="65D0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0" w:type="dxa"/>
            <w:vMerge w:val="continue"/>
            <w:vAlign w:val="center"/>
          </w:tcPr>
          <w:p w14:paraId="0726A3A1">
            <w:pPr>
              <w:widowControl/>
              <w:jc w:val="left"/>
              <w:rPr>
                <w:rFonts w:hint="eastAsia" w:ascii="宋体" w:hAnsi="宋体" w:cs="宋体"/>
                <w:color w:val="auto"/>
                <w:kern w:val="0"/>
                <w:sz w:val="22"/>
              </w:rPr>
            </w:pPr>
          </w:p>
        </w:tc>
        <w:tc>
          <w:tcPr>
            <w:tcW w:w="720" w:type="dxa"/>
            <w:vMerge w:val="continue"/>
            <w:vAlign w:val="center"/>
          </w:tcPr>
          <w:p w14:paraId="705FFC33">
            <w:pPr>
              <w:widowControl/>
              <w:jc w:val="left"/>
              <w:rPr>
                <w:rFonts w:hint="eastAsia" w:ascii="宋体" w:hAnsi="宋体" w:cs="宋体"/>
                <w:color w:val="auto"/>
                <w:kern w:val="0"/>
                <w:sz w:val="22"/>
              </w:rPr>
            </w:pPr>
          </w:p>
        </w:tc>
        <w:tc>
          <w:tcPr>
            <w:tcW w:w="1000" w:type="dxa"/>
            <w:shd w:val="clear" w:color="auto" w:fill="auto"/>
            <w:vAlign w:val="center"/>
          </w:tcPr>
          <w:p w14:paraId="2D5B30E2">
            <w:pPr>
              <w:widowControl/>
              <w:jc w:val="center"/>
              <w:rPr>
                <w:rFonts w:hint="eastAsia" w:ascii="宋体" w:hAnsi="宋体" w:cs="宋体"/>
                <w:color w:val="auto"/>
                <w:kern w:val="0"/>
                <w:sz w:val="22"/>
              </w:rPr>
            </w:pPr>
            <w:r>
              <w:rPr>
                <w:rFonts w:hint="eastAsia" w:ascii="宋体" w:hAnsi="宋体" w:cs="宋体"/>
                <w:color w:val="auto"/>
                <w:kern w:val="0"/>
                <w:sz w:val="22"/>
              </w:rPr>
              <w:t>安装调试</w:t>
            </w:r>
          </w:p>
        </w:tc>
        <w:tc>
          <w:tcPr>
            <w:tcW w:w="6326" w:type="dxa"/>
            <w:shd w:val="clear" w:color="auto" w:fill="auto"/>
            <w:vAlign w:val="center"/>
          </w:tcPr>
          <w:p w14:paraId="1E6F076D">
            <w:pPr>
              <w:widowControl/>
              <w:jc w:val="center"/>
              <w:rPr>
                <w:rFonts w:hint="eastAsia" w:ascii="宋体" w:hAnsi="宋体" w:cs="宋体"/>
                <w:color w:val="auto"/>
                <w:kern w:val="0"/>
                <w:sz w:val="22"/>
              </w:rPr>
            </w:pPr>
            <w:r>
              <w:rPr>
                <w:rFonts w:hint="eastAsia" w:ascii="宋体" w:hAnsi="宋体" w:cs="宋体"/>
                <w:color w:val="auto"/>
                <w:kern w:val="0"/>
                <w:sz w:val="22"/>
              </w:rPr>
              <w:t>安装调试</w:t>
            </w:r>
          </w:p>
        </w:tc>
        <w:tc>
          <w:tcPr>
            <w:tcW w:w="565" w:type="dxa"/>
            <w:shd w:val="clear" w:color="auto" w:fill="auto"/>
            <w:vAlign w:val="center"/>
          </w:tcPr>
          <w:p w14:paraId="247C925A">
            <w:pPr>
              <w:widowControl/>
              <w:jc w:val="center"/>
              <w:rPr>
                <w:rFonts w:hint="eastAsia" w:ascii="宋体" w:hAnsi="宋体" w:cs="宋体"/>
                <w:color w:val="auto"/>
                <w:kern w:val="0"/>
                <w:sz w:val="22"/>
              </w:rPr>
            </w:pPr>
            <w:r>
              <w:rPr>
                <w:rFonts w:hint="eastAsia" w:ascii="宋体" w:hAnsi="宋体" w:cs="宋体"/>
                <w:color w:val="auto"/>
                <w:kern w:val="0"/>
                <w:sz w:val="22"/>
              </w:rPr>
              <w:t>项</w:t>
            </w:r>
          </w:p>
        </w:tc>
        <w:tc>
          <w:tcPr>
            <w:tcW w:w="825" w:type="dxa"/>
            <w:shd w:val="clear" w:color="auto" w:fill="auto"/>
            <w:vAlign w:val="center"/>
          </w:tcPr>
          <w:p w14:paraId="5A07518C">
            <w:pPr>
              <w:widowControl/>
              <w:jc w:val="center"/>
              <w:rPr>
                <w:rFonts w:hint="eastAsia" w:ascii="宋体" w:hAnsi="宋体" w:cs="宋体"/>
                <w:color w:val="auto"/>
                <w:kern w:val="0"/>
                <w:sz w:val="22"/>
              </w:rPr>
            </w:pPr>
            <w:r>
              <w:rPr>
                <w:rFonts w:hint="eastAsia" w:ascii="宋体" w:hAnsi="宋体" w:cs="宋体"/>
                <w:color w:val="auto"/>
                <w:kern w:val="0"/>
                <w:sz w:val="22"/>
              </w:rPr>
              <w:t>10</w:t>
            </w:r>
          </w:p>
        </w:tc>
      </w:tr>
      <w:tr w14:paraId="4509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9436" w:type="dxa"/>
          <w:trHeight w:val="270" w:hRule="atLeast"/>
        </w:trPr>
        <w:tc>
          <w:tcPr>
            <w:tcW w:w="480" w:type="dxa"/>
            <w:shd w:val="clear" w:color="auto" w:fill="auto"/>
            <w:noWrap/>
            <w:vAlign w:val="center"/>
          </w:tcPr>
          <w:p w14:paraId="0418C350">
            <w:pPr>
              <w:widowControl/>
              <w:jc w:val="center"/>
              <w:rPr>
                <w:rFonts w:hint="eastAsia" w:ascii="宋体" w:hAnsi="宋体" w:cs="宋体"/>
                <w:b/>
                <w:bCs/>
                <w:color w:val="auto"/>
                <w:kern w:val="0"/>
                <w:sz w:val="22"/>
              </w:rPr>
            </w:pPr>
            <w:r>
              <w:rPr>
                <w:rFonts w:hint="eastAsia" w:ascii="宋体" w:hAnsi="宋体" w:cs="宋体"/>
                <w:b/>
                <w:bCs/>
                <w:color w:val="auto"/>
                <w:kern w:val="0"/>
                <w:sz w:val="22"/>
              </w:rPr>
              <w:t>二</w:t>
            </w:r>
          </w:p>
        </w:tc>
      </w:tr>
      <w:tr w14:paraId="7D3B7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0" w:type="dxa"/>
            <w:shd w:val="clear" w:color="auto" w:fill="auto"/>
            <w:vAlign w:val="center"/>
          </w:tcPr>
          <w:p w14:paraId="1828FBC0">
            <w:pPr>
              <w:widowControl/>
              <w:jc w:val="center"/>
              <w:rPr>
                <w:rFonts w:hint="eastAsia" w:ascii="宋体" w:hAnsi="宋体" w:cs="宋体"/>
                <w:color w:val="auto"/>
                <w:kern w:val="0"/>
                <w:sz w:val="22"/>
              </w:rPr>
            </w:pPr>
            <w:r>
              <w:rPr>
                <w:rFonts w:hint="eastAsia" w:ascii="宋体" w:hAnsi="宋体" w:cs="宋体"/>
                <w:color w:val="auto"/>
                <w:kern w:val="0"/>
                <w:sz w:val="22"/>
              </w:rPr>
              <w:t>1</w:t>
            </w:r>
          </w:p>
        </w:tc>
        <w:tc>
          <w:tcPr>
            <w:tcW w:w="1720" w:type="dxa"/>
            <w:gridSpan w:val="2"/>
            <w:shd w:val="clear" w:color="auto" w:fill="auto"/>
            <w:vAlign w:val="center"/>
          </w:tcPr>
          <w:p w14:paraId="774EAA8C">
            <w:pPr>
              <w:widowControl/>
              <w:jc w:val="center"/>
              <w:rPr>
                <w:rFonts w:hint="eastAsia" w:ascii="宋体" w:hAnsi="宋体" w:cs="宋体"/>
                <w:color w:val="auto"/>
                <w:kern w:val="0"/>
                <w:sz w:val="22"/>
              </w:rPr>
            </w:pPr>
            <w:r>
              <w:rPr>
                <w:rFonts w:hint="eastAsia" w:ascii="宋体" w:hAnsi="宋体" w:cs="宋体"/>
                <w:color w:val="auto"/>
                <w:kern w:val="0"/>
                <w:sz w:val="22"/>
              </w:rPr>
              <w:t>现状管理平台扩容</w:t>
            </w:r>
          </w:p>
        </w:tc>
        <w:tc>
          <w:tcPr>
            <w:tcW w:w="6326" w:type="dxa"/>
            <w:shd w:val="clear" w:color="auto" w:fill="auto"/>
            <w:vAlign w:val="center"/>
          </w:tcPr>
          <w:p w14:paraId="1FF1A6BC">
            <w:pPr>
              <w:widowControl/>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对郸城县生态环境综合管控平台进行扩容，在现有综合管控平台的基础上，升级数据资源中心、全要素一张图、视频管理子系统，新建入河排污口综合管理系统，为排污口的日常监管提供信息化支撑。</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1.数据资源中心扩容</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 xml:space="preserve">充分利用排污口排查溯源成果数据，实现入河排污口基础信息管理，升级现有数据采集传输系统，接入排污口水质监测站点、流量监测设备、视频监控设备等，实现监测监控数据的采集、接入、存储、分析。                                            </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2.全要素一张图升级</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对接郸城县已有的相关地图数据，将入河排口位置及信息，水质、流量、视频监测点位及信息统一在地图上进行展示，建立入河排口与污染源的关联关系。</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3.新建入河排污口综合管理系统</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 xml:space="preserve">排污口信息汇总整理，厘清排水秩序和排污秩序，建立排污口与排入水体的对应关系，构建入河排污口综合管理系统，主要包括排污口信息查询分析、排污口信息数据统计分类、排污口水质在线监测、排污口关联分析、排污口视频监控管理等。              </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4.视频管理子系统升级</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接入郸城县入河排污口视频监控点位视频，集成入河排污口多站点的视频监控数据，实现郸城县入河排污口视频监控点位视频数据的实时监控。</w:t>
            </w:r>
          </w:p>
        </w:tc>
        <w:tc>
          <w:tcPr>
            <w:tcW w:w="565" w:type="dxa"/>
            <w:shd w:val="clear" w:color="auto" w:fill="auto"/>
            <w:vAlign w:val="center"/>
          </w:tcPr>
          <w:p w14:paraId="1496471A">
            <w:pPr>
              <w:widowControl/>
              <w:jc w:val="center"/>
              <w:rPr>
                <w:rFonts w:hint="eastAsia" w:ascii="宋体" w:hAnsi="宋体" w:cs="宋体"/>
                <w:color w:val="auto"/>
                <w:kern w:val="0"/>
                <w:sz w:val="22"/>
              </w:rPr>
            </w:pPr>
            <w:r>
              <w:rPr>
                <w:rFonts w:hint="eastAsia" w:ascii="宋体" w:hAnsi="宋体" w:cs="宋体"/>
                <w:color w:val="auto"/>
                <w:kern w:val="0"/>
                <w:sz w:val="22"/>
              </w:rPr>
              <w:t>项</w:t>
            </w:r>
          </w:p>
        </w:tc>
        <w:tc>
          <w:tcPr>
            <w:tcW w:w="825" w:type="dxa"/>
            <w:shd w:val="clear" w:color="auto" w:fill="auto"/>
            <w:vAlign w:val="center"/>
          </w:tcPr>
          <w:p w14:paraId="64326AE3">
            <w:pPr>
              <w:widowControl/>
              <w:jc w:val="center"/>
              <w:rPr>
                <w:rFonts w:hint="eastAsia" w:ascii="宋体" w:hAnsi="宋体" w:cs="宋体"/>
                <w:color w:val="auto"/>
                <w:kern w:val="0"/>
                <w:sz w:val="22"/>
              </w:rPr>
            </w:pPr>
            <w:r>
              <w:rPr>
                <w:rFonts w:hint="eastAsia" w:ascii="宋体" w:hAnsi="宋体" w:cs="宋体"/>
                <w:color w:val="auto"/>
                <w:kern w:val="0"/>
                <w:sz w:val="22"/>
              </w:rPr>
              <w:t>1</w:t>
            </w:r>
          </w:p>
        </w:tc>
      </w:tr>
      <w:tr w14:paraId="2F9F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91" w:type="dxa"/>
            <w:gridSpan w:val="5"/>
            <w:shd w:val="clear" w:color="auto" w:fill="auto"/>
            <w:vAlign w:val="center"/>
          </w:tcPr>
          <w:p w14:paraId="6DD2B500">
            <w:pPr>
              <w:widowControl/>
              <w:jc w:val="center"/>
              <w:rPr>
                <w:rFonts w:hint="eastAsia" w:ascii="宋体" w:hAnsi="宋体" w:cs="宋体"/>
                <w:color w:val="auto"/>
                <w:kern w:val="0"/>
                <w:sz w:val="22"/>
              </w:rPr>
            </w:pPr>
            <w:r>
              <w:rPr>
                <w:rFonts w:hint="eastAsia" w:ascii="宋体" w:hAnsi="宋体" w:cs="宋体"/>
                <w:color w:val="auto"/>
                <w:kern w:val="0"/>
                <w:sz w:val="22"/>
              </w:rPr>
              <w:t>视频存储硬件配置</w:t>
            </w:r>
          </w:p>
        </w:tc>
        <w:tc>
          <w:tcPr>
            <w:tcW w:w="825" w:type="dxa"/>
            <w:shd w:val="clear" w:color="auto" w:fill="auto"/>
            <w:noWrap/>
            <w:vAlign w:val="center"/>
          </w:tcPr>
          <w:p w14:paraId="4776B237">
            <w:pPr>
              <w:widowControl/>
              <w:jc w:val="center"/>
              <w:rPr>
                <w:rFonts w:hint="eastAsia" w:ascii="宋体" w:hAnsi="宋体" w:cs="宋体"/>
                <w:color w:val="auto"/>
                <w:kern w:val="0"/>
                <w:sz w:val="22"/>
              </w:rPr>
            </w:pPr>
            <w:r>
              <w:rPr>
                <w:rFonts w:hint="eastAsia" w:ascii="宋体" w:hAnsi="宋体" w:cs="宋体"/>
                <w:color w:val="auto"/>
                <w:kern w:val="0"/>
                <w:sz w:val="22"/>
              </w:rPr>
              <w:t>　</w:t>
            </w:r>
          </w:p>
        </w:tc>
      </w:tr>
      <w:tr w14:paraId="2122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0" w:type="dxa"/>
            <w:shd w:val="clear" w:color="auto" w:fill="auto"/>
            <w:vAlign w:val="center"/>
          </w:tcPr>
          <w:p w14:paraId="2181C871">
            <w:pPr>
              <w:widowControl/>
              <w:jc w:val="center"/>
              <w:rPr>
                <w:rFonts w:hint="eastAsia" w:ascii="宋体" w:hAnsi="宋体" w:cs="宋体"/>
                <w:color w:val="auto"/>
                <w:kern w:val="0"/>
                <w:sz w:val="22"/>
              </w:rPr>
            </w:pPr>
            <w:r>
              <w:rPr>
                <w:rFonts w:hint="eastAsia" w:ascii="宋体" w:hAnsi="宋体" w:cs="宋体"/>
                <w:color w:val="auto"/>
                <w:kern w:val="0"/>
                <w:sz w:val="22"/>
              </w:rPr>
              <w:t>1</w:t>
            </w:r>
          </w:p>
        </w:tc>
        <w:tc>
          <w:tcPr>
            <w:tcW w:w="1720" w:type="dxa"/>
            <w:gridSpan w:val="2"/>
            <w:shd w:val="clear" w:color="auto" w:fill="auto"/>
            <w:vAlign w:val="center"/>
          </w:tcPr>
          <w:p w14:paraId="0AF362F5">
            <w:pPr>
              <w:widowControl/>
              <w:jc w:val="center"/>
              <w:rPr>
                <w:rFonts w:hint="eastAsia" w:ascii="宋体" w:hAnsi="宋体" w:cs="宋体"/>
                <w:color w:val="auto"/>
                <w:kern w:val="0"/>
                <w:sz w:val="22"/>
              </w:rPr>
            </w:pPr>
            <w:r>
              <w:rPr>
                <w:rFonts w:hint="eastAsia" w:ascii="宋体" w:hAnsi="宋体" w:cs="宋体"/>
                <w:color w:val="auto"/>
                <w:kern w:val="0"/>
                <w:sz w:val="22"/>
              </w:rPr>
              <w:t>流媒体服务器</w:t>
            </w:r>
            <w:r>
              <w:rPr>
                <w:rFonts w:hint="eastAsia" w:ascii="宋体" w:hAnsi="宋体" w:cs="宋体"/>
                <w:color w:val="auto"/>
                <w:kern w:val="0"/>
                <w:sz w:val="22"/>
              </w:rPr>
              <w:br w:type="textWrapping"/>
            </w:r>
            <w:r>
              <w:rPr>
                <w:rFonts w:hint="eastAsia" w:ascii="宋体" w:hAnsi="宋体" w:cs="宋体"/>
                <w:color w:val="auto"/>
                <w:kern w:val="0"/>
                <w:sz w:val="22"/>
              </w:rPr>
              <w:t>(硬件服务器托管)</w:t>
            </w:r>
          </w:p>
        </w:tc>
        <w:tc>
          <w:tcPr>
            <w:tcW w:w="6326" w:type="dxa"/>
            <w:shd w:val="clear" w:color="auto" w:fill="auto"/>
            <w:vAlign w:val="center"/>
          </w:tcPr>
          <w:p w14:paraId="3628048E">
            <w:pPr>
              <w:widowControl/>
              <w:jc w:val="left"/>
              <w:rPr>
                <w:rFonts w:hint="eastAsia" w:ascii="宋体" w:hAnsi="宋体" w:cs="宋体"/>
                <w:color w:val="auto"/>
                <w:kern w:val="0"/>
                <w:sz w:val="22"/>
              </w:rPr>
            </w:pPr>
            <w:r>
              <w:rPr>
                <w:rFonts w:hint="eastAsia" w:ascii="宋体" w:hAnsi="宋体" w:cs="宋体"/>
                <w:color w:val="auto"/>
                <w:kern w:val="0"/>
                <w:sz w:val="22"/>
              </w:rPr>
              <w:t>E5-2620V3(6核2.4GHz)×1/16GBDDR4/1TBSATA×2/热插拔/SAS3008/DVD/1GbE×4</w:t>
            </w:r>
          </w:p>
        </w:tc>
        <w:tc>
          <w:tcPr>
            <w:tcW w:w="565" w:type="dxa"/>
            <w:shd w:val="clear" w:color="auto" w:fill="auto"/>
            <w:vAlign w:val="center"/>
          </w:tcPr>
          <w:p w14:paraId="3843943A">
            <w:pPr>
              <w:widowControl/>
              <w:jc w:val="center"/>
              <w:rPr>
                <w:rFonts w:hint="eastAsia" w:ascii="宋体" w:hAnsi="宋体" w:cs="宋体"/>
                <w:color w:val="auto"/>
                <w:kern w:val="0"/>
                <w:sz w:val="22"/>
              </w:rPr>
            </w:pPr>
            <w:r>
              <w:rPr>
                <w:rFonts w:hint="eastAsia" w:ascii="宋体" w:hAnsi="宋体" w:cs="宋体"/>
                <w:color w:val="auto"/>
                <w:kern w:val="0"/>
                <w:sz w:val="22"/>
              </w:rPr>
              <w:t>台</w:t>
            </w:r>
          </w:p>
        </w:tc>
        <w:tc>
          <w:tcPr>
            <w:tcW w:w="825" w:type="dxa"/>
            <w:shd w:val="clear" w:color="auto" w:fill="auto"/>
            <w:vAlign w:val="center"/>
          </w:tcPr>
          <w:p w14:paraId="139A4A57">
            <w:pPr>
              <w:widowControl/>
              <w:jc w:val="center"/>
              <w:rPr>
                <w:rFonts w:hint="eastAsia" w:ascii="宋体" w:hAnsi="宋体" w:cs="宋体"/>
                <w:color w:val="auto"/>
                <w:kern w:val="0"/>
                <w:sz w:val="22"/>
              </w:rPr>
            </w:pPr>
            <w:r>
              <w:rPr>
                <w:rFonts w:hint="eastAsia" w:ascii="宋体" w:hAnsi="宋体" w:cs="宋体"/>
                <w:color w:val="auto"/>
                <w:kern w:val="0"/>
                <w:sz w:val="22"/>
              </w:rPr>
              <w:t>1</w:t>
            </w:r>
          </w:p>
        </w:tc>
      </w:tr>
      <w:tr w14:paraId="5343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480" w:type="dxa"/>
            <w:shd w:val="clear" w:color="auto" w:fill="auto"/>
            <w:vAlign w:val="center"/>
          </w:tcPr>
          <w:p w14:paraId="4C4E4B7C">
            <w:pPr>
              <w:widowControl/>
              <w:jc w:val="center"/>
              <w:rPr>
                <w:rFonts w:hint="eastAsia" w:ascii="宋体" w:hAnsi="宋体" w:cs="宋体"/>
                <w:color w:val="auto"/>
                <w:kern w:val="0"/>
                <w:sz w:val="22"/>
              </w:rPr>
            </w:pPr>
            <w:r>
              <w:rPr>
                <w:rFonts w:hint="eastAsia" w:ascii="宋体" w:hAnsi="宋体" w:cs="宋体"/>
                <w:color w:val="auto"/>
                <w:kern w:val="0"/>
                <w:sz w:val="22"/>
              </w:rPr>
              <w:t>2</w:t>
            </w:r>
          </w:p>
        </w:tc>
        <w:tc>
          <w:tcPr>
            <w:tcW w:w="1720" w:type="dxa"/>
            <w:gridSpan w:val="2"/>
            <w:shd w:val="clear" w:color="auto" w:fill="auto"/>
            <w:vAlign w:val="center"/>
          </w:tcPr>
          <w:p w14:paraId="72B2B1C8">
            <w:pPr>
              <w:widowControl/>
              <w:jc w:val="center"/>
              <w:rPr>
                <w:rFonts w:hint="eastAsia" w:ascii="宋体" w:hAnsi="宋体" w:cs="宋体"/>
                <w:color w:val="auto"/>
                <w:kern w:val="0"/>
                <w:sz w:val="22"/>
              </w:rPr>
            </w:pPr>
            <w:r>
              <w:rPr>
                <w:rFonts w:hint="eastAsia" w:ascii="宋体" w:hAnsi="宋体" w:cs="宋体"/>
                <w:color w:val="auto"/>
                <w:kern w:val="0"/>
                <w:sz w:val="22"/>
              </w:rPr>
              <w:t>NVR(硬件存储设备托管)智能视频管理平台服务器</w:t>
            </w:r>
          </w:p>
        </w:tc>
        <w:tc>
          <w:tcPr>
            <w:tcW w:w="6326" w:type="dxa"/>
            <w:shd w:val="clear" w:color="auto" w:fill="auto"/>
            <w:vAlign w:val="center"/>
          </w:tcPr>
          <w:p w14:paraId="4C5B2869">
            <w:pPr>
              <w:widowControl/>
              <w:jc w:val="left"/>
              <w:rPr>
                <w:rFonts w:hint="eastAsia" w:ascii="宋体" w:hAnsi="宋体" w:cs="宋体"/>
                <w:color w:val="auto"/>
                <w:kern w:val="0"/>
                <w:sz w:val="22"/>
              </w:rPr>
            </w:pPr>
            <w:r>
              <w:rPr>
                <w:rFonts w:hint="eastAsia" w:ascii="宋体" w:hAnsi="宋体" w:cs="宋体"/>
                <w:color w:val="auto"/>
                <w:kern w:val="0"/>
                <w:sz w:val="22"/>
              </w:rPr>
              <w:t>针对SMB中小场景业务需求的综合安防管理一体机在兼容安防视频监控的固有功能基础上,可扩展门禁考勤管理、运维中心管理、基础业务管理等业务功能。视频信息集中存储30天</w:t>
            </w:r>
          </w:p>
        </w:tc>
        <w:tc>
          <w:tcPr>
            <w:tcW w:w="565" w:type="dxa"/>
            <w:shd w:val="clear" w:color="auto" w:fill="auto"/>
            <w:vAlign w:val="center"/>
          </w:tcPr>
          <w:p w14:paraId="602A2D91">
            <w:pPr>
              <w:widowControl/>
              <w:jc w:val="center"/>
              <w:rPr>
                <w:rFonts w:hint="eastAsia" w:ascii="宋体" w:hAnsi="宋体" w:cs="宋体"/>
                <w:color w:val="auto"/>
                <w:kern w:val="0"/>
                <w:sz w:val="22"/>
              </w:rPr>
            </w:pPr>
            <w:r>
              <w:rPr>
                <w:rFonts w:hint="eastAsia" w:ascii="宋体" w:hAnsi="宋体" w:cs="宋体"/>
                <w:color w:val="auto"/>
                <w:kern w:val="0"/>
                <w:sz w:val="22"/>
              </w:rPr>
              <w:t>项</w:t>
            </w:r>
          </w:p>
        </w:tc>
        <w:tc>
          <w:tcPr>
            <w:tcW w:w="825" w:type="dxa"/>
            <w:shd w:val="clear" w:color="auto" w:fill="auto"/>
            <w:vAlign w:val="center"/>
          </w:tcPr>
          <w:p w14:paraId="4D230352">
            <w:pPr>
              <w:widowControl/>
              <w:jc w:val="center"/>
              <w:rPr>
                <w:rFonts w:hint="eastAsia" w:ascii="宋体" w:hAnsi="宋体" w:cs="宋体"/>
                <w:color w:val="auto"/>
                <w:kern w:val="0"/>
                <w:sz w:val="22"/>
              </w:rPr>
            </w:pPr>
            <w:r>
              <w:rPr>
                <w:rFonts w:hint="eastAsia" w:ascii="宋体" w:hAnsi="宋体" w:cs="宋体"/>
                <w:color w:val="auto"/>
                <w:kern w:val="0"/>
                <w:sz w:val="22"/>
              </w:rPr>
              <w:t>1</w:t>
            </w:r>
          </w:p>
        </w:tc>
      </w:tr>
      <w:tr w14:paraId="2DEB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0" w:type="dxa"/>
            <w:shd w:val="clear" w:color="auto" w:fill="auto"/>
            <w:vAlign w:val="center"/>
          </w:tcPr>
          <w:p w14:paraId="5321DBB2">
            <w:pPr>
              <w:widowControl/>
              <w:jc w:val="center"/>
              <w:rPr>
                <w:rFonts w:hint="eastAsia" w:ascii="宋体" w:hAnsi="宋体" w:cs="宋体"/>
                <w:color w:val="auto"/>
                <w:kern w:val="0"/>
                <w:sz w:val="22"/>
              </w:rPr>
            </w:pPr>
            <w:r>
              <w:rPr>
                <w:rFonts w:hint="eastAsia" w:ascii="宋体" w:hAnsi="宋体" w:cs="宋体"/>
                <w:color w:val="auto"/>
                <w:kern w:val="0"/>
                <w:sz w:val="22"/>
              </w:rPr>
              <w:t>3</w:t>
            </w:r>
          </w:p>
        </w:tc>
        <w:tc>
          <w:tcPr>
            <w:tcW w:w="1720" w:type="dxa"/>
            <w:gridSpan w:val="2"/>
            <w:shd w:val="clear" w:color="auto" w:fill="auto"/>
            <w:vAlign w:val="center"/>
          </w:tcPr>
          <w:p w14:paraId="54F62A2F">
            <w:pPr>
              <w:widowControl/>
              <w:jc w:val="center"/>
              <w:rPr>
                <w:rFonts w:hint="eastAsia" w:ascii="宋体" w:hAnsi="宋体" w:cs="宋体"/>
                <w:color w:val="auto"/>
                <w:kern w:val="0"/>
                <w:sz w:val="22"/>
              </w:rPr>
            </w:pPr>
            <w:r>
              <w:rPr>
                <w:rFonts w:hint="eastAsia" w:ascii="宋体" w:hAnsi="宋体" w:cs="宋体"/>
                <w:color w:val="auto"/>
                <w:kern w:val="0"/>
                <w:sz w:val="22"/>
              </w:rPr>
              <w:t>视频综合平台系统软件</w:t>
            </w:r>
          </w:p>
        </w:tc>
        <w:tc>
          <w:tcPr>
            <w:tcW w:w="6326" w:type="dxa"/>
            <w:shd w:val="clear" w:color="auto" w:fill="auto"/>
            <w:vAlign w:val="center"/>
          </w:tcPr>
          <w:p w14:paraId="02BD23D8">
            <w:pPr>
              <w:widowControl/>
              <w:jc w:val="left"/>
              <w:rPr>
                <w:rFonts w:hint="eastAsia" w:ascii="宋体" w:hAnsi="宋体" w:cs="宋体"/>
                <w:color w:val="auto"/>
                <w:kern w:val="0"/>
                <w:sz w:val="22"/>
              </w:rPr>
            </w:pPr>
            <w:r>
              <w:rPr>
                <w:rFonts w:hint="eastAsia" w:ascii="宋体" w:hAnsi="宋体" w:cs="宋体"/>
                <w:color w:val="auto"/>
                <w:kern w:val="0"/>
                <w:sz w:val="22"/>
              </w:rPr>
              <w:t>支持窗口操作、预览上墙、回放上墙、视图、报警联动等功能</w:t>
            </w:r>
          </w:p>
        </w:tc>
        <w:tc>
          <w:tcPr>
            <w:tcW w:w="565" w:type="dxa"/>
            <w:shd w:val="clear" w:color="auto" w:fill="auto"/>
            <w:vAlign w:val="center"/>
          </w:tcPr>
          <w:p w14:paraId="2D14D5FC">
            <w:pPr>
              <w:widowControl/>
              <w:jc w:val="center"/>
              <w:rPr>
                <w:rFonts w:hint="eastAsia" w:ascii="宋体" w:hAnsi="宋体" w:cs="宋体"/>
                <w:color w:val="auto"/>
                <w:kern w:val="0"/>
                <w:sz w:val="22"/>
              </w:rPr>
            </w:pPr>
            <w:r>
              <w:rPr>
                <w:rFonts w:hint="eastAsia" w:ascii="宋体" w:hAnsi="宋体" w:cs="宋体"/>
                <w:color w:val="auto"/>
                <w:kern w:val="0"/>
                <w:sz w:val="22"/>
              </w:rPr>
              <w:t>项</w:t>
            </w:r>
          </w:p>
        </w:tc>
        <w:tc>
          <w:tcPr>
            <w:tcW w:w="825" w:type="dxa"/>
            <w:shd w:val="clear" w:color="auto" w:fill="auto"/>
            <w:vAlign w:val="center"/>
          </w:tcPr>
          <w:p w14:paraId="1361E717">
            <w:pPr>
              <w:widowControl/>
              <w:jc w:val="center"/>
              <w:rPr>
                <w:rFonts w:hint="eastAsia" w:ascii="宋体" w:hAnsi="宋体" w:cs="宋体"/>
                <w:color w:val="auto"/>
                <w:kern w:val="0"/>
                <w:sz w:val="22"/>
              </w:rPr>
            </w:pPr>
            <w:r>
              <w:rPr>
                <w:rFonts w:hint="eastAsia" w:ascii="宋体" w:hAnsi="宋体" w:cs="宋体"/>
                <w:color w:val="auto"/>
                <w:kern w:val="0"/>
                <w:sz w:val="22"/>
              </w:rPr>
              <w:t>1</w:t>
            </w:r>
          </w:p>
        </w:tc>
      </w:tr>
      <w:tr w14:paraId="24D1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80" w:type="dxa"/>
            <w:shd w:val="clear" w:color="auto" w:fill="auto"/>
            <w:vAlign w:val="center"/>
          </w:tcPr>
          <w:p w14:paraId="2D5933E8">
            <w:pPr>
              <w:widowControl/>
              <w:jc w:val="center"/>
              <w:rPr>
                <w:rFonts w:hint="eastAsia" w:ascii="宋体" w:hAnsi="宋体" w:cs="宋体"/>
                <w:color w:val="auto"/>
                <w:kern w:val="0"/>
                <w:sz w:val="22"/>
              </w:rPr>
            </w:pPr>
            <w:r>
              <w:rPr>
                <w:rFonts w:hint="eastAsia" w:ascii="宋体" w:hAnsi="宋体" w:cs="宋体"/>
                <w:color w:val="auto"/>
                <w:kern w:val="0"/>
                <w:sz w:val="22"/>
              </w:rPr>
              <w:t>4</w:t>
            </w:r>
          </w:p>
        </w:tc>
        <w:tc>
          <w:tcPr>
            <w:tcW w:w="1720" w:type="dxa"/>
            <w:gridSpan w:val="2"/>
            <w:shd w:val="clear" w:color="auto" w:fill="auto"/>
            <w:vAlign w:val="center"/>
          </w:tcPr>
          <w:p w14:paraId="522918E8">
            <w:pPr>
              <w:widowControl/>
              <w:jc w:val="center"/>
              <w:rPr>
                <w:rFonts w:hint="eastAsia" w:ascii="宋体" w:hAnsi="宋体" w:cs="宋体"/>
                <w:color w:val="auto"/>
                <w:kern w:val="0"/>
                <w:sz w:val="22"/>
              </w:rPr>
            </w:pPr>
            <w:r>
              <w:rPr>
                <w:rFonts w:hint="eastAsia" w:ascii="宋体" w:hAnsi="宋体" w:cs="宋体"/>
                <w:color w:val="auto"/>
                <w:kern w:val="0"/>
                <w:sz w:val="22"/>
              </w:rPr>
              <w:t xml:space="preserve">解码器 </w:t>
            </w:r>
          </w:p>
        </w:tc>
        <w:tc>
          <w:tcPr>
            <w:tcW w:w="6326" w:type="dxa"/>
            <w:shd w:val="clear" w:color="auto" w:fill="auto"/>
            <w:vAlign w:val="center"/>
          </w:tcPr>
          <w:p w14:paraId="0DAD5D04">
            <w:pPr>
              <w:widowControl/>
              <w:jc w:val="left"/>
              <w:rPr>
                <w:rFonts w:hint="eastAsia" w:ascii="宋体" w:hAnsi="宋体" w:cs="宋体"/>
                <w:color w:val="auto"/>
                <w:kern w:val="0"/>
                <w:sz w:val="22"/>
              </w:rPr>
            </w:pPr>
            <w:r>
              <w:rPr>
                <w:rFonts w:hint="eastAsia" w:ascii="宋体" w:hAnsi="宋体" w:cs="宋体"/>
                <w:color w:val="auto"/>
                <w:kern w:val="0"/>
                <w:sz w:val="22"/>
              </w:rPr>
              <w:t xml:space="preserve">支持9路或以上HDMI信号输出 输出接口最大支持1920×1080支持超高超宽自定义分辨率输出设置整机解码H265及其他相关等 </w:t>
            </w:r>
          </w:p>
        </w:tc>
        <w:tc>
          <w:tcPr>
            <w:tcW w:w="565" w:type="dxa"/>
            <w:shd w:val="clear" w:color="auto" w:fill="auto"/>
            <w:vAlign w:val="center"/>
          </w:tcPr>
          <w:p w14:paraId="4ED62909">
            <w:pPr>
              <w:widowControl/>
              <w:jc w:val="center"/>
              <w:rPr>
                <w:rFonts w:hint="eastAsia" w:ascii="宋体" w:hAnsi="宋体" w:cs="宋体"/>
                <w:color w:val="auto"/>
                <w:kern w:val="0"/>
                <w:sz w:val="22"/>
              </w:rPr>
            </w:pPr>
            <w:r>
              <w:rPr>
                <w:rFonts w:hint="eastAsia" w:ascii="宋体" w:hAnsi="宋体" w:cs="宋体"/>
                <w:color w:val="auto"/>
                <w:kern w:val="0"/>
                <w:sz w:val="22"/>
              </w:rPr>
              <w:t>项</w:t>
            </w:r>
          </w:p>
        </w:tc>
        <w:tc>
          <w:tcPr>
            <w:tcW w:w="825" w:type="dxa"/>
            <w:shd w:val="clear" w:color="auto" w:fill="auto"/>
            <w:vAlign w:val="center"/>
          </w:tcPr>
          <w:p w14:paraId="08F11C29">
            <w:pPr>
              <w:widowControl/>
              <w:jc w:val="center"/>
              <w:rPr>
                <w:rFonts w:hint="eastAsia" w:ascii="宋体" w:hAnsi="宋体" w:cs="宋体"/>
                <w:color w:val="auto"/>
                <w:kern w:val="0"/>
                <w:sz w:val="22"/>
              </w:rPr>
            </w:pPr>
            <w:r>
              <w:rPr>
                <w:rFonts w:hint="eastAsia" w:ascii="宋体" w:hAnsi="宋体" w:cs="宋体"/>
                <w:color w:val="auto"/>
                <w:kern w:val="0"/>
                <w:sz w:val="22"/>
              </w:rPr>
              <w:t>1</w:t>
            </w:r>
          </w:p>
        </w:tc>
      </w:tr>
      <w:tr w14:paraId="0549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91" w:type="dxa"/>
            <w:gridSpan w:val="5"/>
            <w:shd w:val="clear" w:color="auto" w:fill="auto"/>
            <w:vAlign w:val="center"/>
          </w:tcPr>
          <w:p w14:paraId="25AB7CF5">
            <w:pPr>
              <w:widowControl/>
              <w:jc w:val="center"/>
              <w:rPr>
                <w:rFonts w:hint="eastAsia" w:ascii="宋体" w:hAnsi="宋体" w:cs="宋体"/>
                <w:color w:val="auto"/>
                <w:kern w:val="0"/>
                <w:sz w:val="22"/>
              </w:rPr>
            </w:pPr>
            <w:r>
              <w:rPr>
                <w:rFonts w:hint="eastAsia" w:ascii="宋体" w:hAnsi="宋体" w:cs="宋体"/>
                <w:color w:val="auto"/>
                <w:kern w:val="0"/>
                <w:sz w:val="22"/>
              </w:rPr>
              <w:t>网络安全设备</w:t>
            </w:r>
          </w:p>
        </w:tc>
        <w:tc>
          <w:tcPr>
            <w:tcW w:w="825" w:type="dxa"/>
            <w:shd w:val="clear" w:color="auto" w:fill="auto"/>
            <w:noWrap/>
            <w:vAlign w:val="center"/>
          </w:tcPr>
          <w:p w14:paraId="3EE57F19">
            <w:pPr>
              <w:widowControl/>
              <w:jc w:val="center"/>
              <w:rPr>
                <w:rFonts w:hint="eastAsia" w:ascii="宋体" w:hAnsi="宋体" w:cs="宋体"/>
                <w:color w:val="auto"/>
                <w:kern w:val="0"/>
                <w:sz w:val="22"/>
              </w:rPr>
            </w:pPr>
            <w:r>
              <w:rPr>
                <w:rFonts w:hint="eastAsia" w:ascii="宋体" w:hAnsi="宋体" w:cs="宋体"/>
                <w:color w:val="auto"/>
                <w:kern w:val="0"/>
                <w:sz w:val="22"/>
              </w:rPr>
              <w:t>　</w:t>
            </w:r>
          </w:p>
        </w:tc>
      </w:tr>
      <w:tr w14:paraId="3067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0" w:type="dxa"/>
            <w:shd w:val="clear" w:color="auto" w:fill="auto"/>
            <w:vAlign w:val="center"/>
          </w:tcPr>
          <w:p w14:paraId="76DDF3DF">
            <w:pPr>
              <w:widowControl/>
              <w:jc w:val="center"/>
              <w:rPr>
                <w:rFonts w:hint="eastAsia" w:ascii="宋体" w:hAnsi="宋体" w:cs="宋体"/>
                <w:color w:val="auto"/>
                <w:kern w:val="0"/>
                <w:sz w:val="22"/>
              </w:rPr>
            </w:pPr>
            <w:r>
              <w:rPr>
                <w:rFonts w:hint="eastAsia" w:ascii="宋体" w:hAnsi="宋体" w:cs="宋体"/>
                <w:color w:val="auto"/>
                <w:kern w:val="0"/>
                <w:sz w:val="22"/>
              </w:rPr>
              <w:t>1</w:t>
            </w:r>
          </w:p>
        </w:tc>
        <w:tc>
          <w:tcPr>
            <w:tcW w:w="1720" w:type="dxa"/>
            <w:gridSpan w:val="2"/>
            <w:shd w:val="clear" w:color="auto" w:fill="auto"/>
            <w:vAlign w:val="center"/>
          </w:tcPr>
          <w:p w14:paraId="3BE1AB52">
            <w:pPr>
              <w:widowControl/>
              <w:jc w:val="center"/>
              <w:rPr>
                <w:rFonts w:hint="eastAsia" w:ascii="宋体" w:hAnsi="宋体" w:cs="宋体"/>
                <w:color w:val="auto"/>
                <w:kern w:val="0"/>
                <w:sz w:val="22"/>
              </w:rPr>
            </w:pPr>
            <w:r>
              <w:rPr>
                <w:rFonts w:hint="eastAsia" w:ascii="宋体" w:hAnsi="宋体" w:cs="宋体"/>
                <w:color w:val="auto"/>
                <w:kern w:val="0"/>
                <w:sz w:val="22"/>
              </w:rPr>
              <w:t>防毒墙</w:t>
            </w:r>
          </w:p>
        </w:tc>
        <w:tc>
          <w:tcPr>
            <w:tcW w:w="6326" w:type="dxa"/>
            <w:shd w:val="clear" w:color="auto" w:fill="auto"/>
            <w:vAlign w:val="center"/>
          </w:tcPr>
          <w:p w14:paraId="5B7645A0">
            <w:pPr>
              <w:widowControl/>
              <w:jc w:val="left"/>
              <w:rPr>
                <w:rFonts w:hint="eastAsia" w:ascii="宋体" w:hAnsi="宋体" w:cs="宋体"/>
                <w:color w:val="auto"/>
                <w:kern w:val="0"/>
                <w:sz w:val="22"/>
              </w:rPr>
            </w:pPr>
            <w:r>
              <w:rPr>
                <w:rFonts w:hint="eastAsia" w:ascii="宋体" w:hAnsi="宋体" w:cs="宋体"/>
                <w:color w:val="auto"/>
                <w:kern w:val="0"/>
                <w:sz w:val="22"/>
              </w:rPr>
              <w:t>1.整机配置不少于6个10/100/1000M自适应RJ45口，配置1个独立的千兆自适应RJ45管理接口，非业务接口复用；支持1个RJ45形态的Console接口，支持1组bypass，支持断电Bypass和软件“看门狗”，bypass切换时间≤3S；最大吞吐量≥3Gbps；最大并发连接数（TCP）≥30万；每秒新建TCP连接数≥20000；包含三年原厂维保。</w:t>
            </w:r>
          </w:p>
          <w:p w14:paraId="6359E6FC">
            <w:pPr>
              <w:widowControl/>
              <w:jc w:val="left"/>
              <w:rPr>
                <w:rFonts w:hint="eastAsia" w:ascii="宋体" w:hAnsi="宋体" w:cs="宋体"/>
                <w:color w:val="auto"/>
                <w:kern w:val="0"/>
                <w:sz w:val="22"/>
              </w:rPr>
            </w:pPr>
            <w:r>
              <w:rPr>
                <w:rFonts w:hint="eastAsia" w:ascii="宋体" w:hAnsi="宋体" w:cs="宋体"/>
                <w:color w:val="auto"/>
                <w:kern w:val="0"/>
                <w:sz w:val="22"/>
              </w:rPr>
              <w:t>2.支持透明、路由、交换、旁路或混合多种部署模式；支持用户自定义的安全策略，包括MAC地址、IP地址、端口的部分或全部组合；</w:t>
            </w:r>
          </w:p>
          <w:p w14:paraId="0AFF45EA">
            <w:pPr>
              <w:widowControl/>
              <w:jc w:val="left"/>
              <w:rPr>
                <w:rFonts w:hint="eastAsia" w:ascii="宋体" w:hAnsi="宋体" w:cs="宋体"/>
                <w:color w:val="auto"/>
                <w:kern w:val="0"/>
                <w:sz w:val="22"/>
              </w:rPr>
            </w:pPr>
            <w:r>
              <w:rPr>
                <w:rFonts w:hint="eastAsia" w:ascii="宋体" w:hAnsi="宋体" w:cs="宋体"/>
                <w:color w:val="auto"/>
                <w:kern w:val="0"/>
                <w:sz w:val="22"/>
              </w:rPr>
              <w:t>3.☆支持基于安全域的安全策略，可以将安全需求相同的接口进行分类，划分到不同的域，实现策略的分层管理；</w:t>
            </w:r>
          </w:p>
          <w:p w14:paraId="7E29D8DA">
            <w:pPr>
              <w:widowControl/>
              <w:jc w:val="left"/>
              <w:rPr>
                <w:rFonts w:hint="eastAsia" w:ascii="宋体" w:hAnsi="宋体" w:cs="宋体"/>
                <w:color w:val="auto"/>
                <w:kern w:val="0"/>
                <w:sz w:val="22"/>
              </w:rPr>
            </w:pPr>
            <w:r>
              <w:rPr>
                <w:rFonts w:hint="eastAsia" w:ascii="宋体" w:hAnsi="宋体" w:cs="宋体"/>
                <w:color w:val="auto"/>
                <w:kern w:val="0"/>
                <w:sz w:val="22"/>
              </w:rPr>
              <w:t>4.☆支持自动或管理员手工绑定IP/MAC地址，仅允许匹配绑定表的数据包通过；支持跨三层的IP/MAC绑定功能；支持检测IP地址盗用事件，拦截盗用IP地址的主机经过防毒墙的各种访问；</w:t>
            </w:r>
          </w:p>
          <w:p w14:paraId="267121E7">
            <w:pPr>
              <w:widowControl/>
              <w:jc w:val="left"/>
              <w:rPr>
                <w:rFonts w:hint="eastAsia" w:ascii="宋体" w:hAnsi="宋体" w:cs="宋体"/>
                <w:color w:val="auto"/>
                <w:kern w:val="0"/>
                <w:sz w:val="22"/>
              </w:rPr>
            </w:pPr>
            <w:r>
              <w:rPr>
                <w:rFonts w:hint="eastAsia" w:ascii="宋体" w:hAnsi="宋体" w:cs="宋体"/>
                <w:color w:val="auto"/>
                <w:kern w:val="0"/>
                <w:sz w:val="22"/>
              </w:rPr>
              <w:t>5.能够通过MAC地址、IP地址、端口、网络服务、时间和协议类型等参数或各参数组合，对流量进行正确的统计；支持实时或者以报表形式输出流量统计结果，支持按周期生成报表功能，用户下载报表支持excel格式；</w:t>
            </w:r>
          </w:p>
          <w:p w14:paraId="5D2E5463">
            <w:pPr>
              <w:widowControl/>
              <w:jc w:val="left"/>
              <w:rPr>
                <w:rFonts w:hint="eastAsia" w:ascii="宋体" w:hAnsi="宋体" w:cs="宋体"/>
                <w:color w:val="auto"/>
                <w:kern w:val="0"/>
                <w:sz w:val="22"/>
              </w:rPr>
            </w:pPr>
            <w:r>
              <w:rPr>
                <w:rFonts w:hint="eastAsia" w:ascii="宋体" w:hAnsi="宋体" w:cs="宋体"/>
                <w:color w:val="auto"/>
                <w:kern w:val="0"/>
                <w:sz w:val="22"/>
              </w:rPr>
              <w:t>6.支持通过标准SNMP协议对防毒墙的状态进行监测，如CPU、内存使用率，接口状态等；支持通过SNMP Trap方式主动上传接口日志等信息</w:t>
            </w:r>
          </w:p>
          <w:p w14:paraId="55684004">
            <w:pPr>
              <w:widowControl/>
              <w:jc w:val="left"/>
              <w:rPr>
                <w:rFonts w:hint="eastAsia" w:ascii="宋体" w:hAnsi="宋体" w:cs="宋体"/>
                <w:color w:val="auto"/>
                <w:kern w:val="0"/>
                <w:sz w:val="22"/>
              </w:rPr>
            </w:pPr>
            <w:r>
              <w:rPr>
                <w:rFonts w:hint="eastAsia" w:ascii="宋体" w:hAnsi="宋体" w:cs="宋体"/>
                <w:color w:val="auto"/>
                <w:kern w:val="0"/>
                <w:sz w:val="22"/>
              </w:rPr>
              <w:t>7.☆内置国内外知名杀毒引擎，支持以FTP、POP3、SMTP协议进行传输的病毒文件查杀，支持在线或离线方式更新特征库；</w:t>
            </w:r>
          </w:p>
          <w:p w14:paraId="1B6CC26E">
            <w:pPr>
              <w:widowControl/>
              <w:jc w:val="left"/>
              <w:rPr>
                <w:rFonts w:hint="eastAsia" w:ascii="宋体" w:hAnsi="宋体" w:cs="宋体"/>
                <w:color w:val="auto"/>
                <w:kern w:val="0"/>
                <w:sz w:val="22"/>
              </w:rPr>
            </w:pPr>
            <w:r>
              <w:rPr>
                <w:rFonts w:hint="eastAsia" w:ascii="宋体" w:hAnsi="宋体" w:cs="宋体"/>
                <w:color w:val="auto"/>
                <w:kern w:val="0"/>
                <w:sz w:val="22"/>
              </w:rPr>
              <w:t>8.☆产品具有国家计算机病毒应急处理中心计算机病毒防治产品检验实验室的检测报告，提供完整报告并加盖厂商公章；</w:t>
            </w:r>
          </w:p>
        </w:tc>
        <w:tc>
          <w:tcPr>
            <w:tcW w:w="565" w:type="dxa"/>
            <w:shd w:val="clear" w:color="auto" w:fill="auto"/>
            <w:vAlign w:val="center"/>
          </w:tcPr>
          <w:p w14:paraId="366BBBCC">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5E103FAC">
            <w:pPr>
              <w:widowControl/>
              <w:jc w:val="center"/>
              <w:rPr>
                <w:rFonts w:hint="eastAsia" w:ascii="宋体" w:hAnsi="宋体" w:cs="宋体"/>
                <w:color w:val="auto"/>
                <w:kern w:val="0"/>
                <w:sz w:val="22"/>
              </w:rPr>
            </w:pPr>
            <w:r>
              <w:rPr>
                <w:rFonts w:hint="eastAsia" w:ascii="宋体" w:hAnsi="宋体" w:cs="宋体"/>
                <w:color w:val="auto"/>
                <w:kern w:val="0"/>
                <w:sz w:val="22"/>
              </w:rPr>
              <w:t>1</w:t>
            </w:r>
          </w:p>
        </w:tc>
      </w:tr>
      <w:tr w14:paraId="6171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0" w:type="dxa"/>
            <w:shd w:val="clear" w:color="auto" w:fill="auto"/>
            <w:vAlign w:val="center"/>
          </w:tcPr>
          <w:p w14:paraId="11FFCC78">
            <w:pPr>
              <w:widowControl/>
              <w:jc w:val="center"/>
              <w:rPr>
                <w:rFonts w:hint="eastAsia" w:ascii="宋体" w:hAnsi="宋体" w:cs="宋体"/>
                <w:color w:val="auto"/>
                <w:kern w:val="0"/>
                <w:sz w:val="22"/>
              </w:rPr>
            </w:pPr>
            <w:r>
              <w:rPr>
                <w:rFonts w:hint="eastAsia" w:ascii="宋体" w:hAnsi="宋体" w:cs="宋体"/>
                <w:color w:val="auto"/>
                <w:kern w:val="0"/>
                <w:sz w:val="22"/>
              </w:rPr>
              <w:t>2</w:t>
            </w:r>
          </w:p>
        </w:tc>
        <w:tc>
          <w:tcPr>
            <w:tcW w:w="1720" w:type="dxa"/>
            <w:gridSpan w:val="2"/>
            <w:shd w:val="clear" w:color="auto" w:fill="auto"/>
            <w:vAlign w:val="center"/>
          </w:tcPr>
          <w:p w14:paraId="1D53D08B">
            <w:pPr>
              <w:widowControl/>
              <w:jc w:val="center"/>
              <w:rPr>
                <w:rFonts w:hint="eastAsia" w:ascii="宋体" w:hAnsi="宋体" w:cs="宋体"/>
                <w:color w:val="auto"/>
                <w:kern w:val="0"/>
                <w:sz w:val="22"/>
              </w:rPr>
            </w:pPr>
            <w:r>
              <w:rPr>
                <w:rFonts w:hint="eastAsia" w:ascii="宋体" w:hAnsi="宋体" w:cs="宋体"/>
                <w:color w:val="auto"/>
                <w:kern w:val="0"/>
                <w:sz w:val="22"/>
              </w:rPr>
              <w:t>入侵防御系统</w:t>
            </w:r>
          </w:p>
        </w:tc>
        <w:tc>
          <w:tcPr>
            <w:tcW w:w="6326" w:type="dxa"/>
            <w:shd w:val="clear" w:color="auto" w:fill="auto"/>
            <w:vAlign w:val="center"/>
          </w:tcPr>
          <w:p w14:paraId="337419C5">
            <w:pPr>
              <w:numPr>
                <w:ilvl w:val="0"/>
                <w:numId w:val="2"/>
              </w:numPr>
              <w:autoSpaceDE w:val="0"/>
              <w:rPr>
                <w:rFonts w:hint="eastAsia" w:ascii="宋体" w:hAnsi="宋体" w:cs="宋体"/>
                <w:color w:val="auto"/>
                <w:kern w:val="0"/>
                <w:sz w:val="22"/>
              </w:rPr>
            </w:pPr>
            <w:r>
              <w:rPr>
                <w:rFonts w:hint="eastAsia" w:ascii="宋体" w:hAnsi="宋体" w:cs="宋体"/>
                <w:color w:val="auto"/>
                <w:kern w:val="0"/>
                <w:sz w:val="22"/>
              </w:rPr>
              <w:t>性能要求：吞吐量≥3Gbps；最大并发连接：≥200万；每秒新建连接：≥3万，≥10个千兆电接口、≥2个千兆Combo接口；包含三年原厂维保。</w:t>
            </w:r>
          </w:p>
          <w:p w14:paraId="080D7A07">
            <w:pPr>
              <w:numPr>
                <w:ilvl w:val="0"/>
                <w:numId w:val="2"/>
              </w:numPr>
              <w:autoSpaceDE w:val="0"/>
              <w:rPr>
                <w:rFonts w:hint="eastAsia" w:ascii="宋体" w:hAnsi="宋体" w:cs="宋体"/>
                <w:color w:val="auto"/>
                <w:kern w:val="0"/>
                <w:sz w:val="22"/>
              </w:rPr>
            </w:pPr>
            <w:r>
              <w:rPr>
                <w:rFonts w:hint="eastAsia" w:ascii="宋体" w:hAnsi="宋体" w:cs="宋体"/>
                <w:color w:val="auto"/>
                <w:kern w:val="0"/>
                <w:sz w:val="22"/>
              </w:rPr>
              <w:t>支持不少于13种工业协议的深度解析，支持100+种的工业协议识别，支持基于流量的白名单自学习，可以通过自动学习生成协议白名单列表；支持学习后的白名单智能合并功能，降低白名单维护工作量；</w:t>
            </w:r>
          </w:p>
          <w:p w14:paraId="080F21C2">
            <w:pPr>
              <w:numPr>
                <w:ilvl w:val="0"/>
                <w:numId w:val="2"/>
              </w:numPr>
              <w:autoSpaceDE w:val="0"/>
              <w:rPr>
                <w:rFonts w:hint="eastAsia" w:ascii="宋体" w:hAnsi="宋体" w:cs="宋体"/>
                <w:color w:val="auto"/>
                <w:kern w:val="0"/>
                <w:sz w:val="22"/>
              </w:rPr>
            </w:pPr>
            <w:r>
              <w:rPr>
                <w:rFonts w:hint="eastAsia" w:ascii="宋体" w:hAnsi="宋体" w:cs="宋体"/>
                <w:color w:val="auto"/>
                <w:kern w:val="0"/>
                <w:sz w:val="22"/>
              </w:rPr>
              <w:t>支持基于安全域的安全策略，可以将安全需求相同的接口进行分类，划分到不同的域，实现策略的分层管理；</w:t>
            </w:r>
          </w:p>
          <w:p w14:paraId="478EC054">
            <w:pPr>
              <w:numPr>
                <w:ilvl w:val="0"/>
                <w:numId w:val="2"/>
              </w:numPr>
              <w:autoSpaceDE w:val="0"/>
              <w:rPr>
                <w:rFonts w:hint="eastAsia" w:ascii="宋体" w:hAnsi="宋体" w:cs="宋体"/>
                <w:color w:val="auto"/>
                <w:kern w:val="0"/>
                <w:sz w:val="22"/>
              </w:rPr>
            </w:pPr>
            <w:r>
              <w:rPr>
                <w:rFonts w:hint="eastAsia" w:ascii="宋体" w:hAnsi="宋体" w:cs="宋体"/>
                <w:color w:val="auto"/>
                <w:kern w:val="0"/>
                <w:sz w:val="22"/>
              </w:rPr>
              <w:t>支持不少于5000条特征库，且支持工业安全事件特征库，如PLC程序上载下载、PLC变量写入、CPU状态设置等；</w:t>
            </w:r>
          </w:p>
          <w:p w14:paraId="4A7540D7">
            <w:pPr>
              <w:numPr>
                <w:ilvl w:val="0"/>
                <w:numId w:val="2"/>
              </w:numPr>
              <w:autoSpaceDE w:val="0"/>
              <w:rPr>
                <w:rFonts w:hint="eastAsia" w:ascii="宋体" w:hAnsi="宋体" w:cs="宋体"/>
                <w:color w:val="auto"/>
                <w:kern w:val="0"/>
                <w:sz w:val="22"/>
              </w:rPr>
            </w:pPr>
            <w:r>
              <w:rPr>
                <w:rFonts w:hint="eastAsia" w:ascii="宋体" w:hAnsi="宋体" w:cs="宋体"/>
                <w:color w:val="auto"/>
                <w:kern w:val="0"/>
                <w:sz w:val="22"/>
              </w:rPr>
              <w:t>支持端口聚合功能，增加链路带宽和链路冗余，增强链路传输可靠性；</w:t>
            </w:r>
          </w:p>
          <w:p w14:paraId="0F454848">
            <w:pPr>
              <w:numPr>
                <w:ilvl w:val="0"/>
                <w:numId w:val="2"/>
              </w:numPr>
              <w:autoSpaceDE w:val="0"/>
              <w:rPr>
                <w:rFonts w:hint="eastAsia" w:ascii="宋体" w:hAnsi="宋体" w:cs="宋体"/>
                <w:color w:val="auto"/>
                <w:kern w:val="0"/>
                <w:sz w:val="22"/>
              </w:rPr>
            </w:pPr>
            <w:r>
              <w:rPr>
                <w:rFonts w:hint="eastAsia" w:ascii="宋体" w:hAnsi="宋体" w:cs="宋体"/>
                <w:color w:val="auto"/>
                <w:kern w:val="0"/>
                <w:sz w:val="22"/>
              </w:rPr>
              <w:t>☆支持2个镜像流量转出接口，在不影响工业防火墙对原始报文正常处理的情况下，将采集到的流量复制一份，通过镜像转出接口发送给监控设备；要求支持一对一、多对一、多对多灵活的镜像配置；</w:t>
            </w:r>
          </w:p>
          <w:p w14:paraId="6FF2B344">
            <w:pPr>
              <w:numPr>
                <w:ilvl w:val="0"/>
                <w:numId w:val="2"/>
              </w:numPr>
              <w:autoSpaceDE w:val="0"/>
              <w:rPr>
                <w:rFonts w:hint="eastAsia" w:ascii="宋体" w:hAnsi="宋体" w:cs="宋体"/>
                <w:color w:val="auto"/>
                <w:kern w:val="0"/>
                <w:sz w:val="22"/>
              </w:rPr>
            </w:pPr>
            <w:r>
              <w:rPr>
                <w:rFonts w:hint="eastAsia" w:ascii="宋体" w:hAnsi="宋体" w:cs="宋体"/>
                <w:color w:val="auto"/>
                <w:kern w:val="0"/>
                <w:sz w:val="22"/>
              </w:rPr>
              <w:t>支持以FTP、POP3、SMTP协议进行传输的病毒文件检测，支持用户自定义的安全策略，包括MAC地址、IP地址、端口的部分或全部组合，支持ZIP、GZ、BZ等压缩打包文件的病毒查杀，压缩：默认5层，最大20层。；（提供功能截图并加盖厂商公章）</w:t>
            </w:r>
          </w:p>
          <w:p w14:paraId="4CD431FC">
            <w:pPr>
              <w:numPr>
                <w:ilvl w:val="0"/>
                <w:numId w:val="2"/>
              </w:numPr>
              <w:autoSpaceDE w:val="0"/>
              <w:rPr>
                <w:rFonts w:hint="eastAsia" w:ascii="宋体" w:hAnsi="宋体" w:cs="宋体"/>
                <w:color w:val="auto"/>
                <w:kern w:val="0"/>
                <w:sz w:val="22"/>
              </w:rPr>
            </w:pPr>
            <w:r>
              <w:rPr>
                <w:rFonts w:hint="eastAsia" w:ascii="宋体" w:hAnsi="宋体" w:cs="宋体"/>
                <w:color w:val="auto"/>
                <w:kern w:val="0"/>
                <w:sz w:val="22"/>
              </w:rPr>
              <w:t>☆支持常用协议HTTP、DNS、SMTP、POP3、FTP等异常检查和防逃避检测，HTTP协议至少支持URL长度、请求头长度、目录长度、host字段、version字段检测；DNS协议支持域名长度、域名字符检测；SMTP、POP3支持文本行、附件文件名长度检测；FTP支持命令行长度和命令参数长度检测，支持IPS高阶告警功能，可以配置多种告警条件，达到告警规则可通过邮件或者syslog告警，不同告警规则可以发送给不同的用户。（提供功能截图并加盖厂商公章）；</w:t>
            </w:r>
          </w:p>
          <w:p w14:paraId="038E7B2D">
            <w:pPr>
              <w:numPr>
                <w:ilvl w:val="0"/>
                <w:numId w:val="2"/>
              </w:numPr>
              <w:autoSpaceDE w:val="0"/>
              <w:rPr>
                <w:rFonts w:hint="eastAsia" w:ascii="宋体" w:hAnsi="宋体" w:cs="宋体"/>
                <w:color w:val="auto"/>
                <w:kern w:val="0"/>
                <w:sz w:val="22"/>
              </w:rPr>
            </w:pPr>
            <w:r>
              <w:rPr>
                <w:rFonts w:hint="eastAsia" w:ascii="宋体" w:hAnsi="宋体" w:cs="宋体"/>
                <w:color w:val="auto"/>
                <w:kern w:val="0"/>
                <w:sz w:val="22"/>
              </w:rPr>
              <w:t>☆产品应具有公安部计算机信息系统安全产品质量监督检验中心开具的《网络安全专用产品安全检测证书》（需提供证书并加盖厂商公章）</w:t>
            </w:r>
          </w:p>
        </w:tc>
        <w:tc>
          <w:tcPr>
            <w:tcW w:w="565" w:type="dxa"/>
            <w:shd w:val="clear" w:color="auto" w:fill="auto"/>
            <w:vAlign w:val="center"/>
          </w:tcPr>
          <w:p w14:paraId="0C180CAC">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11AAD31E">
            <w:pPr>
              <w:widowControl/>
              <w:jc w:val="center"/>
              <w:rPr>
                <w:rFonts w:hint="eastAsia" w:ascii="宋体" w:hAnsi="宋体" w:cs="宋体"/>
                <w:color w:val="auto"/>
                <w:kern w:val="0"/>
                <w:sz w:val="22"/>
              </w:rPr>
            </w:pPr>
            <w:r>
              <w:rPr>
                <w:rFonts w:hint="eastAsia" w:ascii="宋体" w:hAnsi="宋体" w:cs="宋体"/>
                <w:color w:val="auto"/>
                <w:kern w:val="0"/>
                <w:sz w:val="22"/>
              </w:rPr>
              <w:t>1</w:t>
            </w:r>
          </w:p>
        </w:tc>
      </w:tr>
      <w:tr w14:paraId="52090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0" w:type="dxa"/>
            <w:shd w:val="clear" w:color="auto" w:fill="auto"/>
            <w:vAlign w:val="center"/>
          </w:tcPr>
          <w:p w14:paraId="6703712D">
            <w:pPr>
              <w:widowControl/>
              <w:jc w:val="center"/>
              <w:rPr>
                <w:rFonts w:hint="eastAsia" w:ascii="宋体" w:hAnsi="宋体" w:cs="宋体"/>
                <w:color w:val="auto"/>
                <w:kern w:val="0"/>
                <w:sz w:val="22"/>
              </w:rPr>
            </w:pPr>
            <w:r>
              <w:rPr>
                <w:rFonts w:hint="eastAsia" w:ascii="宋体" w:hAnsi="宋体" w:cs="宋体"/>
                <w:color w:val="auto"/>
                <w:kern w:val="0"/>
                <w:sz w:val="22"/>
              </w:rPr>
              <w:t>3</w:t>
            </w:r>
          </w:p>
        </w:tc>
        <w:tc>
          <w:tcPr>
            <w:tcW w:w="1720" w:type="dxa"/>
            <w:gridSpan w:val="2"/>
            <w:shd w:val="clear" w:color="auto" w:fill="auto"/>
            <w:vAlign w:val="center"/>
          </w:tcPr>
          <w:p w14:paraId="0A19B1B4">
            <w:pPr>
              <w:widowControl/>
              <w:jc w:val="center"/>
              <w:rPr>
                <w:rFonts w:hint="eastAsia" w:ascii="宋体" w:hAnsi="宋体" w:cs="宋体"/>
                <w:color w:val="auto"/>
                <w:kern w:val="0"/>
                <w:sz w:val="22"/>
              </w:rPr>
            </w:pPr>
            <w:r>
              <w:rPr>
                <w:rFonts w:hint="eastAsia" w:ascii="宋体" w:hAnsi="宋体" w:cs="宋体"/>
                <w:color w:val="auto"/>
                <w:kern w:val="0"/>
                <w:sz w:val="22"/>
              </w:rPr>
              <w:t>日志收集与分析系统</w:t>
            </w:r>
          </w:p>
        </w:tc>
        <w:tc>
          <w:tcPr>
            <w:tcW w:w="6326" w:type="dxa"/>
            <w:shd w:val="clear" w:color="auto" w:fill="auto"/>
            <w:vAlign w:val="center"/>
          </w:tcPr>
          <w:p w14:paraId="16C2FE84">
            <w:pPr>
              <w:numPr>
                <w:ilvl w:val="0"/>
                <w:numId w:val="3"/>
              </w:numPr>
              <w:autoSpaceDE w:val="0"/>
              <w:rPr>
                <w:rFonts w:hint="eastAsia" w:ascii="宋体" w:hAnsi="宋体" w:cs="宋体"/>
                <w:color w:val="auto"/>
                <w:kern w:val="0"/>
                <w:sz w:val="22"/>
              </w:rPr>
            </w:pPr>
            <w:r>
              <w:rPr>
                <w:rFonts w:hint="eastAsia" w:ascii="宋体" w:hAnsi="宋体" w:cs="宋体"/>
                <w:color w:val="auto"/>
                <w:kern w:val="0"/>
                <w:sz w:val="22"/>
              </w:rPr>
              <w:t>标准2U机架式设备，≥6个千兆电口，≥2个万兆光口，≥2个USB口，≥1个Console口，硬盘≥2T，日志处理能力≥10000EPS；包含30点日志源授权，包含三年原厂维保。</w:t>
            </w:r>
          </w:p>
          <w:p w14:paraId="51AAC34D">
            <w:pPr>
              <w:numPr>
                <w:ilvl w:val="0"/>
                <w:numId w:val="3"/>
              </w:numPr>
              <w:autoSpaceDE w:val="0"/>
              <w:rPr>
                <w:rFonts w:hint="eastAsia" w:ascii="宋体" w:hAnsi="宋体" w:cs="宋体"/>
                <w:color w:val="auto"/>
                <w:kern w:val="0"/>
                <w:sz w:val="22"/>
              </w:rPr>
            </w:pPr>
            <w:r>
              <w:rPr>
                <w:rFonts w:hint="eastAsia" w:ascii="宋体" w:hAnsi="宋体" w:cs="宋体"/>
                <w:color w:val="auto"/>
                <w:kern w:val="0"/>
                <w:sz w:val="22"/>
              </w:rPr>
              <w:t>支持精细化权限管理，除三权分立外，还可以定义其他的管理角色，能够为不同的管理角色分配不同的管理区域和管理界面；</w:t>
            </w:r>
          </w:p>
          <w:p w14:paraId="1F134767">
            <w:pPr>
              <w:numPr>
                <w:ilvl w:val="0"/>
                <w:numId w:val="3"/>
              </w:numPr>
              <w:autoSpaceDE w:val="0"/>
              <w:rPr>
                <w:rFonts w:hint="eastAsia" w:ascii="宋体" w:hAnsi="宋体" w:cs="宋体"/>
                <w:color w:val="auto"/>
                <w:kern w:val="0"/>
                <w:sz w:val="22"/>
              </w:rPr>
            </w:pPr>
            <w:r>
              <w:rPr>
                <w:rFonts w:hint="eastAsia" w:ascii="宋体" w:hAnsi="宋体" w:cs="宋体"/>
                <w:color w:val="auto"/>
                <w:kern w:val="0"/>
                <w:sz w:val="22"/>
              </w:rPr>
              <w:t>主机和服务器：支持采集Window、linux、AIX、麒麟等操作系统日志，能够对用户登录、用户权限变更、关键文件变更、USB插入和拔出、操作记录回显、串口占用事件、并口占用事件、非法外联、光驱事件、开放端口、网卡up和down、后台进程等主机事件进行收集和分析</w:t>
            </w:r>
          </w:p>
          <w:p w14:paraId="41A6F982">
            <w:pPr>
              <w:numPr>
                <w:ilvl w:val="0"/>
                <w:numId w:val="3"/>
              </w:numPr>
              <w:autoSpaceDE w:val="0"/>
              <w:rPr>
                <w:rFonts w:hint="eastAsia" w:ascii="宋体" w:hAnsi="宋体" w:cs="宋体"/>
                <w:color w:val="auto"/>
                <w:kern w:val="0"/>
                <w:sz w:val="22"/>
              </w:rPr>
            </w:pPr>
            <w:r>
              <w:rPr>
                <w:rFonts w:hint="eastAsia" w:ascii="宋体" w:hAnsi="宋体" w:cs="宋体"/>
                <w:color w:val="auto"/>
                <w:kern w:val="0"/>
                <w:sz w:val="22"/>
              </w:rPr>
              <w:t>支持行为审计：实时记录系统中各设备的登录、账号、外设、命令指令、配置变更等活动，对各类活动进行统计分析，筛选出可能存在风险的行为操作；</w:t>
            </w:r>
          </w:p>
          <w:p w14:paraId="3DBEC7D1">
            <w:pPr>
              <w:numPr>
                <w:ilvl w:val="0"/>
                <w:numId w:val="3"/>
              </w:numPr>
              <w:autoSpaceDE w:val="0"/>
              <w:rPr>
                <w:rFonts w:hint="eastAsia" w:ascii="宋体" w:hAnsi="宋体" w:cs="宋体"/>
                <w:color w:val="auto"/>
                <w:kern w:val="0"/>
                <w:sz w:val="22"/>
              </w:rPr>
            </w:pPr>
            <w:r>
              <w:rPr>
                <w:rFonts w:hint="eastAsia" w:ascii="宋体" w:hAnsi="宋体" w:cs="宋体"/>
                <w:color w:val="auto"/>
                <w:kern w:val="0"/>
                <w:sz w:val="22"/>
              </w:rPr>
              <w:t>☆支持逻辑关联、事件关联、时序关联、统计关联分析。逻辑关联支持与、或、非逻辑；事件关联支持丰富的逻辑表达式（等于、大于、小于、大于等于、小于等于、不等于）；统计关联支持按照统计条件的次数进行分析；</w:t>
            </w:r>
          </w:p>
          <w:p w14:paraId="5B0483BA">
            <w:pPr>
              <w:numPr>
                <w:ilvl w:val="0"/>
                <w:numId w:val="3"/>
              </w:numPr>
              <w:autoSpaceDE w:val="0"/>
              <w:rPr>
                <w:rFonts w:hint="eastAsia" w:ascii="宋体" w:hAnsi="宋体" w:cs="宋体"/>
                <w:color w:val="auto"/>
                <w:kern w:val="0"/>
                <w:sz w:val="22"/>
              </w:rPr>
            </w:pPr>
            <w:r>
              <w:rPr>
                <w:rFonts w:hint="eastAsia" w:ascii="宋体" w:hAnsi="宋体" w:cs="宋体"/>
                <w:color w:val="auto"/>
                <w:kern w:val="0"/>
                <w:sz w:val="22"/>
              </w:rPr>
              <w:t>支持通过协议向对三方系统报送日志和告警；（提供功能截图并加盖厂商公章）</w:t>
            </w:r>
          </w:p>
          <w:p w14:paraId="573E5880">
            <w:pPr>
              <w:numPr>
                <w:ilvl w:val="0"/>
                <w:numId w:val="3"/>
              </w:numPr>
              <w:autoSpaceDE w:val="0"/>
              <w:rPr>
                <w:rFonts w:hint="eastAsia" w:ascii="宋体" w:hAnsi="宋体" w:cs="宋体"/>
                <w:color w:val="auto"/>
                <w:kern w:val="0"/>
                <w:sz w:val="22"/>
              </w:rPr>
            </w:pPr>
            <w:r>
              <w:rPr>
                <w:rFonts w:hint="eastAsia" w:ascii="宋体" w:hAnsi="宋体" w:cs="宋体"/>
                <w:color w:val="auto"/>
                <w:kern w:val="0"/>
                <w:sz w:val="22"/>
              </w:rPr>
              <w:t>☆基于日志原文自动生成范化规则，辅助管理管理员自定义增加范化规则；支持对已范化日志进行二次解析，可自定义二次解析规则；（提供功能截图并加盖厂商公章）</w:t>
            </w:r>
          </w:p>
          <w:p w14:paraId="0DD60FDA">
            <w:pPr>
              <w:numPr>
                <w:ilvl w:val="0"/>
                <w:numId w:val="3"/>
              </w:numPr>
              <w:autoSpaceDE w:val="0"/>
              <w:rPr>
                <w:rFonts w:hint="eastAsia" w:ascii="宋体" w:hAnsi="宋体" w:cs="宋体"/>
                <w:color w:val="auto"/>
                <w:kern w:val="0"/>
                <w:sz w:val="22"/>
              </w:rPr>
            </w:pPr>
            <w:r>
              <w:rPr>
                <w:rFonts w:hint="eastAsia" w:ascii="宋体" w:hAnsi="宋体" w:cs="宋体"/>
                <w:color w:val="auto"/>
                <w:kern w:val="0"/>
                <w:sz w:val="22"/>
              </w:rPr>
              <w:t>☆产品应具有公安部计算机信息系统安全产品质量监督检验中心开具的《网络安全专用产品安全检测证书》（需提供支撑证明复印件材料并加盖原厂公章）</w:t>
            </w:r>
          </w:p>
        </w:tc>
        <w:tc>
          <w:tcPr>
            <w:tcW w:w="565" w:type="dxa"/>
            <w:shd w:val="clear" w:color="auto" w:fill="auto"/>
            <w:vAlign w:val="center"/>
          </w:tcPr>
          <w:p w14:paraId="682AE081">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4FF3AB8D">
            <w:pPr>
              <w:widowControl/>
              <w:jc w:val="center"/>
              <w:rPr>
                <w:rFonts w:hint="eastAsia" w:ascii="宋体" w:hAnsi="宋体" w:cs="宋体"/>
                <w:color w:val="auto"/>
                <w:kern w:val="0"/>
                <w:sz w:val="22"/>
              </w:rPr>
            </w:pPr>
            <w:r>
              <w:rPr>
                <w:rFonts w:hint="eastAsia" w:ascii="宋体" w:hAnsi="宋体" w:cs="宋体"/>
                <w:color w:val="auto"/>
                <w:kern w:val="0"/>
                <w:sz w:val="22"/>
              </w:rPr>
              <w:t>1</w:t>
            </w:r>
          </w:p>
        </w:tc>
      </w:tr>
      <w:tr w14:paraId="211A8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0" w:type="dxa"/>
            <w:shd w:val="clear" w:color="auto" w:fill="auto"/>
            <w:vAlign w:val="center"/>
          </w:tcPr>
          <w:p w14:paraId="409BBC1C">
            <w:pPr>
              <w:widowControl/>
              <w:jc w:val="center"/>
              <w:rPr>
                <w:rFonts w:hint="eastAsia" w:ascii="宋体" w:hAnsi="宋体" w:cs="宋体"/>
                <w:color w:val="auto"/>
                <w:kern w:val="0"/>
                <w:sz w:val="22"/>
              </w:rPr>
            </w:pPr>
            <w:r>
              <w:rPr>
                <w:rFonts w:hint="eastAsia" w:ascii="宋体" w:hAnsi="宋体" w:cs="宋体"/>
                <w:color w:val="auto"/>
                <w:kern w:val="0"/>
                <w:sz w:val="22"/>
              </w:rPr>
              <w:t>4</w:t>
            </w:r>
          </w:p>
        </w:tc>
        <w:tc>
          <w:tcPr>
            <w:tcW w:w="1720" w:type="dxa"/>
            <w:gridSpan w:val="2"/>
            <w:shd w:val="clear" w:color="auto" w:fill="auto"/>
            <w:vAlign w:val="center"/>
          </w:tcPr>
          <w:p w14:paraId="318C432F">
            <w:pPr>
              <w:widowControl/>
              <w:jc w:val="center"/>
              <w:rPr>
                <w:rFonts w:hint="eastAsia" w:ascii="宋体" w:hAnsi="宋体" w:cs="宋体"/>
                <w:color w:val="auto"/>
                <w:kern w:val="0"/>
                <w:sz w:val="22"/>
              </w:rPr>
            </w:pPr>
            <w:r>
              <w:rPr>
                <w:rFonts w:hint="eastAsia" w:ascii="宋体" w:hAnsi="宋体" w:cs="宋体"/>
                <w:color w:val="auto"/>
                <w:kern w:val="0"/>
                <w:sz w:val="22"/>
              </w:rPr>
              <w:t>数据库审计系统</w:t>
            </w:r>
          </w:p>
        </w:tc>
        <w:tc>
          <w:tcPr>
            <w:tcW w:w="6326" w:type="dxa"/>
            <w:shd w:val="clear" w:color="auto" w:fill="auto"/>
            <w:vAlign w:val="center"/>
          </w:tcPr>
          <w:p w14:paraId="6CFA20B6">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2U机架式，≥6个千兆电口，≥2个万兆光口，2*USB，1*Console，2T硬盘，单电源；SQL处理能力≥1万/s，SQL存储能力≥35亿条；</w:t>
            </w:r>
          </w:p>
          <w:p w14:paraId="52C5E0A0">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支持ORACLE、MYSQL、MSSQL、SYBASE、DB2、达梦6/7、人大金仓、神州通用、INFORMIX、PostgreSQL、Gbase、Hive、MongoDB、Redis、TeraData、cache、Kafka、ElasticSearch、HANA、MariaDB、Hbase、HDFS等多种数据库类型；支持工控实时数据库OpenPlant的全量行为审计；支持OCI/JDBC/OLEDB/ODBC等常见协议；（提供证明材料并加盖厂商公章）</w:t>
            </w:r>
          </w:p>
          <w:p w14:paraId="0C47335E">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支持内置高风险规则，防范维护人员执行no where 删除、truncate table等合法的授权的高危操作检测；</w:t>
            </w:r>
          </w:p>
          <w:p w14:paraId="228A5D70">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支持数据库连接工具白名单功能，自动忽略数据库连接工具访问数据库的默认操作；</w:t>
            </w:r>
          </w:p>
          <w:p w14:paraId="312F65AF">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支持基于CVE的SQL注入漏洞检测，其中Oracle特征不少于470个；</w:t>
            </w:r>
          </w:p>
          <w:p w14:paraId="025CB5CE">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支持日志内容能够详尽的显示访问行为发生的具体特征，具体信息包括：访问的时间、访问客户端IP、客户端MAC、客户端操作系统主机名、客户端操作系统用户名、客户端端口号、客户端连接工具名、数据库用户名、数据库IP、数据库MAC、数据库实例、表、列、操作类型、SQL内容、SQL结果内容、执行时间（毫秒）、响应状态、影响行数、查询返回行、匹配的策略、风险等级；</w:t>
            </w:r>
          </w:p>
          <w:p w14:paraId="39B76166">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支持类型：TELNET、POP3、SMTP、IMAP、FTP、SSH、VNC等主流协议的运维审计；</w:t>
            </w:r>
          </w:p>
          <w:p w14:paraId="4B205D6C">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☆支持类型：ORACLE、MYSQL、MSSQL、SYBASE、DB2、达梦、神州通用、INFORMIX、PostgreSQL、Gbase、Hive、MongoDB、Redis、cache、Kafka、MariaDB等数据库的敏感发现；（提供证明材料并加盖厂商公章）</w:t>
            </w:r>
          </w:p>
          <w:p w14:paraId="33ACE123">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☆支持多探针（Agent），自动部署、统一配置、集中管理及监控；（提供证明材料并加盖厂商公章）</w:t>
            </w:r>
          </w:p>
          <w:p w14:paraId="0A45BA95">
            <w:pPr>
              <w:numPr>
                <w:ilvl w:val="0"/>
                <w:numId w:val="4"/>
              </w:numPr>
              <w:autoSpaceDE w:val="0"/>
              <w:rPr>
                <w:rFonts w:hint="eastAsia" w:ascii="宋体" w:hAnsi="宋体" w:cs="宋体"/>
                <w:color w:val="auto"/>
                <w:kern w:val="0"/>
                <w:sz w:val="22"/>
              </w:rPr>
            </w:pPr>
            <w:r>
              <w:rPr>
                <w:rFonts w:hint="eastAsia" w:ascii="宋体" w:hAnsi="宋体" w:cs="宋体"/>
                <w:color w:val="auto"/>
                <w:kern w:val="0"/>
                <w:sz w:val="22"/>
              </w:rPr>
              <w:t>☆产品具备由公安部颁发的《网络安全专用产品安全检测证书》；（提供证明材料并加盖厂商公章）</w:t>
            </w:r>
          </w:p>
        </w:tc>
        <w:tc>
          <w:tcPr>
            <w:tcW w:w="565" w:type="dxa"/>
            <w:shd w:val="clear" w:color="auto" w:fill="auto"/>
            <w:vAlign w:val="center"/>
          </w:tcPr>
          <w:p w14:paraId="3013A8D1">
            <w:pPr>
              <w:widowControl/>
              <w:jc w:val="center"/>
              <w:rPr>
                <w:rFonts w:hint="eastAsia" w:ascii="宋体" w:hAnsi="宋体" w:cs="宋体"/>
                <w:color w:val="auto"/>
                <w:kern w:val="0"/>
                <w:sz w:val="22"/>
              </w:rPr>
            </w:pPr>
            <w:r>
              <w:rPr>
                <w:rFonts w:hint="eastAsia" w:ascii="宋体" w:hAnsi="宋体" w:cs="宋体"/>
                <w:color w:val="auto"/>
                <w:kern w:val="0"/>
                <w:sz w:val="22"/>
              </w:rPr>
              <w:t>套</w:t>
            </w:r>
          </w:p>
        </w:tc>
        <w:tc>
          <w:tcPr>
            <w:tcW w:w="825" w:type="dxa"/>
            <w:shd w:val="clear" w:color="auto" w:fill="auto"/>
            <w:vAlign w:val="center"/>
          </w:tcPr>
          <w:p w14:paraId="7D4026B9">
            <w:pPr>
              <w:widowControl/>
              <w:jc w:val="center"/>
              <w:rPr>
                <w:rFonts w:hint="eastAsia" w:ascii="宋体" w:hAnsi="宋体" w:cs="宋体"/>
                <w:color w:val="auto"/>
                <w:kern w:val="0"/>
                <w:sz w:val="22"/>
              </w:rPr>
            </w:pPr>
            <w:r>
              <w:rPr>
                <w:rFonts w:hint="eastAsia" w:ascii="宋体" w:hAnsi="宋体" w:cs="宋体"/>
                <w:color w:val="auto"/>
                <w:kern w:val="0"/>
                <w:sz w:val="22"/>
              </w:rPr>
              <w:t>1</w:t>
            </w:r>
          </w:p>
        </w:tc>
      </w:tr>
    </w:tbl>
    <w:p w14:paraId="12D4ECCB">
      <w:pPr>
        <w:rPr>
          <w:rFonts w:hint="eastAsia" w:ascii="宋体" w:hAnsi="宋体" w:cs="宋体"/>
          <w:color w:val="auto"/>
          <w:kern w:val="0"/>
          <w:sz w:val="22"/>
        </w:rPr>
      </w:pPr>
      <w:r>
        <w:rPr>
          <w:rFonts w:hint="eastAsia"/>
          <w:color w:val="auto"/>
        </w:rPr>
        <w:t>备注：本次采购项目的核心设备为“</w:t>
      </w:r>
      <w:r>
        <w:rPr>
          <w:rFonts w:hint="eastAsia" w:ascii="宋体" w:hAnsi="宋体" w:cs="宋体"/>
          <w:color w:val="auto"/>
          <w:kern w:val="0"/>
          <w:sz w:val="22"/>
        </w:rPr>
        <w:t>水质自动监测微站”</w:t>
      </w:r>
    </w:p>
    <w:p w14:paraId="7A8863CA">
      <w:pPr>
        <w:numPr>
          <w:ilvl w:val="0"/>
          <w:numId w:val="5"/>
        </w:numPr>
        <w:rPr>
          <w:rFonts w:hint="eastAsia" w:ascii="宋体" w:hAnsi="宋体" w:cs="宋体"/>
          <w:b/>
          <w:bCs/>
          <w:color w:val="auto"/>
          <w:kern w:val="0"/>
          <w:sz w:val="28"/>
          <w:szCs w:val="22"/>
          <w:lang w:val="en-US" w:eastAsia="zh-CN"/>
        </w:rPr>
      </w:pPr>
      <w:r>
        <w:rPr>
          <w:rFonts w:hint="eastAsia" w:ascii="宋体" w:hAnsi="宋体" w:cs="宋体"/>
          <w:b/>
          <w:bCs/>
          <w:color w:val="auto"/>
          <w:kern w:val="0"/>
          <w:sz w:val="28"/>
          <w:szCs w:val="22"/>
          <w:lang w:val="en-US" w:eastAsia="zh-CN"/>
        </w:rPr>
        <w:t>技术要求</w:t>
      </w:r>
    </w:p>
    <w:p w14:paraId="700DA61C">
      <w:pPr>
        <w:numPr>
          <w:ilvl w:val="0"/>
          <w:numId w:val="0"/>
        </w:numPr>
        <w:rPr>
          <w:rFonts w:hint="eastAsia" w:ascii="宋体" w:hAnsi="宋体" w:cs="宋体"/>
          <w:b/>
          <w:bCs/>
          <w:color w:val="auto"/>
          <w:kern w:val="0"/>
          <w:sz w:val="28"/>
          <w:szCs w:val="22"/>
          <w:lang w:val="en-US" w:eastAsia="zh-CN"/>
        </w:rPr>
      </w:pPr>
      <w:r>
        <w:rPr>
          <w:rFonts w:hint="eastAsia" w:ascii="宋体" w:hAnsi="宋体" w:eastAsia="宋体" w:cs="宋体"/>
          <w:b/>
          <w:bCs/>
          <w:color w:val="auto"/>
          <w:kern w:val="0"/>
          <w:sz w:val="28"/>
          <w:szCs w:val="22"/>
          <w:lang w:val="en-US" w:eastAsia="zh-CN" w:bidi="ar-SA"/>
        </w:rPr>
        <w:t>1、</w:t>
      </w:r>
      <w:r>
        <w:rPr>
          <w:rFonts w:hint="eastAsia" w:ascii="宋体" w:hAnsi="宋体" w:cs="宋体"/>
          <w:b/>
          <w:bCs/>
          <w:color w:val="auto"/>
          <w:kern w:val="0"/>
          <w:sz w:val="28"/>
          <w:szCs w:val="22"/>
          <w:lang w:val="en-US" w:eastAsia="zh-CN"/>
        </w:rPr>
        <w:t>供货方案要求：</w:t>
      </w:r>
    </w:p>
    <w:p w14:paraId="1D6B5C3C">
      <w:pPr>
        <w:numPr>
          <w:ilvl w:val="0"/>
          <w:numId w:val="0"/>
        </w:numPr>
        <w:ind w:firstLine="480" w:firstLineChars="200"/>
        <w:rPr>
          <w:rFonts w:hint="eastAsia" w:ascii="宋体" w:hAnsi="宋体" w:eastAsia="宋体" w:cs="宋体"/>
          <w:b w:val="0"/>
          <w:i w:val="0"/>
          <w:strike w:val="0"/>
          <w:color w:val="auto"/>
          <w:sz w:val="24"/>
          <w:u w:val="none"/>
          <w:lang w:val="en-US" w:eastAsia="zh-CN"/>
        </w:rPr>
      </w:pPr>
      <w:r>
        <w:rPr>
          <w:rFonts w:hint="eastAsia" w:ascii="宋体" w:hAnsi="宋体" w:eastAsia="宋体" w:cs="宋体"/>
          <w:b w:val="0"/>
          <w:i w:val="0"/>
          <w:strike w:val="0"/>
          <w:color w:val="auto"/>
          <w:sz w:val="24"/>
          <w:u w:val="none"/>
          <w:lang w:val="en-US" w:eastAsia="zh-CN"/>
        </w:rPr>
        <w:t>1.1交付与物流方面，需明确详细的交付时间节点，依据采购人项目进度合理安排，确保产品按时、准确送达指定地点。同时，规划高效合理的物流路线，选择信誉良好、运输能力强的物流合作伙伴，保障运输过程中的安全与稳定，减少货物损坏和延误的风险。</w:t>
      </w:r>
    </w:p>
    <w:p w14:paraId="7E24E15F">
      <w:pPr>
        <w:numPr>
          <w:ilvl w:val="0"/>
          <w:numId w:val="0"/>
        </w:numPr>
        <w:ind w:firstLine="480" w:firstLineChars="200"/>
        <w:rPr>
          <w:rFonts w:hint="default" w:ascii="宋体" w:hAnsi="宋体" w:eastAsia="宋体" w:cs="宋体"/>
          <w:b w:val="0"/>
          <w:i w:val="0"/>
          <w:strike w:val="0"/>
          <w:color w:val="auto"/>
          <w:sz w:val="24"/>
          <w:u w:val="none"/>
          <w:lang w:val="en-US" w:eastAsia="zh-CN"/>
        </w:rPr>
      </w:pPr>
      <w:r>
        <w:rPr>
          <w:rFonts w:hint="eastAsia" w:ascii="宋体" w:hAnsi="宋体" w:eastAsia="宋体" w:cs="宋体"/>
          <w:b w:val="0"/>
          <w:i w:val="0"/>
          <w:strike w:val="0"/>
          <w:color w:val="auto"/>
          <w:sz w:val="24"/>
          <w:u w:val="none"/>
          <w:lang w:val="en-US" w:eastAsia="zh-CN"/>
        </w:rPr>
        <w:t>1.2风险应对与应急方面，要全面识别可能影响供货的各类风险因素，如供应商交货延迟、物流运输受阻、产品质量问题等。针对每种风险制定具体的应对措施，例如与多个供应商建立合作关系以应对交货延迟风险；提前规划备用物流路线和运输方式，应对物流受阻情况；此外，还需建立应急响应机制，明确各部门和人员在应急情况下的职责和行动流程，确保在突发状况发生时能够迅速、有效地采取应对措施，保障供货的顺利进行。</w:t>
      </w:r>
    </w:p>
    <w:p w14:paraId="36122C7A">
      <w:pPr>
        <w:numPr>
          <w:ilvl w:val="0"/>
          <w:numId w:val="0"/>
        </w:numPr>
        <w:rPr>
          <w:rFonts w:hint="default" w:ascii="宋体" w:hAnsi="宋体" w:cs="宋体"/>
          <w:b/>
          <w:bCs/>
          <w:color w:val="auto"/>
          <w:kern w:val="0"/>
          <w:sz w:val="28"/>
          <w:szCs w:val="22"/>
          <w:lang w:val="en-US" w:eastAsia="zh-CN"/>
        </w:rPr>
      </w:pPr>
      <w:r>
        <w:rPr>
          <w:rFonts w:hint="default" w:ascii="宋体" w:hAnsi="宋体" w:eastAsia="宋体" w:cs="宋体"/>
          <w:b/>
          <w:bCs/>
          <w:color w:val="auto"/>
          <w:kern w:val="0"/>
          <w:sz w:val="28"/>
          <w:szCs w:val="22"/>
          <w:lang w:val="en-US" w:eastAsia="zh-CN" w:bidi="ar-SA"/>
        </w:rPr>
        <w:t>2、</w:t>
      </w:r>
      <w:r>
        <w:rPr>
          <w:rFonts w:hint="eastAsia" w:ascii="宋体" w:hAnsi="宋体" w:cs="宋体"/>
          <w:b/>
          <w:bCs/>
          <w:color w:val="auto"/>
          <w:kern w:val="0"/>
          <w:sz w:val="28"/>
          <w:szCs w:val="22"/>
          <w:lang w:val="en-US" w:eastAsia="zh-CN"/>
        </w:rPr>
        <w:t>安装调试要求：</w:t>
      </w:r>
    </w:p>
    <w:p w14:paraId="61C4B252">
      <w:pPr>
        <w:numPr>
          <w:ilvl w:val="0"/>
          <w:numId w:val="0"/>
        </w:numPr>
        <w:ind w:firstLine="240" w:firstLineChars="100"/>
        <w:rPr>
          <w:rFonts w:hint="eastAsia" w:ascii="宋体" w:hAnsi="宋体" w:eastAsia="宋体" w:cs="宋体"/>
          <w:b w:val="0"/>
          <w:i w:val="0"/>
          <w:strike w:val="0"/>
          <w:color w:val="auto"/>
          <w:sz w:val="24"/>
          <w:u w:val="none"/>
          <w:lang w:val="en-US" w:eastAsia="zh-CN"/>
        </w:rPr>
      </w:pPr>
      <w:r>
        <w:rPr>
          <w:rFonts w:hint="eastAsia" w:ascii="宋体" w:hAnsi="宋体" w:eastAsia="宋体" w:cs="宋体"/>
          <w:b w:val="0"/>
          <w:i w:val="0"/>
          <w:strike w:val="0"/>
          <w:color w:val="auto"/>
          <w:sz w:val="24"/>
          <w:u w:val="none"/>
          <w:lang w:val="en-US" w:eastAsia="zh-CN"/>
        </w:rPr>
        <w:t>2.1.技术</w:t>
      </w:r>
      <w:r>
        <w:rPr>
          <w:rFonts w:hint="eastAsia" w:ascii="宋体" w:hAnsi="宋体" w:cs="宋体"/>
          <w:b w:val="0"/>
          <w:i w:val="0"/>
          <w:strike w:val="0"/>
          <w:color w:val="auto"/>
          <w:sz w:val="24"/>
          <w:u w:val="none"/>
          <w:lang w:val="en-US" w:eastAsia="zh-CN"/>
        </w:rPr>
        <w:t>方面</w:t>
      </w:r>
      <w:r>
        <w:rPr>
          <w:rFonts w:hint="eastAsia" w:ascii="宋体" w:hAnsi="宋体" w:eastAsia="宋体" w:cs="宋体"/>
          <w:b w:val="0"/>
          <w:i w:val="0"/>
          <w:strike w:val="0"/>
          <w:color w:val="auto"/>
          <w:sz w:val="24"/>
          <w:u w:val="none"/>
          <w:lang w:val="en-US" w:eastAsia="zh-CN"/>
        </w:rPr>
        <w:t>，需深入分析采购人所采购设备的性能参数、技术特点，结合其现有技术架构，确保安装调试后的系统能无缝对接且高效运行。</w:t>
      </w:r>
    </w:p>
    <w:p w14:paraId="137A02B5">
      <w:pPr>
        <w:numPr>
          <w:ilvl w:val="0"/>
          <w:numId w:val="0"/>
        </w:numPr>
        <w:ind w:firstLine="240" w:firstLineChars="100"/>
        <w:rPr>
          <w:rFonts w:hint="eastAsia" w:ascii="宋体" w:hAnsi="宋体" w:eastAsia="宋体" w:cs="宋体"/>
          <w:b w:val="0"/>
          <w:i w:val="0"/>
          <w:strike w:val="0"/>
          <w:color w:val="auto"/>
          <w:sz w:val="24"/>
          <w:u w:val="none"/>
          <w:lang w:val="en-US" w:eastAsia="zh-CN"/>
        </w:rPr>
      </w:pPr>
      <w:r>
        <w:rPr>
          <w:rFonts w:hint="eastAsia" w:ascii="宋体" w:hAnsi="宋体" w:eastAsia="宋体" w:cs="宋体"/>
          <w:b w:val="0"/>
          <w:i w:val="0"/>
          <w:strike w:val="0"/>
          <w:color w:val="auto"/>
          <w:sz w:val="24"/>
          <w:u w:val="none"/>
          <w:lang w:val="en-US" w:eastAsia="zh-CN"/>
        </w:rPr>
        <w:t>2.2.资源</w:t>
      </w:r>
      <w:r>
        <w:rPr>
          <w:rFonts w:hint="eastAsia" w:ascii="宋体" w:hAnsi="宋体" w:cs="宋体"/>
          <w:b w:val="0"/>
          <w:i w:val="0"/>
          <w:strike w:val="0"/>
          <w:color w:val="auto"/>
          <w:sz w:val="24"/>
          <w:u w:val="none"/>
          <w:lang w:val="en-US" w:eastAsia="zh-CN"/>
        </w:rPr>
        <w:t>方面</w:t>
      </w:r>
      <w:r>
        <w:rPr>
          <w:rFonts w:hint="eastAsia" w:ascii="宋体" w:hAnsi="宋体" w:eastAsia="宋体" w:cs="宋体"/>
          <w:b w:val="0"/>
          <w:i w:val="0"/>
          <w:strike w:val="0"/>
          <w:color w:val="auto"/>
          <w:sz w:val="24"/>
          <w:u w:val="none"/>
          <w:lang w:val="en-US" w:eastAsia="zh-CN"/>
        </w:rPr>
        <w:t>，要全面评估人力、物力、财力等资源状况，合理安排技术人员投入，准备充足的安装调试所需物资，并制定合理的计划。</w:t>
      </w:r>
    </w:p>
    <w:p w14:paraId="767AE2EE">
      <w:pPr>
        <w:numPr>
          <w:ilvl w:val="0"/>
          <w:numId w:val="0"/>
        </w:numPr>
        <w:ind w:firstLine="240" w:firstLineChars="100"/>
        <w:rPr>
          <w:rFonts w:hint="eastAsia" w:ascii="宋体" w:hAnsi="宋体" w:eastAsia="宋体" w:cs="宋体"/>
          <w:b w:val="0"/>
          <w:i w:val="0"/>
          <w:strike w:val="0"/>
          <w:color w:val="auto"/>
          <w:sz w:val="24"/>
          <w:u w:val="none"/>
          <w:lang w:val="en-US" w:eastAsia="zh-CN"/>
        </w:rPr>
      </w:pPr>
      <w:r>
        <w:rPr>
          <w:rFonts w:hint="eastAsia" w:ascii="宋体" w:hAnsi="宋体" w:eastAsia="宋体" w:cs="宋体"/>
          <w:b w:val="0"/>
          <w:i w:val="0"/>
          <w:strike w:val="0"/>
          <w:color w:val="auto"/>
          <w:sz w:val="24"/>
          <w:u w:val="none"/>
          <w:lang w:val="en-US" w:eastAsia="zh-CN"/>
        </w:rPr>
        <w:t>2.3.管理运营</w:t>
      </w:r>
      <w:r>
        <w:rPr>
          <w:rFonts w:hint="eastAsia" w:ascii="宋体" w:hAnsi="宋体" w:cs="宋体"/>
          <w:b w:val="0"/>
          <w:i w:val="0"/>
          <w:strike w:val="0"/>
          <w:color w:val="auto"/>
          <w:sz w:val="24"/>
          <w:u w:val="none"/>
          <w:lang w:val="en-US" w:eastAsia="zh-CN"/>
        </w:rPr>
        <w:t>方面</w:t>
      </w:r>
      <w:r>
        <w:rPr>
          <w:rFonts w:hint="eastAsia" w:ascii="宋体" w:hAnsi="宋体" w:eastAsia="宋体" w:cs="宋体"/>
          <w:b w:val="0"/>
          <w:i w:val="0"/>
          <w:strike w:val="0"/>
          <w:color w:val="auto"/>
          <w:sz w:val="24"/>
          <w:u w:val="none"/>
          <w:lang w:val="en-US" w:eastAsia="zh-CN"/>
        </w:rPr>
        <w:t>，考虑安装调试过程对采购人日常运营的影响，制定详细的进度安排，确保各项工作有序推进，减少对正常业务的干扰。</w:t>
      </w:r>
    </w:p>
    <w:p w14:paraId="02592838">
      <w:pPr>
        <w:numPr>
          <w:ilvl w:val="0"/>
          <w:numId w:val="0"/>
        </w:numPr>
        <w:ind w:firstLine="240" w:firstLineChars="100"/>
        <w:rPr>
          <w:rFonts w:hint="eastAsia" w:ascii="宋体" w:hAnsi="宋体" w:eastAsia="宋体" w:cs="宋体"/>
          <w:b w:val="0"/>
          <w:i w:val="0"/>
          <w:strike w:val="0"/>
          <w:color w:val="auto"/>
          <w:sz w:val="24"/>
          <w:u w:val="none"/>
          <w:lang w:val="en-US" w:eastAsia="zh-CN"/>
        </w:rPr>
      </w:pPr>
      <w:r>
        <w:rPr>
          <w:rFonts w:hint="eastAsia" w:ascii="宋体" w:hAnsi="宋体" w:eastAsia="宋体" w:cs="宋体"/>
          <w:b w:val="0"/>
          <w:i w:val="0"/>
          <w:strike w:val="0"/>
          <w:color w:val="auto"/>
          <w:sz w:val="24"/>
          <w:u w:val="none"/>
          <w:lang w:val="en-US" w:eastAsia="zh-CN"/>
        </w:rPr>
        <w:t>2.4.环境影响</w:t>
      </w:r>
      <w:r>
        <w:rPr>
          <w:rFonts w:hint="eastAsia" w:ascii="宋体" w:hAnsi="宋体" w:cs="宋体"/>
          <w:b w:val="0"/>
          <w:i w:val="0"/>
          <w:strike w:val="0"/>
          <w:color w:val="auto"/>
          <w:sz w:val="24"/>
          <w:u w:val="none"/>
          <w:lang w:val="en-US" w:eastAsia="zh-CN"/>
        </w:rPr>
        <w:t>方面</w:t>
      </w:r>
      <w:r>
        <w:rPr>
          <w:rFonts w:hint="eastAsia" w:ascii="宋体" w:hAnsi="宋体" w:eastAsia="宋体" w:cs="宋体"/>
          <w:b w:val="0"/>
          <w:i w:val="0"/>
          <w:strike w:val="0"/>
          <w:color w:val="auto"/>
          <w:sz w:val="24"/>
          <w:u w:val="none"/>
          <w:lang w:val="en-US" w:eastAsia="zh-CN"/>
        </w:rPr>
        <w:t>，评估安装调试活动对周边环境的潜在影响，采取必要的环保措施，如控制噪音、减少粉尘等。</w:t>
      </w:r>
    </w:p>
    <w:p w14:paraId="736DFAEA">
      <w:pPr>
        <w:numPr>
          <w:ilvl w:val="0"/>
          <w:numId w:val="0"/>
        </w:numPr>
        <w:ind w:left="239" w:leftChars="114" w:firstLine="0" w:firstLineChars="0"/>
        <w:rPr>
          <w:rFonts w:hint="default" w:ascii="宋体" w:hAnsi="宋体" w:cs="宋体"/>
          <w:b/>
          <w:bCs/>
          <w:color w:val="auto"/>
          <w:kern w:val="0"/>
          <w:sz w:val="28"/>
          <w:szCs w:val="22"/>
          <w:lang w:val="en-US" w:eastAsia="zh-CN"/>
        </w:rPr>
      </w:pPr>
      <w:r>
        <w:rPr>
          <w:rFonts w:hint="eastAsia" w:ascii="宋体" w:hAnsi="宋体" w:eastAsia="宋体" w:cs="宋体"/>
          <w:b w:val="0"/>
          <w:i w:val="0"/>
          <w:strike w:val="0"/>
          <w:color w:val="auto"/>
          <w:sz w:val="24"/>
          <w:u w:val="none"/>
          <w:lang w:val="en-US" w:eastAsia="zh-CN"/>
        </w:rPr>
        <w:t>2.5.政策法规</w:t>
      </w:r>
      <w:r>
        <w:rPr>
          <w:rFonts w:hint="eastAsia" w:ascii="宋体" w:hAnsi="宋体" w:cs="宋体"/>
          <w:b w:val="0"/>
          <w:i w:val="0"/>
          <w:strike w:val="0"/>
          <w:color w:val="auto"/>
          <w:sz w:val="24"/>
          <w:u w:val="none"/>
          <w:lang w:val="en-US" w:eastAsia="zh-CN"/>
        </w:rPr>
        <w:t>方面</w:t>
      </w:r>
      <w:r>
        <w:rPr>
          <w:rFonts w:hint="eastAsia" w:ascii="宋体" w:hAnsi="宋体" w:eastAsia="宋体" w:cs="宋体"/>
          <w:b w:val="0"/>
          <w:i w:val="0"/>
          <w:strike w:val="0"/>
          <w:color w:val="auto"/>
          <w:sz w:val="24"/>
          <w:u w:val="none"/>
          <w:lang w:val="en-US" w:eastAsia="zh-CN"/>
        </w:rPr>
        <w:t>，严格遵守国家和地方相关政策法规，确保安装调试活动合法合规。2.6.风险</w:t>
      </w:r>
      <w:r>
        <w:rPr>
          <w:rFonts w:hint="eastAsia" w:ascii="宋体" w:hAnsi="宋体" w:cs="宋体"/>
          <w:b w:val="0"/>
          <w:i w:val="0"/>
          <w:strike w:val="0"/>
          <w:color w:val="auto"/>
          <w:sz w:val="24"/>
          <w:u w:val="none"/>
          <w:lang w:val="en-US" w:eastAsia="zh-CN"/>
        </w:rPr>
        <w:t>方面</w:t>
      </w:r>
      <w:r>
        <w:rPr>
          <w:rFonts w:hint="eastAsia" w:ascii="宋体" w:hAnsi="宋体" w:eastAsia="宋体" w:cs="宋体"/>
          <w:b w:val="0"/>
          <w:i w:val="0"/>
          <w:strike w:val="0"/>
          <w:color w:val="auto"/>
          <w:sz w:val="24"/>
          <w:u w:val="none"/>
          <w:lang w:val="en-US" w:eastAsia="zh-CN"/>
        </w:rPr>
        <w:t>，全面识别可能面临的风险，如技术难题、资源短缺、政策变动等，并制定相应的风险应对措施。</w:t>
      </w:r>
    </w:p>
    <w:p w14:paraId="0D8CDB26">
      <w:pPr>
        <w:rPr>
          <w:rFonts w:hint="eastAsia" w:ascii="宋体" w:hAnsi="宋体" w:cs="宋体"/>
          <w:b/>
          <w:bCs/>
          <w:color w:val="auto"/>
          <w:kern w:val="0"/>
          <w:sz w:val="28"/>
          <w:szCs w:val="22"/>
        </w:rPr>
      </w:pPr>
      <w:r>
        <w:rPr>
          <w:rFonts w:hint="eastAsia" w:ascii="宋体" w:hAnsi="宋体" w:cs="宋体"/>
          <w:b/>
          <w:bCs/>
          <w:color w:val="auto"/>
          <w:kern w:val="0"/>
          <w:sz w:val="28"/>
          <w:szCs w:val="22"/>
          <w:lang w:val="en-US" w:eastAsia="zh-CN"/>
        </w:rPr>
        <w:t>四</w:t>
      </w:r>
      <w:r>
        <w:rPr>
          <w:rFonts w:hint="eastAsia" w:ascii="宋体" w:hAnsi="宋体" w:cs="宋体"/>
          <w:b/>
          <w:bCs/>
          <w:color w:val="auto"/>
          <w:kern w:val="0"/>
          <w:sz w:val="28"/>
          <w:szCs w:val="22"/>
        </w:rPr>
        <w:t>、商务要求</w:t>
      </w:r>
    </w:p>
    <w:p w14:paraId="6FC00B81">
      <w:pPr>
        <w:pStyle w:val="44"/>
        <w:rPr>
          <w:rFonts w:hint="eastAsia" w:hAnsi="宋体"/>
          <w:color w:val="auto"/>
        </w:rPr>
      </w:pPr>
      <w:r>
        <w:rPr>
          <w:rFonts w:hAnsi="宋体"/>
          <w:color w:val="auto"/>
        </w:rPr>
        <w:t xml:space="preserve">1、交货地点：采购人指定地点。 </w:t>
      </w:r>
    </w:p>
    <w:p w14:paraId="358657BD">
      <w:pPr>
        <w:pStyle w:val="44"/>
        <w:rPr>
          <w:rFonts w:hint="eastAsia" w:hAnsi="宋体"/>
          <w:color w:val="auto"/>
        </w:rPr>
      </w:pPr>
      <w:r>
        <w:rPr>
          <w:rFonts w:hAnsi="宋体"/>
          <w:color w:val="auto"/>
        </w:rPr>
        <w:t>2、交货及安装期：</w:t>
      </w:r>
      <w:r>
        <w:rPr>
          <w:rFonts w:hint="eastAsia" w:hAnsi="宋体"/>
          <w:color w:val="auto"/>
        </w:rPr>
        <w:t>合同签订后</w:t>
      </w:r>
      <w:r>
        <w:rPr>
          <w:rFonts w:hint="eastAsia" w:hAnsi="宋体"/>
          <w:color w:val="auto"/>
          <w:lang w:val="en-US" w:eastAsia="zh-CN"/>
        </w:rPr>
        <w:t>3个月</w:t>
      </w:r>
      <w:r>
        <w:rPr>
          <w:rFonts w:hint="eastAsia" w:hAnsi="宋体"/>
          <w:color w:val="auto"/>
        </w:rPr>
        <w:t>内完成供货、安装及调试工作</w:t>
      </w:r>
      <w:r>
        <w:rPr>
          <w:rFonts w:hAnsi="宋体"/>
          <w:color w:val="auto"/>
        </w:rPr>
        <w:t xml:space="preserve">。 </w:t>
      </w:r>
    </w:p>
    <w:p w14:paraId="7DE0BB82">
      <w:pPr>
        <w:pStyle w:val="44"/>
        <w:rPr>
          <w:rFonts w:hint="eastAsia" w:hAnsi="宋体"/>
          <w:color w:val="auto"/>
        </w:rPr>
      </w:pPr>
      <w:r>
        <w:rPr>
          <w:rFonts w:hAnsi="宋体"/>
          <w:color w:val="auto"/>
        </w:rPr>
        <w:t xml:space="preserve">3、质量标准：合格，符合行业相关规范及采购人要求。 </w:t>
      </w:r>
    </w:p>
    <w:p w14:paraId="31865FDD">
      <w:pPr>
        <w:pStyle w:val="44"/>
        <w:rPr>
          <w:rFonts w:hint="eastAsia" w:hAnsi="宋体"/>
          <w:color w:val="auto"/>
        </w:rPr>
      </w:pPr>
      <w:r>
        <w:rPr>
          <w:rFonts w:hAnsi="宋体"/>
          <w:color w:val="auto"/>
        </w:rPr>
        <w:t xml:space="preserve">4、验收：由最终用户组织验收。 </w:t>
      </w:r>
    </w:p>
    <w:p w14:paraId="0B188205">
      <w:pPr>
        <w:pStyle w:val="44"/>
        <w:rPr>
          <w:rFonts w:hint="eastAsia" w:hAnsi="宋体"/>
          <w:color w:val="auto"/>
        </w:rPr>
      </w:pPr>
      <w:r>
        <w:rPr>
          <w:rFonts w:hAnsi="宋体"/>
          <w:color w:val="auto"/>
        </w:rPr>
        <w:t xml:space="preserve">5、质保期：免费质保1年，质保期内如果出现质量问题，成交供应商应当无条件更换， 由于质量问题造成的损失由成交供应商负全部责任。 </w:t>
      </w:r>
    </w:p>
    <w:p w14:paraId="7FE9443B">
      <w:pPr>
        <w:pStyle w:val="44"/>
        <w:rPr>
          <w:rFonts w:hAnsi="宋体"/>
          <w:color w:val="auto"/>
        </w:rPr>
      </w:pPr>
      <w:r>
        <w:rPr>
          <w:rFonts w:hint="eastAsia" w:hAnsi="宋体"/>
          <w:color w:val="auto"/>
        </w:rPr>
        <w:t>6、</w:t>
      </w:r>
      <w:r>
        <w:rPr>
          <w:rFonts w:hAnsi="宋体"/>
          <w:color w:val="auto"/>
        </w:rPr>
        <w:t>售后服务</w:t>
      </w:r>
      <w:r>
        <w:rPr>
          <w:rFonts w:hint="eastAsia" w:hAnsi="宋体"/>
          <w:color w:val="auto"/>
          <w:lang w:val="en-US" w:eastAsia="zh-CN"/>
        </w:rPr>
        <w:t>要求</w:t>
      </w:r>
      <w:r>
        <w:rPr>
          <w:rFonts w:hAnsi="宋体"/>
          <w:color w:val="auto"/>
        </w:rPr>
        <w:t>：</w:t>
      </w:r>
    </w:p>
    <w:p w14:paraId="35D9C323">
      <w:pPr>
        <w:pStyle w:val="44"/>
        <w:ind w:firstLine="480" w:firstLineChars="200"/>
        <w:rPr>
          <w:rFonts w:hint="eastAsia" w:hAnsi="宋体"/>
          <w:color w:val="auto"/>
          <w:lang w:val="en-US" w:eastAsia="zh-CN"/>
        </w:rPr>
      </w:pPr>
      <w:r>
        <w:rPr>
          <w:rFonts w:hint="eastAsia" w:hAnsi="宋体"/>
          <w:color w:val="auto"/>
          <w:lang w:val="en-US" w:eastAsia="zh-CN"/>
        </w:rPr>
        <w:t>6.1.在质量问题的处理方面，需明确质量问题界定标准，建立快速响应机制（2小时响应，24小时内上门解决问题），一旦出现质量问题，在规定时间内到达现场进行诊断，并根据问题严重程度提供维修、更换等解决方案。</w:t>
      </w:r>
    </w:p>
    <w:p w14:paraId="7DF5F42B">
      <w:pPr>
        <w:pStyle w:val="44"/>
        <w:ind w:firstLine="480" w:firstLineChars="200"/>
        <w:rPr>
          <w:rFonts w:hint="eastAsia" w:hAnsi="宋体"/>
          <w:color w:val="auto"/>
          <w:lang w:val="en-US" w:eastAsia="zh-CN"/>
        </w:rPr>
      </w:pPr>
      <w:r>
        <w:rPr>
          <w:rFonts w:hint="eastAsia" w:hAnsi="宋体"/>
          <w:color w:val="auto"/>
          <w:lang w:val="en-US" w:eastAsia="zh-CN"/>
        </w:rPr>
        <w:t>6.2.使用人员培训方面，要制定详细培训计划，涵盖设备基础操作、安全注意事项等内容，培训方式可包括现场实操教学、线上视频课程等，确保使用人员熟练掌握设备使用方法。</w:t>
      </w:r>
    </w:p>
    <w:p w14:paraId="7162A695">
      <w:pPr>
        <w:pStyle w:val="44"/>
        <w:ind w:firstLine="480" w:firstLineChars="200"/>
        <w:rPr>
          <w:rFonts w:hint="eastAsia" w:hAnsi="宋体"/>
          <w:color w:val="auto"/>
          <w:lang w:val="en-US" w:eastAsia="zh-CN"/>
        </w:rPr>
      </w:pPr>
      <w:r>
        <w:rPr>
          <w:rFonts w:hint="eastAsia" w:hAnsi="宋体"/>
          <w:color w:val="auto"/>
          <w:lang w:val="en-US" w:eastAsia="zh-CN"/>
        </w:rPr>
        <w:t>6.3.备品备件供应方面，需建立充足备品备件库存，明确备品备件清单及库存数量，保证在设备出现故障时能及时提供所需备件，同时要优化备件供应流程，确保备件快速送达。</w:t>
      </w:r>
    </w:p>
    <w:p w14:paraId="7C7C88B4">
      <w:pPr>
        <w:pStyle w:val="44"/>
        <w:ind w:firstLine="480" w:firstLineChars="200"/>
        <w:rPr>
          <w:rFonts w:hint="eastAsia" w:hAnsi="宋体"/>
          <w:color w:val="auto"/>
          <w:lang w:val="en-US" w:eastAsia="zh-CN"/>
        </w:rPr>
      </w:pPr>
      <w:r>
        <w:rPr>
          <w:rFonts w:hint="eastAsia" w:hAnsi="宋体"/>
          <w:color w:val="auto"/>
          <w:lang w:val="en-US" w:eastAsia="zh-CN"/>
        </w:rPr>
        <w:t>6.4.定期维护与故障维修方面，制定定期维护计划，明确维护周期、维护项目及维护标准，定期对设备进行全面检查和保养。对于故障维修，要建立故障报修渠道，维修人员接到报修后迅速响应，及时排除故障，质保期内提供免费上门服务，质保期外的收费按相关行业规则或由双方协商收取。</w:t>
      </w:r>
    </w:p>
    <w:p w14:paraId="38FB4007">
      <w:pPr>
        <w:pStyle w:val="44"/>
        <w:ind w:firstLine="480" w:firstLineChars="200"/>
        <w:rPr>
          <w:rFonts w:hint="eastAsia" w:hAnsi="宋体"/>
          <w:color w:val="auto"/>
          <w:lang w:val="en-US" w:eastAsia="zh-CN"/>
        </w:rPr>
      </w:pPr>
      <w:r>
        <w:rPr>
          <w:rFonts w:hint="eastAsia" w:hAnsi="宋体"/>
          <w:color w:val="auto"/>
          <w:lang w:val="en-US" w:eastAsia="zh-CN"/>
        </w:rPr>
        <w:t>6.5.采购人反馈与投诉处理方面，设立专门反馈与投诉渠道，如客服热线、在线反馈平台等，对采购人反馈和投诉进行及时记录和跟进，在规定时间内给予采购人满意答复和处理结果。</w:t>
      </w:r>
    </w:p>
    <w:p w14:paraId="6A0ED76C">
      <w:pPr>
        <w:pStyle w:val="44"/>
        <w:rPr>
          <w:rFonts w:hAnsi="宋体"/>
          <w:color w:val="auto"/>
        </w:rPr>
      </w:pPr>
    </w:p>
    <w:p w14:paraId="3D21E6F1">
      <w:pPr>
        <w:pStyle w:val="44"/>
        <w:rPr>
          <w:b/>
          <w:bCs/>
          <w:color w:val="auto"/>
        </w:rPr>
      </w:pPr>
    </w:p>
    <w:p w14:paraId="58A575E1">
      <w:pPr>
        <w:widowControl/>
        <w:jc w:val="left"/>
        <w:rPr>
          <w:color w:val="auto"/>
        </w:rPr>
      </w:pPr>
    </w:p>
    <w:p w14:paraId="5EA819C5">
      <w:pPr>
        <w:widowControl/>
        <w:jc w:val="left"/>
        <w:rPr>
          <w:rFonts w:hint="eastAsia" w:ascii="宋体" w:hAnsi="宋体" w:cs="宋体"/>
          <w:color w:val="auto"/>
          <w:kern w:val="0"/>
          <w:sz w:val="22"/>
        </w:rPr>
      </w:pPr>
      <w:r>
        <w:rPr>
          <w:rFonts w:hint="eastAsia" w:ascii="宋体" w:hAnsi="宋体" w:cs="宋体"/>
          <w:color w:val="auto"/>
          <w:kern w:val="0"/>
          <w:sz w:val="22"/>
        </w:rPr>
        <w:br w:type="page"/>
      </w:r>
    </w:p>
    <w:p w14:paraId="71F17D05">
      <w:pPr>
        <w:pStyle w:val="3"/>
        <w:ind w:firstLine="0"/>
        <w:rPr>
          <w:rFonts w:hint="eastAsia" w:ascii="宋体" w:hAnsi="宋体" w:eastAsia="宋体" w:cs="宋体"/>
          <w:color w:val="auto"/>
        </w:rPr>
      </w:pPr>
      <w:r>
        <w:rPr>
          <w:rFonts w:hint="eastAsia" w:ascii="宋体" w:hAnsi="宋体" w:eastAsia="宋体" w:cs="宋体"/>
          <w:color w:val="auto"/>
        </w:rPr>
        <w:t>第</w:t>
      </w:r>
      <w:bookmarkStart w:id="52" w:name="_Hlt240110027"/>
      <w:bookmarkEnd w:id="52"/>
      <w:r>
        <w:rPr>
          <w:rFonts w:hint="eastAsia" w:ascii="宋体" w:hAnsi="宋体" w:eastAsia="宋体" w:cs="宋体"/>
          <w:color w:val="auto"/>
        </w:rPr>
        <w:t>四章 评标办法</w:t>
      </w:r>
    </w:p>
    <w:p w14:paraId="58561C94">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cs="宋体"/>
          <w:b/>
          <w:color w:val="auto"/>
          <w:sz w:val="24"/>
        </w:rPr>
      </w:pPr>
      <w:bookmarkStart w:id="53" w:name="_Toc10750_WPSOffice_Level2"/>
      <w:r>
        <w:rPr>
          <w:rFonts w:hint="eastAsia" w:ascii="宋体" w:hAnsi="宋体" w:cs="宋体"/>
          <w:b/>
          <w:color w:val="auto"/>
          <w:sz w:val="24"/>
        </w:rPr>
        <w:t>一．总  则</w:t>
      </w:r>
      <w:bookmarkEnd w:id="53"/>
    </w:p>
    <w:p w14:paraId="7A934C07">
      <w:pPr>
        <w:adjustRightInd w:val="0"/>
        <w:snapToGrid w:val="0"/>
        <w:spacing w:line="360" w:lineRule="auto"/>
        <w:ind w:right="-10" w:firstLine="422" w:firstLineChars="175"/>
        <w:rPr>
          <w:rFonts w:hint="eastAsia" w:ascii="宋体" w:hAnsi="宋体" w:cs="宋体"/>
          <w:b/>
          <w:bCs/>
          <w:color w:val="auto"/>
          <w:sz w:val="24"/>
        </w:rPr>
      </w:pPr>
      <w:r>
        <w:rPr>
          <w:rFonts w:hint="eastAsia" w:ascii="宋体" w:hAnsi="宋体" w:cs="宋体"/>
          <w:b/>
          <w:bCs/>
          <w:color w:val="auto"/>
          <w:sz w:val="24"/>
        </w:rPr>
        <w:t xml:space="preserve">第一条 </w:t>
      </w:r>
      <w:r>
        <w:rPr>
          <w:rFonts w:hint="eastAsia" w:ascii="宋体" w:hAnsi="宋体" w:cs="宋体"/>
          <w:color w:val="auto"/>
          <w:sz w:val="24"/>
        </w:rPr>
        <w:t>为了做好本项目（项目编号:郸财招标采购-2025-</w:t>
      </w:r>
      <w:r>
        <w:rPr>
          <w:rFonts w:hint="eastAsia" w:ascii="宋体" w:hAnsi="宋体" w:cs="宋体"/>
          <w:color w:val="auto"/>
          <w:sz w:val="24"/>
          <w:lang w:val="en-US" w:eastAsia="zh-CN"/>
        </w:rPr>
        <w:t>30</w:t>
      </w:r>
      <w:r>
        <w:rPr>
          <w:rFonts w:hint="eastAsia" w:ascii="宋体" w:hAnsi="宋体" w:cs="宋体"/>
          <w:color w:val="auto"/>
          <w:sz w:val="24"/>
        </w:rPr>
        <w:t>）的招标评标工作，保证项目评审工作的正常有序进行，维护采购人、投标人的合法权益，依据《中华人民共和国政府采购法》及其它相关法律法规，本着公开、公平、公正的原则，制定评标办法。</w:t>
      </w:r>
    </w:p>
    <w:p w14:paraId="7FD8A8D1">
      <w:pPr>
        <w:adjustRightInd w:val="0"/>
        <w:snapToGrid w:val="0"/>
        <w:spacing w:line="360" w:lineRule="auto"/>
        <w:ind w:right="-10" w:firstLine="422" w:firstLineChars="175"/>
        <w:rPr>
          <w:rFonts w:hint="eastAsia" w:ascii="宋体" w:hAnsi="宋体" w:cs="宋体"/>
          <w:color w:val="auto"/>
          <w:sz w:val="24"/>
        </w:rPr>
      </w:pPr>
      <w:r>
        <w:rPr>
          <w:rFonts w:hint="eastAsia" w:ascii="宋体" w:hAnsi="宋体" w:cs="宋体"/>
          <w:b/>
          <w:bCs/>
          <w:color w:val="auto"/>
          <w:sz w:val="24"/>
        </w:rPr>
        <w:t xml:space="preserve">第二条 </w:t>
      </w:r>
      <w:r>
        <w:rPr>
          <w:rFonts w:hint="eastAsia" w:ascii="宋体" w:hAnsi="宋体" w:cs="宋体"/>
          <w:color w:val="auto"/>
          <w:sz w:val="24"/>
        </w:rPr>
        <w:t>本次项目评标采用综合评分法作为对投标人标书的比较方法。</w:t>
      </w:r>
    </w:p>
    <w:p w14:paraId="35D158EE">
      <w:pPr>
        <w:adjustRightInd w:val="0"/>
        <w:snapToGrid w:val="0"/>
        <w:spacing w:line="360" w:lineRule="auto"/>
        <w:ind w:left="-61" w:leftChars="-29" w:right="-10" w:firstLine="482" w:firstLineChars="200"/>
        <w:rPr>
          <w:rFonts w:hint="eastAsia" w:ascii="宋体" w:hAnsi="宋体" w:cs="宋体"/>
          <w:color w:val="auto"/>
          <w:sz w:val="24"/>
        </w:rPr>
      </w:pPr>
      <w:r>
        <w:rPr>
          <w:rFonts w:hint="eastAsia" w:ascii="宋体" w:hAnsi="宋体" w:cs="宋体"/>
          <w:b/>
          <w:color w:val="auto"/>
          <w:sz w:val="24"/>
        </w:rPr>
        <w:t xml:space="preserve">第三条 </w:t>
      </w:r>
      <w:r>
        <w:rPr>
          <w:rFonts w:hint="eastAsia" w:ascii="宋体" w:hAnsi="宋体" w:cs="宋体"/>
          <w:color w:val="auto"/>
          <w:sz w:val="24"/>
        </w:rPr>
        <w:t>按照《中华人民共和国政府采购法》及其相关规定组成评标委员会负责本项目的评审工作。评标委员会</w:t>
      </w:r>
      <w:r>
        <w:rPr>
          <w:rFonts w:hint="eastAsia" w:ascii="宋体" w:hAnsi="宋体" w:cs="宋体"/>
          <w:color w:val="auto"/>
          <w:sz w:val="24"/>
          <w:szCs w:val="22"/>
        </w:rPr>
        <w:t>在政府采购专家库中随机抽取。</w:t>
      </w:r>
    </w:p>
    <w:p w14:paraId="3B4D77CE">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第四条 </w:t>
      </w:r>
      <w:r>
        <w:rPr>
          <w:rFonts w:hint="eastAsia" w:ascii="宋体" w:hAnsi="宋体" w:cs="宋体"/>
          <w:color w:val="auto"/>
          <w:sz w:val="24"/>
        </w:rPr>
        <w:t>评委会按照“客观公正，实事求是”的原则，评价参加本次招标的投标人所提供的产品价格、性能、质量、服务及对招标文件的符合性及响应性。</w:t>
      </w:r>
    </w:p>
    <w:p w14:paraId="25F9EF68">
      <w:pPr>
        <w:adjustRightInd w:val="0"/>
        <w:snapToGrid w:val="0"/>
        <w:spacing w:line="360" w:lineRule="auto"/>
        <w:jc w:val="center"/>
        <w:rPr>
          <w:rFonts w:hint="eastAsia" w:ascii="宋体" w:hAnsi="宋体" w:cs="宋体"/>
          <w:color w:val="auto"/>
          <w:sz w:val="24"/>
        </w:rPr>
      </w:pPr>
      <w:bookmarkStart w:id="54" w:name="_Toc31922_WPSOffice_Level2"/>
      <w:r>
        <w:rPr>
          <w:rFonts w:hint="eastAsia" w:ascii="宋体" w:hAnsi="宋体" w:cs="宋体"/>
          <w:b/>
          <w:color w:val="auto"/>
          <w:sz w:val="24"/>
        </w:rPr>
        <w:t>二．评标程序及评审细则</w:t>
      </w:r>
      <w:bookmarkEnd w:id="54"/>
    </w:p>
    <w:p w14:paraId="00622CE5">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第五条</w:t>
      </w:r>
      <w:r>
        <w:rPr>
          <w:rFonts w:hint="eastAsia" w:ascii="宋体" w:hAnsi="宋体" w:cs="宋体"/>
          <w:bCs/>
          <w:color w:val="auto"/>
          <w:sz w:val="24"/>
        </w:rPr>
        <w:t xml:space="preserve"> 评标工作于开标后进行。评委会应认真研究招标文件，至少应了解和熟悉以下内容：</w:t>
      </w:r>
    </w:p>
    <w:p w14:paraId="516104F0">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（一）招标的目标；</w:t>
      </w:r>
    </w:p>
    <w:p w14:paraId="12074A6D">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（二）招标项目的范围和性质；</w:t>
      </w:r>
    </w:p>
    <w:p w14:paraId="3CBEF44A">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（三）招标文件中规定的主要技术要求、标准和商务条款；</w:t>
      </w:r>
    </w:p>
    <w:p w14:paraId="04AE99AC">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（四）招标文件规定的评标标准、评标方法和在评标过程中考虑的相关因素。</w:t>
      </w:r>
    </w:p>
    <w:p w14:paraId="394A0658">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第六条</w:t>
      </w:r>
      <w:r>
        <w:rPr>
          <w:rFonts w:hint="eastAsia" w:ascii="宋体" w:hAnsi="宋体" w:cs="宋体"/>
          <w:bCs/>
          <w:color w:val="auto"/>
          <w:sz w:val="24"/>
        </w:rPr>
        <w:t xml:space="preserve"> 有效投标应符合以下原则：</w:t>
      </w:r>
    </w:p>
    <w:p w14:paraId="67E233E9">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（一）满足招标文件的实质性要求；</w:t>
      </w:r>
    </w:p>
    <w:p w14:paraId="6BEE5898">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（二）无重大偏离、保留或采购人不能接受的附加条件；</w:t>
      </w:r>
    </w:p>
    <w:p w14:paraId="31C9AF16">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（三）通过投标符合性审查；</w:t>
      </w:r>
    </w:p>
    <w:p w14:paraId="214EC02D">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（四）评委会依据招标文件认定的其他原则；</w:t>
      </w:r>
    </w:p>
    <w:p w14:paraId="652F4860">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（五）商务偏差表或技术偏差表数据不存在弄虚作假现象；</w:t>
      </w:r>
    </w:p>
    <w:p w14:paraId="61F87665">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（六）投标人报价未超过采购人的采购预算；</w:t>
      </w:r>
    </w:p>
    <w:p w14:paraId="13E2F3A2">
      <w:pPr>
        <w:adjustRightInd w:val="0"/>
        <w:snapToGrid w:val="0"/>
        <w:spacing w:line="360" w:lineRule="auto"/>
        <w:ind w:right="-10" w:firstLine="482" w:firstLineChars="200"/>
        <w:rPr>
          <w:rFonts w:hint="eastAsia" w:ascii="宋体" w:hAnsi="宋体" w:cs="宋体"/>
          <w:bCs/>
          <w:color w:val="auto"/>
          <w:sz w:val="24"/>
          <w:szCs w:val="22"/>
        </w:rPr>
      </w:pPr>
      <w:r>
        <w:rPr>
          <w:rFonts w:hint="eastAsia" w:ascii="宋体" w:hAnsi="宋体" w:cs="宋体"/>
          <w:b/>
          <w:color w:val="auto"/>
          <w:sz w:val="24"/>
        </w:rPr>
        <w:t xml:space="preserve">第七条 </w:t>
      </w:r>
      <w:r>
        <w:rPr>
          <w:rFonts w:hint="eastAsia" w:ascii="宋体" w:hAnsi="宋体" w:cs="宋体"/>
          <w:color w:val="auto"/>
          <w:sz w:val="24"/>
        </w:rPr>
        <w:t>评委会从每个投标人的投标文件开始独立评审，对开标后投标人所提出的优惠条件不予以考虑。按</w:t>
      </w:r>
      <w:r>
        <w:rPr>
          <w:rFonts w:hint="eastAsia" w:ascii="宋体" w:hAnsi="宋体" w:cs="宋体"/>
          <w:bCs/>
          <w:color w:val="auto"/>
          <w:sz w:val="24"/>
          <w:szCs w:val="22"/>
        </w:rPr>
        <w:t>综合得分从高到低的顺序评出中标候选人。</w:t>
      </w:r>
    </w:p>
    <w:p w14:paraId="04A959C2">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第八条 </w:t>
      </w:r>
      <w:r>
        <w:rPr>
          <w:rFonts w:hint="eastAsia" w:ascii="宋体" w:hAnsi="宋体" w:cs="宋体"/>
          <w:color w:val="auto"/>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FE51B06">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第九条</w:t>
      </w:r>
      <w:r>
        <w:rPr>
          <w:rFonts w:hint="eastAsia" w:ascii="宋体" w:hAnsi="宋体" w:cs="宋体"/>
          <w:color w:val="auto"/>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2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3209"/>
      </w:tblGrid>
      <w:tr w14:paraId="23EF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9004" w:type="dxa"/>
            <w:gridSpan w:val="5"/>
            <w:vAlign w:val="center"/>
          </w:tcPr>
          <w:p w14:paraId="434AB42F">
            <w:pPr>
              <w:pStyle w:val="50"/>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rPr>
            </w:pPr>
            <w:r>
              <w:rPr>
                <w:rFonts w:hint="eastAsia" w:ascii="宋体" w:hAnsi="宋体" w:cs="宋体"/>
                <w:b/>
                <w:color w:val="auto"/>
                <w:kern w:val="2"/>
              </w:rPr>
              <w:t>项目符合性审查表</w:t>
            </w:r>
          </w:p>
        </w:tc>
      </w:tr>
      <w:tr w14:paraId="66A1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2D20927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005" w:type="dxa"/>
            <w:tcBorders>
              <w:bottom w:val="single" w:color="auto" w:sz="4" w:space="0"/>
            </w:tcBorders>
            <w:vAlign w:val="center"/>
          </w:tcPr>
          <w:p w14:paraId="559EBD29">
            <w:pPr>
              <w:pStyle w:val="50"/>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353" w:type="dxa"/>
            <w:tcBorders>
              <w:bottom w:val="single" w:color="auto" w:sz="4" w:space="0"/>
            </w:tcBorders>
            <w:vAlign w:val="center"/>
          </w:tcPr>
          <w:p w14:paraId="45CBAC0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725" w:type="dxa"/>
            <w:tcBorders>
              <w:bottom w:val="single" w:color="auto" w:sz="4" w:space="0"/>
            </w:tcBorders>
            <w:vAlign w:val="center"/>
          </w:tcPr>
          <w:p w14:paraId="3192819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5C829F4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3209" w:type="dxa"/>
            <w:tcBorders>
              <w:bottom w:val="single" w:color="auto" w:sz="4" w:space="0"/>
            </w:tcBorders>
            <w:vAlign w:val="center"/>
          </w:tcPr>
          <w:p w14:paraId="1A243DD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7B64D73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7754E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5149F27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005" w:type="dxa"/>
            <w:vAlign w:val="center"/>
          </w:tcPr>
          <w:p w14:paraId="1CE85451">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投标人资格</w:t>
            </w:r>
          </w:p>
        </w:tc>
        <w:tc>
          <w:tcPr>
            <w:tcW w:w="2353" w:type="dxa"/>
            <w:vAlign w:val="center"/>
          </w:tcPr>
          <w:p w14:paraId="17F77607">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vAlign w:val="center"/>
          </w:tcPr>
          <w:p w14:paraId="0B77B2C7">
            <w:pPr>
              <w:adjustRightInd w:val="0"/>
              <w:snapToGrid w:val="0"/>
              <w:spacing w:line="360" w:lineRule="auto"/>
              <w:ind w:right="-10"/>
              <w:rPr>
                <w:rFonts w:hint="eastAsia" w:ascii="宋体" w:hAnsi="宋体" w:cs="宋体"/>
                <w:color w:val="auto"/>
                <w:sz w:val="24"/>
              </w:rPr>
            </w:pPr>
          </w:p>
        </w:tc>
        <w:tc>
          <w:tcPr>
            <w:tcW w:w="3209" w:type="dxa"/>
            <w:vAlign w:val="center"/>
          </w:tcPr>
          <w:p w14:paraId="0A1233A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F7B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0EA901D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005" w:type="dxa"/>
            <w:vAlign w:val="center"/>
          </w:tcPr>
          <w:p w14:paraId="04B95D12">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货物技术要求</w:t>
            </w:r>
          </w:p>
        </w:tc>
        <w:tc>
          <w:tcPr>
            <w:tcW w:w="2353" w:type="dxa"/>
            <w:vAlign w:val="center"/>
          </w:tcPr>
          <w:p w14:paraId="56343096">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按评标办法</w:t>
            </w:r>
          </w:p>
        </w:tc>
        <w:tc>
          <w:tcPr>
            <w:tcW w:w="725" w:type="dxa"/>
            <w:vAlign w:val="center"/>
          </w:tcPr>
          <w:p w14:paraId="2B38DB69">
            <w:pPr>
              <w:adjustRightInd w:val="0"/>
              <w:snapToGrid w:val="0"/>
              <w:spacing w:line="360" w:lineRule="auto"/>
              <w:ind w:right="-10"/>
              <w:rPr>
                <w:rFonts w:hint="eastAsia" w:ascii="宋体" w:hAnsi="宋体" w:cs="宋体"/>
                <w:color w:val="auto"/>
                <w:sz w:val="24"/>
              </w:rPr>
            </w:pPr>
          </w:p>
        </w:tc>
        <w:tc>
          <w:tcPr>
            <w:tcW w:w="3209" w:type="dxa"/>
            <w:vAlign w:val="center"/>
          </w:tcPr>
          <w:p w14:paraId="3F461AB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EB7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4D8AF7B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005" w:type="dxa"/>
            <w:vAlign w:val="center"/>
          </w:tcPr>
          <w:p w14:paraId="674DE8BE">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质保及售后等</w:t>
            </w:r>
          </w:p>
        </w:tc>
        <w:tc>
          <w:tcPr>
            <w:tcW w:w="2353" w:type="dxa"/>
            <w:vAlign w:val="center"/>
          </w:tcPr>
          <w:p w14:paraId="32E6A2E2">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vAlign w:val="center"/>
          </w:tcPr>
          <w:p w14:paraId="5503741E">
            <w:pPr>
              <w:adjustRightInd w:val="0"/>
              <w:snapToGrid w:val="0"/>
              <w:spacing w:line="360" w:lineRule="auto"/>
              <w:ind w:right="-10"/>
              <w:rPr>
                <w:rFonts w:hint="eastAsia" w:ascii="宋体" w:hAnsi="宋体" w:cs="宋体"/>
                <w:color w:val="auto"/>
                <w:sz w:val="24"/>
              </w:rPr>
            </w:pPr>
          </w:p>
        </w:tc>
        <w:tc>
          <w:tcPr>
            <w:tcW w:w="3209" w:type="dxa"/>
            <w:vAlign w:val="center"/>
          </w:tcPr>
          <w:p w14:paraId="008A8F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bl>
    <w:p w14:paraId="3E41AC9C">
      <w:pPr>
        <w:spacing w:line="360" w:lineRule="auto"/>
        <w:ind w:firstLine="482" w:firstLineChars="200"/>
        <w:rPr>
          <w:rFonts w:hint="eastAsia" w:ascii="宋体" w:hAnsi="宋体" w:cs="Arial"/>
          <w:color w:val="auto"/>
          <w:sz w:val="24"/>
          <w:szCs w:val="24"/>
        </w:rPr>
      </w:pPr>
      <w:r>
        <w:rPr>
          <w:rFonts w:hint="eastAsia" w:ascii="宋体" w:hAnsi="宋体"/>
          <w:b/>
          <w:bCs/>
          <w:color w:val="auto"/>
          <w:sz w:val="24"/>
        </w:rPr>
        <w:t>评分标准（满分为100分）</w:t>
      </w:r>
      <w:r>
        <w:rPr>
          <w:rFonts w:hint="eastAsia" w:ascii="宋体" w:hAnsi="宋体"/>
          <w:color w:val="auto"/>
          <w:sz w:val="24"/>
        </w:rPr>
        <w:t>说明:</w:t>
      </w:r>
      <w:r>
        <w:rPr>
          <w:rFonts w:hint="eastAsia" w:ascii="宋体" w:hAnsi="宋体" w:cs="Arial"/>
          <w:color w:val="auto"/>
          <w:sz w:val="24"/>
          <w:szCs w:val="24"/>
        </w:rPr>
        <w:t>各投标人的最终得分为各评委得分的算术平均值；评分分值计算保留小数点后两位，小数点后第三位“四舍五入”。</w:t>
      </w:r>
    </w:p>
    <w:bookmarkEnd w:id="51"/>
    <w:p w14:paraId="7887A20D">
      <w:pPr>
        <w:pStyle w:val="25"/>
        <w:spacing w:before="0" w:beforeAutospacing="0" w:after="0" w:afterAutospacing="0"/>
        <w:contextualSpacing/>
        <w:jc w:val="center"/>
        <w:rPr>
          <w:rFonts w:hint="eastAsia" w:cs="宋体"/>
          <w:color w:val="auto"/>
          <w:sz w:val="32"/>
          <w:szCs w:val="32"/>
        </w:rPr>
      </w:pPr>
      <w:r>
        <w:rPr>
          <w:rFonts w:hint="eastAsia" w:cs="宋体"/>
          <w:color w:val="auto"/>
          <w:sz w:val="32"/>
          <w:szCs w:val="32"/>
        </w:rPr>
        <w:t>评标办法</w:t>
      </w:r>
    </w:p>
    <w:tbl>
      <w:tblPr>
        <w:tblStyle w:val="29"/>
        <w:tblW w:w="52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
        <w:gridCol w:w="1311"/>
        <w:gridCol w:w="1256"/>
        <w:gridCol w:w="6748"/>
      </w:tblGrid>
      <w:tr w14:paraId="582F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 w:type="pct"/>
            <w:tcBorders>
              <w:top w:val="single" w:color="auto" w:sz="4" w:space="0"/>
              <w:left w:val="single" w:color="auto" w:sz="4" w:space="0"/>
              <w:bottom w:val="single" w:color="auto" w:sz="4" w:space="0"/>
              <w:right w:val="single" w:color="auto" w:sz="4" w:space="0"/>
            </w:tcBorders>
            <w:vAlign w:val="center"/>
          </w:tcPr>
          <w:p w14:paraId="0660D492">
            <w:pPr>
              <w:tabs>
                <w:tab w:val="left" w:pos="5130"/>
              </w:tabs>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序号</w:t>
            </w:r>
          </w:p>
        </w:tc>
        <w:tc>
          <w:tcPr>
            <w:tcW w:w="1310" w:type="pct"/>
            <w:gridSpan w:val="2"/>
            <w:tcBorders>
              <w:top w:val="single" w:color="auto" w:sz="4" w:space="0"/>
              <w:left w:val="single" w:color="auto" w:sz="4" w:space="0"/>
              <w:bottom w:val="single" w:color="auto" w:sz="4" w:space="0"/>
              <w:right w:val="single" w:color="auto" w:sz="4" w:space="0"/>
            </w:tcBorders>
            <w:vAlign w:val="center"/>
          </w:tcPr>
          <w:p w14:paraId="4BC7A4A7">
            <w:pPr>
              <w:tabs>
                <w:tab w:val="left" w:pos="5130"/>
              </w:tabs>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评分因素及权重</w:t>
            </w:r>
          </w:p>
        </w:tc>
        <w:tc>
          <w:tcPr>
            <w:tcW w:w="3443" w:type="pct"/>
            <w:tcBorders>
              <w:top w:val="single" w:color="auto" w:sz="4" w:space="0"/>
              <w:left w:val="single" w:color="auto" w:sz="4" w:space="0"/>
              <w:bottom w:val="single" w:color="auto" w:sz="4" w:space="0"/>
              <w:right w:val="single" w:color="auto" w:sz="4" w:space="0"/>
            </w:tcBorders>
            <w:vAlign w:val="center"/>
          </w:tcPr>
          <w:p w14:paraId="45047CAD">
            <w:pPr>
              <w:tabs>
                <w:tab w:val="left" w:pos="5130"/>
              </w:tabs>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评分标准</w:t>
            </w:r>
          </w:p>
        </w:tc>
      </w:tr>
      <w:tr w14:paraId="1A16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 w:type="pct"/>
            <w:tcBorders>
              <w:top w:val="single" w:color="auto" w:sz="4" w:space="0"/>
              <w:left w:val="single" w:color="auto" w:sz="4" w:space="0"/>
              <w:bottom w:val="single" w:color="auto" w:sz="4" w:space="0"/>
              <w:right w:val="single" w:color="auto" w:sz="4" w:space="0"/>
            </w:tcBorders>
            <w:vAlign w:val="center"/>
          </w:tcPr>
          <w:p w14:paraId="3B511707">
            <w:pPr>
              <w:spacing w:line="360" w:lineRule="auto"/>
              <w:ind w:right="27" w:rightChars="13"/>
              <w:jc w:val="center"/>
              <w:rPr>
                <w:rFonts w:hint="eastAsia" w:ascii="宋体" w:hAnsi="宋体" w:cs="宋体"/>
                <w:color w:val="auto"/>
                <w:sz w:val="24"/>
                <w:szCs w:val="24"/>
              </w:rPr>
            </w:pPr>
            <w:r>
              <w:rPr>
                <w:rFonts w:hint="eastAsia" w:ascii="宋体" w:hAnsi="宋体" w:cs="宋体"/>
                <w:color w:val="auto"/>
                <w:sz w:val="24"/>
                <w:szCs w:val="24"/>
              </w:rPr>
              <w:t>1</w:t>
            </w:r>
          </w:p>
        </w:tc>
        <w:tc>
          <w:tcPr>
            <w:tcW w:w="669" w:type="pct"/>
            <w:tcBorders>
              <w:top w:val="single" w:color="auto" w:sz="4" w:space="0"/>
              <w:left w:val="single" w:color="auto" w:sz="4" w:space="0"/>
              <w:bottom w:val="single" w:color="auto" w:sz="4" w:space="0"/>
              <w:right w:val="single" w:color="auto" w:sz="4" w:space="0"/>
            </w:tcBorders>
            <w:vAlign w:val="center"/>
          </w:tcPr>
          <w:p w14:paraId="30ED383E">
            <w:pPr>
              <w:tabs>
                <w:tab w:val="left" w:pos="5130"/>
              </w:tabs>
              <w:adjustRightInd w:val="0"/>
              <w:snapToGrid w:val="0"/>
              <w:spacing w:line="360" w:lineRule="auto"/>
              <w:rPr>
                <w:rFonts w:hint="eastAsia" w:ascii="宋体" w:hAnsi="宋体" w:cs="宋体"/>
                <w:bCs/>
                <w:color w:val="auto"/>
                <w:sz w:val="24"/>
                <w:szCs w:val="24"/>
              </w:rPr>
            </w:pPr>
            <w:r>
              <w:rPr>
                <w:rFonts w:hint="eastAsia" w:ascii="宋体" w:hAnsi="宋体" w:cs="宋体"/>
                <w:bCs/>
                <w:color w:val="auto"/>
                <w:sz w:val="24"/>
                <w:szCs w:val="24"/>
              </w:rPr>
              <w:t>投标报价（30分）</w:t>
            </w:r>
          </w:p>
          <w:p w14:paraId="17936E0E">
            <w:pPr>
              <w:spacing w:line="360" w:lineRule="auto"/>
              <w:ind w:right="27" w:rightChars="13"/>
              <w:jc w:val="center"/>
              <w:rPr>
                <w:rFonts w:hint="eastAsia" w:ascii="宋体" w:hAnsi="宋体" w:cs="宋体"/>
                <w:color w:val="auto"/>
                <w:sz w:val="24"/>
                <w:szCs w:val="24"/>
              </w:rPr>
            </w:pPr>
          </w:p>
        </w:tc>
        <w:tc>
          <w:tcPr>
            <w:tcW w:w="640" w:type="pct"/>
            <w:tcBorders>
              <w:top w:val="single" w:color="auto" w:sz="4" w:space="0"/>
              <w:left w:val="single" w:color="auto" w:sz="4" w:space="0"/>
              <w:bottom w:val="single" w:color="auto" w:sz="4" w:space="0"/>
              <w:right w:val="single" w:color="auto" w:sz="4" w:space="0"/>
            </w:tcBorders>
            <w:vAlign w:val="center"/>
          </w:tcPr>
          <w:p w14:paraId="0DF1C629">
            <w:pPr>
              <w:spacing w:line="360" w:lineRule="auto"/>
              <w:ind w:right="27" w:rightChars="13"/>
              <w:jc w:val="center"/>
              <w:rPr>
                <w:rFonts w:hint="eastAsia" w:ascii="宋体" w:hAnsi="宋体" w:cs="宋体"/>
                <w:color w:val="auto"/>
                <w:sz w:val="24"/>
                <w:szCs w:val="24"/>
              </w:rPr>
            </w:pPr>
            <w:r>
              <w:rPr>
                <w:rFonts w:hint="eastAsia" w:ascii="宋体" w:hAnsi="宋体" w:cs="宋体"/>
                <w:bCs/>
                <w:color w:val="auto"/>
                <w:sz w:val="24"/>
                <w:szCs w:val="24"/>
              </w:rPr>
              <w:t>投标报价（30分）</w:t>
            </w:r>
          </w:p>
        </w:tc>
        <w:tc>
          <w:tcPr>
            <w:tcW w:w="3443" w:type="pct"/>
            <w:tcBorders>
              <w:top w:val="single" w:color="auto" w:sz="4" w:space="0"/>
              <w:left w:val="single" w:color="auto" w:sz="4" w:space="0"/>
              <w:bottom w:val="single" w:color="auto" w:sz="4" w:space="0"/>
              <w:right w:val="single" w:color="auto" w:sz="4" w:space="0"/>
            </w:tcBorders>
            <w:vAlign w:val="center"/>
          </w:tcPr>
          <w:p w14:paraId="0F4BD9C8">
            <w:pPr>
              <w:tabs>
                <w:tab w:val="left" w:pos="5130"/>
              </w:tabs>
              <w:adjustRightInd w:val="0"/>
              <w:snapToGrid w:val="0"/>
              <w:spacing w:after="50" w:line="360" w:lineRule="auto"/>
              <w:ind w:right="-10"/>
              <w:jc w:val="left"/>
              <w:rPr>
                <w:rFonts w:hint="eastAsia" w:ascii="宋体" w:hAnsi="宋体" w:cs="宋体"/>
                <w:color w:val="auto"/>
                <w:sz w:val="24"/>
                <w:szCs w:val="28"/>
              </w:rPr>
            </w:pPr>
            <w:r>
              <w:rPr>
                <w:rFonts w:hint="eastAsia" w:ascii="宋体" w:hAnsi="宋体" w:cs="宋体"/>
                <w:color w:val="auto"/>
                <w:sz w:val="24"/>
                <w:szCs w:val="28"/>
              </w:rPr>
              <w:t>价格分应当采用低价优先法计算，即满足招标文件要求且投标价格最低的投标报价为评标基准价，其价格分为满分。其他投标人的价格分统一按照下列公式计算：</w:t>
            </w:r>
          </w:p>
          <w:p w14:paraId="6BEE7AB0">
            <w:pPr>
              <w:spacing w:line="360" w:lineRule="auto"/>
              <w:ind w:right="27" w:rightChars="13"/>
              <w:jc w:val="left"/>
              <w:rPr>
                <w:rFonts w:hint="eastAsia" w:ascii="宋体" w:hAnsi="宋体" w:cs="宋体"/>
                <w:color w:val="auto"/>
                <w:sz w:val="24"/>
                <w:szCs w:val="24"/>
              </w:rPr>
            </w:pPr>
            <w:r>
              <w:rPr>
                <w:rFonts w:hint="eastAsia" w:ascii="宋体" w:hAnsi="宋体" w:cs="宋体"/>
                <w:color w:val="auto"/>
                <w:sz w:val="24"/>
                <w:szCs w:val="24"/>
              </w:rPr>
              <w:t>投标报价得分=(评标基准价／投标报价)×30分</w:t>
            </w:r>
          </w:p>
          <w:p w14:paraId="36E59225">
            <w:pPr>
              <w:spacing w:line="360" w:lineRule="auto"/>
              <w:ind w:right="27" w:rightChars="13"/>
              <w:jc w:val="left"/>
              <w:rPr>
                <w:rFonts w:hint="eastAsia" w:ascii="宋体" w:hAnsi="宋体" w:cs="宋体"/>
                <w:color w:val="auto"/>
                <w:sz w:val="24"/>
                <w:szCs w:val="24"/>
              </w:rPr>
            </w:pPr>
            <w:r>
              <w:rPr>
                <w:rFonts w:hint="eastAsia" w:ascii="宋体" w:hAnsi="宋体" w:cs="宋体"/>
                <w:color w:val="auto"/>
                <w:sz w:val="24"/>
                <w:szCs w:val="24"/>
              </w:rPr>
              <w:t>注：价格分计算保留小数点后二位。</w:t>
            </w:r>
          </w:p>
          <w:p w14:paraId="202477F9">
            <w:pPr>
              <w:spacing w:line="360" w:lineRule="auto"/>
              <w:ind w:right="27" w:rightChars="13"/>
              <w:jc w:val="left"/>
              <w:rPr>
                <w:rFonts w:hint="eastAsia" w:ascii="宋体" w:hAnsi="宋体" w:cs="宋体"/>
                <w:color w:val="auto"/>
                <w:sz w:val="24"/>
                <w:szCs w:val="24"/>
              </w:rPr>
            </w:pPr>
            <w:r>
              <w:rPr>
                <w:rFonts w:hint="eastAsia" w:ascii="宋体" w:hAnsi="宋体" w:cs="宋体"/>
                <w:color w:val="auto"/>
                <w:sz w:val="24"/>
                <w:szCs w:val="24"/>
              </w:rPr>
              <w:t>备注：根据财政部、工信部关于印发《政府采购促进中小企业发展管理办法》的通知（财库〔2020〕46号 ）和财库〔2022〕19号文件规定：</w:t>
            </w:r>
          </w:p>
          <w:p w14:paraId="321B5FD4">
            <w:pPr>
              <w:spacing w:line="360" w:lineRule="auto"/>
              <w:ind w:right="27" w:rightChars="13"/>
              <w:jc w:val="left"/>
              <w:rPr>
                <w:rFonts w:hint="eastAsia" w:ascii="宋体" w:hAnsi="宋体" w:cs="宋体"/>
                <w:color w:val="auto"/>
                <w:sz w:val="24"/>
                <w:szCs w:val="24"/>
              </w:rPr>
            </w:pPr>
            <w:r>
              <w:rPr>
                <w:rFonts w:hint="eastAsia" w:ascii="宋体" w:hAnsi="宋体" w:cs="宋体"/>
                <w:color w:val="auto"/>
                <w:sz w:val="24"/>
                <w:szCs w:val="24"/>
              </w:rPr>
              <w:t>（1）对小微企业报价给予20%扣除，请按照《政府采购促进中小企业发展管理办法》要求提供中小企业声明函。</w:t>
            </w:r>
          </w:p>
          <w:p w14:paraId="5F380FB8">
            <w:pPr>
              <w:spacing w:line="360" w:lineRule="auto"/>
              <w:ind w:right="27" w:rightChars="13"/>
              <w:jc w:val="left"/>
              <w:rPr>
                <w:rFonts w:hint="eastAsia" w:ascii="宋体" w:hAnsi="宋体" w:cs="宋体"/>
                <w:color w:val="auto"/>
                <w:sz w:val="24"/>
                <w:szCs w:val="24"/>
              </w:rPr>
            </w:pPr>
            <w:r>
              <w:rPr>
                <w:rFonts w:hint="eastAsia" w:ascii="宋体" w:hAnsi="宋体" w:cs="宋体"/>
                <w:color w:val="auto"/>
                <w:sz w:val="24"/>
                <w:szCs w:val="24"/>
              </w:rPr>
              <w:t>（2）关于监狱企业：视同小微企业。须提供由省级以上监狱管理局、戒毒管理局（含新疆生产建设兵团）出具的属于监狱企业的证明文件，否则不考虑价格扣除。</w:t>
            </w:r>
          </w:p>
          <w:p w14:paraId="04BFFF88">
            <w:pPr>
              <w:spacing w:line="360" w:lineRule="auto"/>
              <w:ind w:right="27" w:rightChars="13"/>
              <w:jc w:val="left"/>
              <w:rPr>
                <w:rFonts w:hint="eastAsia" w:ascii="宋体" w:hAnsi="宋体" w:cs="宋体"/>
                <w:color w:val="auto"/>
                <w:sz w:val="24"/>
                <w:szCs w:val="24"/>
              </w:rPr>
            </w:pPr>
            <w:r>
              <w:rPr>
                <w:rFonts w:hint="eastAsia" w:ascii="宋体" w:hAnsi="宋体" w:cs="宋体"/>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14:paraId="54BAB748">
            <w:pPr>
              <w:spacing w:line="360" w:lineRule="auto"/>
              <w:ind w:right="27" w:rightChars="13"/>
              <w:jc w:val="left"/>
              <w:rPr>
                <w:rFonts w:hint="eastAsia" w:ascii="宋体" w:hAnsi="宋体" w:cs="宋体"/>
                <w:color w:val="auto"/>
                <w:sz w:val="24"/>
                <w:szCs w:val="24"/>
              </w:rPr>
            </w:pPr>
            <w:r>
              <w:rPr>
                <w:rFonts w:hint="eastAsia" w:ascii="宋体" w:hAnsi="宋体" w:cs="宋体"/>
                <w:color w:val="auto"/>
                <w:sz w:val="24"/>
                <w:szCs w:val="24"/>
              </w:rPr>
              <w:t>（4）没有提供有效证明材料的供应商将被视为不接受投标总价的扣除，用原投标总价参与评审。</w:t>
            </w:r>
          </w:p>
        </w:tc>
      </w:tr>
      <w:tr w14:paraId="6F3A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 w:type="pct"/>
            <w:vMerge w:val="restart"/>
            <w:tcBorders>
              <w:top w:val="single" w:color="auto" w:sz="4" w:space="0"/>
              <w:left w:val="single" w:color="auto" w:sz="4" w:space="0"/>
              <w:right w:val="single" w:color="auto" w:sz="4" w:space="0"/>
            </w:tcBorders>
            <w:vAlign w:val="center"/>
          </w:tcPr>
          <w:p w14:paraId="5F9B7831">
            <w:pPr>
              <w:pStyle w:val="27"/>
              <w:ind w:right="-21" w:firstLine="0" w:firstLineChars="0"/>
              <w:rPr>
                <w:rFonts w:hint="eastAsia" w:ascii="宋体" w:hAnsi="宋体" w:eastAsia="宋体" w:cs="宋体"/>
                <w:bCs/>
                <w:color w:val="auto"/>
                <w:kern w:val="2"/>
                <w:szCs w:val="24"/>
              </w:rPr>
            </w:pPr>
            <w:r>
              <w:rPr>
                <w:rFonts w:hint="eastAsia" w:ascii="宋体" w:hAnsi="宋体" w:eastAsia="宋体" w:cs="宋体"/>
                <w:bCs/>
                <w:color w:val="auto"/>
                <w:kern w:val="2"/>
                <w:szCs w:val="24"/>
              </w:rPr>
              <w:t>2</w:t>
            </w:r>
          </w:p>
        </w:tc>
        <w:tc>
          <w:tcPr>
            <w:tcW w:w="669" w:type="pct"/>
            <w:vMerge w:val="restart"/>
            <w:tcBorders>
              <w:top w:val="single" w:color="auto" w:sz="4" w:space="0"/>
              <w:left w:val="single" w:color="auto" w:sz="4" w:space="0"/>
              <w:right w:val="single" w:color="auto" w:sz="4" w:space="0"/>
            </w:tcBorders>
            <w:vAlign w:val="center"/>
          </w:tcPr>
          <w:p w14:paraId="6A5EE164">
            <w:pPr>
              <w:pStyle w:val="27"/>
              <w:ind w:right="-21" w:firstLine="0" w:firstLineChars="0"/>
              <w:rPr>
                <w:rFonts w:hint="eastAsia" w:ascii="宋体" w:hAnsi="宋体" w:eastAsia="宋体" w:cs="宋体"/>
                <w:bCs/>
                <w:color w:val="auto"/>
                <w:kern w:val="2"/>
                <w:szCs w:val="24"/>
              </w:rPr>
            </w:pPr>
            <w:r>
              <w:rPr>
                <w:rFonts w:hint="eastAsia" w:ascii="宋体" w:hAnsi="宋体" w:eastAsia="宋体" w:cs="宋体"/>
                <w:bCs/>
                <w:color w:val="auto"/>
                <w:kern w:val="2"/>
                <w:szCs w:val="24"/>
              </w:rPr>
              <w:t>技术部分（</w:t>
            </w:r>
            <w:r>
              <w:rPr>
                <w:rFonts w:hint="eastAsia" w:ascii="宋体" w:hAnsi="宋体" w:eastAsia="宋体" w:cs="宋体"/>
                <w:bCs/>
                <w:color w:val="auto"/>
                <w:kern w:val="2"/>
                <w:szCs w:val="24"/>
                <w:lang w:val="en-US" w:eastAsia="zh-CN"/>
              </w:rPr>
              <w:t>45</w:t>
            </w:r>
            <w:r>
              <w:rPr>
                <w:rFonts w:hint="eastAsia" w:ascii="宋体" w:hAnsi="宋体" w:eastAsia="宋体" w:cs="宋体"/>
                <w:bCs/>
                <w:color w:val="auto"/>
                <w:kern w:val="2"/>
                <w:szCs w:val="24"/>
              </w:rPr>
              <w:t>分）</w:t>
            </w:r>
          </w:p>
        </w:tc>
        <w:tc>
          <w:tcPr>
            <w:tcW w:w="640" w:type="pct"/>
            <w:tcBorders>
              <w:top w:val="single" w:color="auto" w:sz="4" w:space="0"/>
              <w:left w:val="single" w:color="auto" w:sz="4" w:space="0"/>
              <w:bottom w:val="single" w:color="auto" w:sz="4" w:space="0"/>
              <w:right w:val="single" w:color="auto" w:sz="4" w:space="0"/>
            </w:tcBorders>
            <w:vAlign w:val="center"/>
          </w:tcPr>
          <w:p w14:paraId="54F9A141">
            <w:pPr>
              <w:spacing w:line="360" w:lineRule="auto"/>
              <w:ind w:right="27" w:rightChars="13"/>
              <w:jc w:val="center"/>
              <w:rPr>
                <w:rFonts w:hint="eastAsia" w:ascii="宋体" w:hAnsi="宋体" w:cs="宋体"/>
                <w:color w:val="auto"/>
                <w:sz w:val="24"/>
                <w:szCs w:val="24"/>
              </w:rPr>
            </w:pPr>
            <w:r>
              <w:rPr>
                <w:rFonts w:hint="eastAsia" w:ascii="宋体" w:hAnsi="宋体" w:cs="宋体"/>
                <w:color w:val="auto"/>
                <w:sz w:val="24"/>
                <w:szCs w:val="24"/>
              </w:rPr>
              <w:t>投标产品技术响应程度（30分）</w:t>
            </w:r>
          </w:p>
        </w:tc>
        <w:tc>
          <w:tcPr>
            <w:tcW w:w="3443" w:type="pct"/>
            <w:tcBorders>
              <w:top w:val="single" w:color="auto" w:sz="4" w:space="0"/>
              <w:left w:val="single" w:color="auto" w:sz="4" w:space="0"/>
              <w:bottom w:val="single" w:color="auto" w:sz="4" w:space="0"/>
              <w:right w:val="single" w:color="auto" w:sz="4" w:space="0"/>
            </w:tcBorders>
            <w:vAlign w:val="center"/>
          </w:tcPr>
          <w:p w14:paraId="07AC11FC">
            <w:pPr>
              <w:spacing w:line="360" w:lineRule="auto"/>
              <w:ind w:right="27" w:rightChars="13"/>
              <w:jc w:val="left"/>
              <w:rPr>
                <w:rFonts w:hint="eastAsia" w:ascii="宋体" w:hAnsi="宋体" w:cs="宋体"/>
                <w:color w:val="auto"/>
                <w:sz w:val="24"/>
                <w:szCs w:val="24"/>
              </w:rPr>
            </w:pPr>
            <w:r>
              <w:rPr>
                <w:rFonts w:hint="eastAsia" w:ascii="宋体" w:hAnsi="宋体" w:cs="宋体"/>
                <w:color w:val="auto"/>
                <w:sz w:val="24"/>
                <w:szCs w:val="24"/>
              </w:rPr>
              <w:t>根据投标文件对招标文件要求的技术指标响应情况全部满足招标文件要求的30分;标</w:t>
            </w:r>
            <w:r>
              <w:rPr>
                <w:rFonts w:hint="eastAsia" w:ascii="宋体" w:hAnsi="宋体" w:cs="宋体"/>
                <w:color w:val="auto"/>
                <w:sz w:val="24"/>
                <w:szCs w:val="28"/>
              </w:rPr>
              <w:t>“</w:t>
            </w:r>
            <w:r>
              <w:rPr>
                <w:rFonts w:hint="eastAsia" w:ascii="宋体" w:hAnsi="宋体" w:cs="宋体"/>
                <w:color w:val="auto"/>
                <w:kern w:val="0"/>
                <w:sz w:val="22"/>
                <w:szCs w:val="22"/>
                <w:lang w:bidi="ar"/>
              </w:rPr>
              <w:t>☆</w:t>
            </w:r>
            <w:r>
              <w:rPr>
                <w:rFonts w:hint="eastAsia" w:ascii="宋体" w:hAnsi="宋体" w:cs="宋体"/>
                <w:color w:val="auto"/>
                <w:sz w:val="24"/>
                <w:szCs w:val="28"/>
              </w:rPr>
              <w:t>”号技术条款不满足招标文件要求的，每项扣1.5分； 标“</w:t>
            </w:r>
            <w:r>
              <w:rPr>
                <w:rFonts w:hint="eastAsia" w:ascii="宋体" w:hAnsi="宋体" w:cs="宋体"/>
                <w:color w:val="auto"/>
                <w:kern w:val="0"/>
                <w:sz w:val="22"/>
                <w:szCs w:val="22"/>
                <w:lang w:bidi="ar"/>
              </w:rPr>
              <w:t>☆</w:t>
            </w:r>
            <w:r>
              <w:rPr>
                <w:rFonts w:hint="eastAsia" w:ascii="宋体" w:hAnsi="宋体" w:cs="宋体"/>
                <w:color w:val="auto"/>
                <w:sz w:val="24"/>
                <w:szCs w:val="28"/>
              </w:rPr>
              <w:t>”以外的技术条款不满足的，扣1分，扣完为止。（水质自动监测微站带“☆”号技术条款提供通过CNAS认证的计量机构出具的校准结果原件的扫描件作为有效证明材料）</w:t>
            </w:r>
          </w:p>
        </w:tc>
      </w:tr>
      <w:tr w14:paraId="6015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246" w:type="pct"/>
            <w:vMerge w:val="continue"/>
            <w:tcBorders>
              <w:left w:val="single" w:color="auto" w:sz="4" w:space="0"/>
              <w:right w:val="single" w:color="auto" w:sz="4" w:space="0"/>
            </w:tcBorders>
            <w:vAlign w:val="center"/>
          </w:tcPr>
          <w:p w14:paraId="36829990">
            <w:pPr>
              <w:pStyle w:val="27"/>
              <w:ind w:right="-21" w:firstLine="0" w:firstLineChars="0"/>
              <w:rPr>
                <w:rFonts w:hint="eastAsia" w:ascii="宋体" w:hAnsi="宋体" w:eastAsia="宋体" w:cs="宋体"/>
                <w:bCs/>
                <w:color w:val="auto"/>
                <w:kern w:val="2"/>
                <w:szCs w:val="24"/>
              </w:rPr>
            </w:pPr>
          </w:p>
        </w:tc>
        <w:tc>
          <w:tcPr>
            <w:tcW w:w="669" w:type="pct"/>
            <w:vMerge w:val="continue"/>
            <w:tcBorders>
              <w:left w:val="single" w:color="auto" w:sz="4" w:space="0"/>
              <w:right w:val="single" w:color="auto" w:sz="4" w:space="0"/>
            </w:tcBorders>
            <w:vAlign w:val="center"/>
          </w:tcPr>
          <w:p w14:paraId="4B49EB2D">
            <w:pPr>
              <w:pStyle w:val="27"/>
              <w:ind w:right="-21" w:firstLine="0" w:firstLineChars="0"/>
              <w:rPr>
                <w:rFonts w:hint="eastAsia" w:ascii="宋体" w:hAnsi="宋体" w:eastAsia="宋体" w:cs="宋体"/>
                <w:bCs/>
                <w:color w:val="auto"/>
                <w:kern w:val="2"/>
                <w:szCs w:val="24"/>
              </w:rPr>
            </w:pPr>
          </w:p>
        </w:tc>
        <w:tc>
          <w:tcPr>
            <w:tcW w:w="640" w:type="pct"/>
            <w:tcBorders>
              <w:left w:val="single" w:color="auto" w:sz="4" w:space="0"/>
              <w:right w:val="single" w:color="auto" w:sz="4" w:space="0"/>
            </w:tcBorders>
            <w:shd w:val="clear" w:color="auto" w:fill="auto"/>
            <w:vAlign w:val="center"/>
          </w:tcPr>
          <w:p w14:paraId="6DCFEA39">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供货方案</w:t>
            </w:r>
          </w:p>
          <w:p w14:paraId="5C59747B">
            <w:pPr>
              <w:spacing w:line="360" w:lineRule="auto"/>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3</w:t>
            </w:r>
            <w:r>
              <w:rPr>
                <w:rFonts w:hint="eastAsia" w:ascii="宋体" w:hAnsi="宋体" w:cs="宋体"/>
                <w:color w:val="auto"/>
                <w:sz w:val="24"/>
                <w:szCs w:val="24"/>
              </w:rPr>
              <w:t>分）</w:t>
            </w:r>
          </w:p>
        </w:tc>
        <w:tc>
          <w:tcPr>
            <w:tcW w:w="3443" w:type="pct"/>
            <w:tcBorders>
              <w:top w:val="single" w:color="auto" w:sz="4" w:space="0"/>
              <w:left w:val="single" w:color="auto" w:sz="4" w:space="0"/>
              <w:bottom w:val="single" w:color="auto" w:sz="4" w:space="0"/>
              <w:right w:val="single" w:color="auto" w:sz="4" w:space="0"/>
            </w:tcBorders>
            <w:shd w:val="clear" w:color="auto" w:fill="auto"/>
            <w:vAlign w:val="center"/>
          </w:tcPr>
          <w:p w14:paraId="449B2CFE">
            <w:pPr>
              <w:widowControl/>
              <w:spacing w:line="360" w:lineRule="auto"/>
              <w:jc w:val="left"/>
              <w:rPr>
                <w:rFonts w:hint="eastAsia" w:ascii="宋体" w:hAnsi="宋体" w:eastAsia="宋体" w:cs="宋体"/>
                <w:color w:val="auto"/>
                <w:sz w:val="24"/>
                <w:szCs w:val="28"/>
                <w:lang w:val="en-US" w:eastAsia="zh-CN"/>
              </w:rPr>
            </w:pPr>
            <w:r>
              <w:rPr>
                <w:rFonts w:hint="default" w:ascii="宋体" w:hAnsi="宋体" w:eastAsia="宋体" w:cs="宋体"/>
                <w:color w:val="auto"/>
                <w:sz w:val="24"/>
                <w:szCs w:val="28"/>
                <w:lang w:val="en-US" w:eastAsia="zh-CN"/>
              </w:rPr>
              <w:t>投标人结合采购人要求，从交付与物流方面、风险应对与应急</w:t>
            </w:r>
            <w:r>
              <w:rPr>
                <w:rFonts w:hint="eastAsia" w:ascii="宋体" w:hAnsi="宋体" w:eastAsia="宋体" w:cs="宋体"/>
                <w:color w:val="auto"/>
                <w:sz w:val="24"/>
                <w:szCs w:val="28"/>
                <w:lang w:val="en-US" w:eastAsia="zh-CN"/>
              </w:rPr>
              <w:t>方面制定完整清晰供货方案。</w:t>
            </w:r>
          </w:p>
          <w:p w14:paraId="69CE6E55">
            <w:pPr>
              <w:widowControl/>
              <w:spacing w:line="360" w:lineRule="auto"/>
              <w:jc w:val="left"/>
              <w:rPr>
                <w:rFonts w:hint="default" w:ascii="宋体" w:hAnsi="宋体" w:eastAsia="宋体" w:cs="宋体"/>
                <w:color w:val="auto"/>
                <w:sz w:val="24"/>
                <w:szCs w:val="28"/>
                <w:lang w:val="en-US" w:eastAsia="zh-CN"/>
              </w:rPr>
            </w:pPr>
            <w:r>
              <w:rPr>
                <w:rFonts w:hint="default" w:ascii="宋体" w:hAnsi="宋体" w:eastAsia="宋体" w:cs="宋体"/>
                <w:color w:val="auto"/>
                <w:sz w:val="24"/>
                <w:szCs w:val="28"/>
                <w:lang w:val="en-US" w:eastAsia="zh-CN"/>
              </w:rPr>
              <w:t>以上</w:t>
            </w:r>
            <w:r>
              <w:rPr>
                <w:rFonts w:hint="eastAsia" w:ascii="宋体" w:hAnsi="宋体" w:eastAsia="宋体" w:cs="宋体"/>
                <w:color w:val="auto"/>
                <w:sz w:val="24"/>
                <w:szCs w:val="28"/>
                <w:lang w:val="en-US" w:eastAsia="zh-CN"/>
              </w:rPr>
              <w:t>2</w:t>
            </w:r>
            <w:r>
              <w:rPr>
                <w:rFonts w:hint="default" w:ascii="宋体" w:hAnsi="宋体" w:eastAsia="宋体" w:cs="宋体"/>
                <w:color w:val="auto"/>
                <w:sz w:val="24"/>
                <w:szCs w:val="28"/>
                <w:lang w:val="en-US" w:eastAsia="zh-CN"/>
              </w:rPr>
              <w:t>个方面，每提供一项有效方案得</w:t>
            </w:r>
            <w:r>
              <w:rPr>
                <w:rFonts w:hint="eastAsia" w:ascii="宋体" w:hAnsi="宋体" w:eastAsia="宋体" w:cs="宋体"/>
                <w:color w:val="auto"/>
                <w:sz w:val="24"/>
                <w:szCs w:val="28"/>
                <w:lang w:val="en-US" w:eastAsia="zh-CN"/>
              </w:rPr>
              <w:t>1.5</w:t>
            </w:r>
            <w:r>
              <w:rPr>
                <w:rFonts w:hint="default" w:ascii="宋体" w:hAnsi="宋体" w:eastAsia="宋体" w:cs="宋体"/>
                <w:color w:val="auto"/>
                <w:sz w:val="24"/>
                <w:szCs w:val="28"/>
                <w:lang w:val="en-US" w:eastAsia="zh-CN"/>
              </w:rPr>
              <w:t>分，最多得</w:t>
            </w:r>
            <w:r>
              <w:rPr>
                <w:rFonts w:hint="eastAsia" w:ascii="宋体" w:hAnsi="宋体" w:eastAsia="宋体" w:cs="宋体"/>
                <w:color w:val="auto"/>
                <w:sz w:val="24"/>
                <w:szCs w:val="28"/>
                <w:lang w:val="en-US" w:eastAsia="zh-CN"/>
              </w:rPr>
              <w:t>3</w:t>
            </w:r>
            <w:r>
              <w:rPr>
                <w:rFonts w:hint="default" w:ascii="宋体" w:hAnsi="宋体" w:eastAsia="宋体" w:cs="宋体"/>
                <w:color w:val="auto"/>
                <w:sz w:val="24"/>
                <w:szCs w:val="28"/>
                <w:lang w:val="en-US" w:eastAsia="zh-CN"/>
              </w:rPr>
              <w:t>分。</w:t>
            </w:r>
          </w:p>
          <w:p w14:paraId="772CDA72">
            <w:pPr>
              <w:widowControl/>
              <w:spacing w:line="360" w:lineRule="auto"/>
              <w:jc w:val="left"/>
              <w:rPr>
                <w:rFonts w:hint="default" w:ascii="宋体" w:hAnsi="宋体" w:cs="宋体"/>
                <w:color w:val="auto"/>
                <w:szCs w:val="24"/>
                <w:lang w:val="en-US"/>
              </w:rPr>
            </w:pPr>
            <w:r>
              <w:rPr>
                <w:rFonts w:hint="default" w:ascii="宋体" w:hAnsi="宋体" w:eastAsia="宋体" w:cs="宋体"/>
                <w:color w:val="auto"/>
                <w:sz w:val="24"/>
                <w:szCs w:val="28"/>
                <w:lang w:val="en-US" w:eastAsia="zh-CN"/>
              </w:rPr>
              <w:t>方案与本项目无关或不符合</w:t>
            </w:r>
            <w:r>
              <w:rPr>
                <w:rFonts w:hint="eastAsia" w:ascii="宋体" w:hAnsi="宋体" w:eastAsia="宋体" w:cs="宋体"/>
                <w:color w:val="auto"/>
                <w:sz w:val="24"/>
                <w:szCs w:val="28"/>
                <w:lang w:val="en-US" w:eastAsia="zh-CN"/>
              </w:rPr>
              <w:t>采购人要求</w:t>
            </w:r>
            <w:r>
              <w:rPr>
                <w:rFonts w:hint="default" w:ascii="宋体" w:hAnsi="宋体" w:eastAsia="宋体" w:cs="宋体"/>
                <w:color w:val="auto"/>
                <w:sz w:val="24"/>
                <w:szCs w:val="28"/>
                <w:lang w:val="en-US" w:eastAsia="zh-CN"/>
              </w:rPr>
              <w:t>的为无效方案，不得分。</w:t>
            </w:r>
          </w:p>
        </w:tc>
      </w:tr>
      <w:tr w14:paraId="0813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246" w:type="pct"/>
            <w:vMerge w:val="continue"/>
            <w:tcBorders>
              <w:left w:val="single" w:color="auto" w:sz="4" w:space="0"/>
              <w:right w:val="single" w:color="auto" w:sz="4" w:space="0"/>
            </w:tcBorders>
            <w:vAlign w:val="center"/>
          </w:tcPr>
          <w:p w14:paraId="3A632EBE">
            <w:pPr>
              <w:pStyle w:val="27"/>
              <w:ind w:right="-21" w:firstLine="0" w:firstLineChars="0"/>
              <w:rPr>
                <w:rFonts w:hint="eastAsia" w:ascii="宋体" w:hAnsi="宋体" w:eastAsia="宋体" w:cs="宋体"/>
                <w:bCs/>
                <w:color w:val="auto"/>
                <w:kern w:val="2"/>
                <w:szCs w:val="24"/>
              </w:rPr>
            </w:pPr>
          </w:p>
        </w:tc>
        <w:tc>
          <w:tcPr>
            <w:tcW w:w="669" w:type="pct"/>
            <w:vMerge w:val="continue"/>
            <w:tcBorders>
              <w:left w:val="single" w:color="auto" w:sz="4" w:space="0"/>
              <w:right w:val="single" w:color="auto" w:sz="4" w:space="0"/>
            </w:tcBorders>
            <w:vAlign w:val="center"/>
          </w:tcPr>
          <w:p w14:paraId="0A0505CB">
            <w:pPr>
              <w:pStyle w:val="27"/>
              <w:ind w:right="-21" w:firstLine="0" w:firstLineChars="0"/>
              <w:rPr>
                <w:rFonts w:hint="eastAsia" w:ascii="宋体" w:hAnsi="宋体" w:eastAsia="宋体" w:cs="宋体"/>
                <w:bCs/>
                <w:color w:val="auto"/>
                <w:kern w:val="2"/>
                <w:szCs w:val="24"/>
              </w:rPr>
            </w:pPr>
          </w:p>
        </w:tc>
        <w:tc>
          <w:tcPr>
            <w:tcW w:w="640" w:type="pct"/>
            <w:tcBorders>
              <w:left w:val="single" w:color="auto" w:sz="4" w:space="0"/>
              <w:right w:val="single" w:color="auto" w:sz="4" w:space="0"/>
            </w:tcBorders>
            <w:shd w:val="clear" w:color="auto" w:fill="auto"/>
            <w:vAlign w:val="center"/>
          </w:tcPr>
          <w:p w14:paraId="7DBBFD42">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安装调试方案（</w:t>
            </w:r>
            <w:r>
              <w:rPr>
                <w:rFonts w:hint="eastAsia" w:ascii="宋体" w:hAnsi="宋体" w:cs="宋体"/>
                <w:color w:val="auto"/>
                <w:sz w:val="24"/>
                <w:szCs w:val="24"/>
                <w:lang w:val="en-US" w:eastAsia="zh-CN"/>
              </w:rPr>
              <w:t>12</w:t>
            </w:r>
            <w:r>
              <w:rPr>
                <w:rFonts w:hint="eastAsia" w:ascii="宋体" w:hAnsi="宋体" w:cs="宋体"/>
                <w:color w:val="auto"/>
                <w:sz w:val="24"/>
                <w:szCs w:val="24"/>
              </w:rPr>
              <w:t>分）</w:t>
            </w:r>
          </w:p>
        </w:tc>
        <w:tc>
          <w:tcPr>
            <w:tcW w:w="3443" w:type="pct"/>
            <w:tcBorders>
              <w:top w:val="single" w:color="auto" w:sz="4" w:space="0"/>
              <w:left w:val="single" w:color="auto" w:sz="4" w:space="0"/>
              <w:bottom w:val="single" w:color="auto" w:sz="4" w:space="0"/>
              <w:right w:val="single" w:color="auto" w:sz="4" w:space="0"/>
            </w:tcBorders>
            <w:shd w:val="clear" w:color="auto" w:fill="auto"/>
            <w:vAlign w:val="center"/>
          </w:tcPr>
          <w:p w14:paraId="3E02AF7F">
            <w:pPr>
              <w:widowControl/>
              <w:spacing w:line="360" w:lineRule="auto"/>
              <w:jc w:val="left"/>
              <w:rPr>
                <w:rFonts w:hint="eastAsia"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投标人结合采购人要求，从技术方面、资源方面、管理运营方面、环境影响方面、政策法规方面、风险方面多维度考量，制定完整清晰的安装调试方案。</w:t>
            </w:r>
          </w:p>
          <w:p w14:paraId="5298CFC3">
            <w:pPr>
              <w:widowControl/>
              <w:spacing w:line="360" w:lineRule="auto"/>
              <w:jc w:val="left"/>
              <w:rPr>
                <w:rFonts w:hint="default" w:ascii="宋体" w:hAnsi="宋体" w:eastAsia="宋体" w:cs="宋体"/>
                <w:color w:val="auto"/>
                <w:sz w:val="24"/>
                <w:szCs w:val="28"/>
                <w:lang w:val="en-US" w:eastAsia="zh-CN"/>
              </w:rPr>
            </w:pPr>
            <w:r>
              <w:rPr>
                <w:rFonts w:hint="default" w:ascii="宋体" w:hAnsi="宋体" w:eastAsia="宋体" w:cs="宋体"/>
                <w:color w:val="auto"/>
                <w:sz w:val="24"/>
                <w:szCs w:val="28"/>
                <w:lang w:val="en-US" w:eastAsia="zh-CN"/>
              </w:rPr>
              <w:t>以上</w:t>
            </w:r>
            <w:r>
              <w:rPr>
                <w:rFonts w:hint="eastAsia" w:ascii="宋体" w:hAnsi="宋体" w:eastAsia="宋体" w:cs="宋体"/>
                <w:color w:val="auto"/>
                <w:sz w:val="24"/>
                <w:szCs w:val="28"/>
                <w:lang w:val="en-US" w:eastAsia="zh-CN"/>
              </w:rPr>
              <w:t>6</w:t>
            </w:r>
            <w:r>
              <w:rPr>
                <w:rFonts w:hint="default" w:ascii="宋体" w:hAnsi="宋体" w:eastAsia="宋体" w:cs="宋体"/>
                <w:color w:val="auto"/>
                <w:sz w:val="24"/>
                <w:szCs w:val="28"/>
                <w:lang w:val="en-US" w:eastAsia="zh-CN"/>
              </w:rPr>
              <w:t>个方面，每提供一项有效方案得2分，最多得1</w:t>
            </w:r>
            <w:r>
              <w:rPr>
                <w:rFonts w:hint="eastAsia" w:ascii="宋体" w:hAnsi="宋体" w:eastAsia="宋体" w:cs="宋体"/>
                <w:color w:val="auto"/>
                <w:sz w:val="24"/>
                <w:szCs w:val="28"/>
                <w:lang w:val="en-US" w:eastAsia="zh-CN"/>
              </w:rPr>
              <w:t>2</w:t>
            </w:r>
            <w:r>
              <w:rPr>
                <w:rFonts w:hint="default" w:ascii="宋体" w:hAnsi="宋体" w:eastAsia="宋体" w:cs="宋体"/>
                <w:color w:val="auto"/>
                <w:sz w:val="24"/>
                <w:szCs w:val="28"/>
                <w:lang w:val="en-US" w:eastAsia="zh-CN"/>
              </w:rPr>
              <w:t>分。</w:t>
            </w:r>
          </w:p>
          <w:p w14:paraId="6BA87253">
            <w:pPr>
              <w:widowControl/>
              <w:spacing w:line="360" w:lineRule="auto"/>
              <w:jc w:val="left"/>
              <w:rPr>
                <w:rFonts w:hint="default" w:ascii="宋体" w:hAnsi="宋体" w:eastAsia="宋体" w:cs="宋体"/>
                <w:color w:val="auto"/>
                <w:sz w:val="24"/>
                <w:szCs w:val="28"/>
                <w:lang w:val="en-US" w:eastAsia="zh-CN"/>
              </w:rPr>
            </w:pPr>
            <w:r>
              <w:rPr>
                <w:rFonts w:hint="default" w:ascii="宋体" w:hAnsi="宋体" w:eastAsia="宋体" w:cs="宋体"/>
                <w:color w:val="auto"/>
                <w:sz w:val="24"/>
                <w:szCs w:val="28"/>
                <w:lang w:val="en-US" w:eastAsia="zh-CN"/>
              </w:rPr>
              <w:t>方案与本项目无关或不符合</w:t>
            </w:r>
            <w:r>
              <w:rPr>
                <w:rFonts w:hint="eastAsia" w:ascii="宋体" w:hAnsi="宋体" w:eastAsia="宋体" w:cs="宋体"/>
                <w:color w:val="auto"/>
                <w:sz w:val="24"/>
                <w:szCs w:val="28"/>
                <w:lang w:val="en-US" w:eastAsia="zh-CN"/>
              </w:rPr>
              <w:t>采购人要求</w:t>
            </w:r>
            <w:r>
              <w:rPr>
                <w:rFonts w:hint="default" w:ascii="宋体" w:hAnsi="宋体" w:eastAsia="宋体" w:cs="宋体"/>
                <w:color w:val="auto"/>
                <w:sz w:val="24"/>
                <w:szCs w:val="28"/>
                <w:lang w:val="en-US" w:eastAsia="zh-CN"/>
              </w:rPr>
              <w:t>的为无效方案，不得分。</w:t>
            </w:r>
          </w:p>
        </w:tc>
      </w:tr>
      <w:tr w14:paraId="5E61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6" w:type="pct"/>
            <w:vMerge w:val="restart"/>
            <w:tcBorders>
              <w:left w:val="single" w:color="auto" w:sz="4" w:space="0"/>
              <w:right w:val="single" w:color="auto" w:sz="4" w:space="0"/>
            </w:tcBorders>
            <w:vAlign w:val="center"/>
          </w:tcPr>
          <w:p w14:paraId="0A80E73E">
            <w:pPr>
              <w:pStyle w:val="27"/>
              <w:ind w:right="-21" w:firstLine="0" w:firstLineChars="0"/>
              <w:rPr>
                <w:rFonts w:hint="eastAsia" w:ascii="宋体" w:hAnsi="宋体" w:eastAsia="宋体" w:cs="宋体"/>
                <w:bCs/>
                <w:color w:val="auto"/>
                <w:kern w:val="2"/>
                <w:szCs w:val="24"/>
              </w:rPr>
            </w:pPr>
            <w:r>
              <w:rPr>
                <w:rFonts w:hint="eastAsia" w:ascii="宋体" w:hAnsi="宋体" w:eastAsia="宋体" w:cs="宋体"/>
                <w:bCs/>
                <w:color w:val="auto"/>
                <w:kern w:val="2"/>
                <w:szCs w:val="24"/>
              </w:rPr>
              <w:t>3</w:t>
            </w:r>
          </w:p>
        </w:tc>
        <w:tc>
          <w:tcPr>
            <w:tcW w:w="669" w:type="pct"/>
            <w:vMerge w:val="restart"/>
            <w:tcBorders>
              <w:left w:val="single" w:color="auto" w:sz="4" w:space="0"/>
              <w:right w:val="single" w:color="auto" w:sz="4" w:space="0"/>
            </w:tcBorders>
            <w:vAlign w:val="center"/>
          </w:tcPr>
          <w:p w14:paraId="0E33FAC3">
            <w:pPr>
              <w:pStyle w:val="27"/>
              <w:ind w:right="-21" w:firstLine="0" w:firstLineChars="0"/>
              <w:rPr>
                <w:rFonts w:hint="eastAsia" w:ascii="宋体" w:hAnsi="宋体" w:eastAsia="宋体" w:cs="宋体"/>
                <w:bCs/>
                <w:color w:val="auto"/>
                <w:kern w:val="2"/>
                <w:szCs w:val="24"/>
              </w:rPr>
            </w:pPr>
            <w:r>
              <w:rPr>
                <w:rFonts w:hint="eastAsia" w:ascii="宋体" w:hAnsi="宋体" w:eastAsia="宋体" w:cs="宋体"/>
                <w:bCs/>
                <w:color w:val="auto"/>
                <w:kern w:val="2"/>
                <w:szCs w:val="24"/>
              </w:rPr>
              <w:t>商务部分（2</w:t>
            </w:r>
            <w:r>
              <w:rPr>
                <w:rFonts w:hint="eastAsia" w:ascii="宋体" w:hAnsi="宋体" w:eastAsia="宋体" w:cs="宋体"/>
                <w:bCs/>
                <w:color w:val="auto"/>
                <w:kern w:val="2"/>
                <w:szCs w:val="24"/>
                <w:lang w:val="en-US" w:eastAsia="zh-CN"/>
              </w:rPr>
              <w:t>5</w:t>
            </w:r>
            <w:r>
              <w:rPr>
                <w:rFonts w:hint="eastAsia" w:ascii="宋体" w:hAnsi="宋体" w:eastAsia="宋体" w:cs="宋体"/>
                <w:bCs/>
                <w:color w:val="auto"/>
                <w:kern w:val="2"/>
                <w:szCs w:val="24"/>
              </w:rPr>
              <w:t>分）</w:t>
            </w:r>
          </w:p>
        </w:tc>
        <w:tc>
          <w:tcPr>
            <w:tcW w:w="640" w:type="pct"/>
            <w:tcBorders>
              <w:top w:val="single" w:color="auto" w:sz="4" w:space="0"/>
              <w:left w:val="single" w:color="auto" w:sz="4" w:space="0"/>
              <w:right w:val="single" w:color="auto" w:sz="4" w:space="0"/>
            </w:tcBorders>
            <w:vAlign w:val="center"/>
          </w:tcPr>
          <w:p w14:paraId="7B27B805">
            <w:pPr>
              <w:pStyle w:val="27"/>
              <w:ind w:right="-21" w:firstLine="0" w:firstLineChars="0"/>
              <w:jc w:val="center"/>
              <w:rPr>
                <w:rFonts w:hint="eastAsia" w:ascii="宋体" w:hAnsi="宋体" w:eastAsia="宋体" w:cs="宋体"/>
                <w:bCs/>
                <w:color w:val="auto"/>
                <w:kern w:val="2"/>
                <w:szCs w:val="24"/>
              </w:rPr>
            </w:pPr>
            <w:r>
              <w:rPr>
                <w:rFonts w:hint="eastAsia" w:ascii="宋体" w:hAnsi="宋体" w:eastAsia="宋体" w:cs="宋体"/>
                <w:bCs/>
                <w:color w:val="auto"/>
                <w:kern w:val="2"/>
                <w:szCs w:val="24"/>
              </w:rPr>
              <w:t>售后服务</w:t>
            </w:r>
          </w:p>
          <w:p w14:paraId="3DCB85F6">
            <w:pPr>
              <w:pStyle w:val="27"/>
              <w:ind w:right="-21" w:firstLine="0" w:firstLineChars="0"/>
              <w:jc w:val="center"/>
              <w:rPr>
                <w:rFonts w:hint="eastAsia" w:ascii="宋体" w:hAnsi="宋体" w:eastAsia="宋体" w:cs="宋体"/>
                <w:bCs/>
                <w:color w:val="auto"/>
                <w:kern w:val="2"/>
                <w:szCs w:val="24"/>
              </w:rPr>
            </w:pPr>
            <w:r>
              <w:rPr>
                <w:rFonts w:hint="eastAsia" w:ascii="宋体" w:hAnsi="宋体" w:eastAsia="宋体" w:cs="宋体"/>
                <w:bCs/>
                <w:color w:val="auto"/>
                <w:kern w:val="2"/>
                <w:szCs w:val="24"/>
              </w:rPr>
              <w:t>（</w:t>
            </w:r>
            <w:r>
              <w:rPr>
                <w:rFonts w:hint="eastAsia" w:ascii="宋体" w:hAnsi="宋体" w:eastAsia="宋体" w:cs="宋体"/>
                <w:bCs/>
                <w:color w:val="auto"/>
                <w:kern w:val="2"/>
                <w:szCs w:val="24"/>
                <w:lang w:val="en-US" w:eastAsia="zh-CN"/>
              </w:rPr>
              <w:t>10</w:t>
            </w:r>
            <w:r>
              <w:rPr>
                <w:rFonts w:hint="eastAsia" w:ascii="宋体" w:hAnsi="宋体" w:eastAsia="宋体" w:cs="宋体"/>
                <w:bCs/>
                <w:color w:val="auto"/>
                <w:kern w:val="2"/>
                <w:szCs w:val="24"/>
              </w:rPr>
              <w:t>分）</w:t>
            </w:r>
          </w:p>
        </w:tc>
        <w:tc>
          <w:tcPr>
            <w:tcW w:w="3443" w:type="pct"/>
            <w:tcBorders>
              <w:top w:val="single" w:color="auto" w:sz="4" w:space="0"/>
              <w:left w:val="single" w:color="auto" w:sz="4" w:space="0"/>
              <w:right w:val="single" w:color="auto" w:sz="4" w:space="0"/>
            </w:tcBorders>
            <w:vAlign w:val="center"/>
          </w:tcPr>
          <w:p w14:paraId="3A52C306">
            <w:pPr>
              <w:adjustRightInd w:val="0"/>
              <w:snapToGrid w:val="0"/>
              <w:spacing w:line="360" w:lineRule="auto"/>
              <w:jc w:val="left"/>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投标人结合采购人要求，从质量问题的处理方面、使用人员培训方面、备品备件供应方面、定期维护与故障维修方面、采购人反馈与投诉处理方面，制定完整清晰的售后服务方案。</w:t>
            </w:r>
          </w:p>
          <w:p w14:paraId="5427B4B0">
            <w:pPr>
              <w:widowControl/>
              <w:spacing w:line="360" w:lineRule="auto"/>
              <w:jc w:val="left"/>
              <w:rPr>
                <w:rFonts w:hint="eastAsia"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以上5个方面，每提供一项有效方案得2分，最多得10分。</w:t>
            </w:r>
          </w:p>
          <w:p w14:paraId="3901613E">
            <w:pPr>
              <w:widowControl/>
              <w:spacing w:line="360" w:lineRule="auto"/>
              <w:jc w:val="left"/>
              <w:rPr>
                <w:rFonts w:hint="eastAsia"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方案与本项目无关或不符合采购人要求的为无效方案，不得分。</w:t>
            </w:r>
          </w:p>
        </w:tc>
      </w:tr>
      <w:tr w14:paraId="548F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46" w:type="pct"/>
            <w:vMerge w:val="continue"/>
            <w:tcBorders>
              <w:left w:val="single" w:color="auto" w:sz="4" w:space="0"/>
              <w:right w:val="single" w:color="auto" w:sz="4" w:space="0"/>
            </w:tcBorders>
            <w:vAlign w:val="center"/>
          </w:tcPr>
          <w:p w14:paraId="63BF6E9C">
            <w:pPr>
              <w:pStyle w:val="27"/>
              <w:ind w:right="-21" w:firstLine="0" w:firstLineChars="0"/>
              <w:rPr>
                <w:rFonts w:hint="eastAsia" w:ascii="宋体" w:hAnsi="宋体" w:eastAsia="宋体" w:cs="宋体"/>
                <w:bCs/>
                <w:color w:val="auto"/>
                <w:kern w:val="2"/>
                <w:szCs w:val="24"/>
              </w:rPr>
            </w:pPr>
          </w:p>
        </w:tc>
        <w:tc>
          <w:tcPr>
            <w:tcW w:w="669" w:type="pct"/>
            <w:vMerge w:val="continue"/>
            <w:tcBorders>
              <w:left w:val="single" w:color="auto" w:sz="4" w:space="0"/>
              <w:right w:val="single" w:color="auto" w:sz="4" w:space="0"/>
            </w:tcBorders>
            <w:vAlign w:val="center"/>
          </w:tcPr>
          <w:p w14:paraId="42034E42">
            <w:pPr>
              <w:pStyle w:val="27"/>
              <w:ind w:right="-21" w:firstLine="0" w:firstLineChars="0"/>
              <w:rPr>
                <w:rFonts w:hint="eastAsia" w:ascii="宋体" w:hAnsi="宋体" w:eastAsia="宋体" w:cs="宋体"/>
                <w:bCs/>
                <w:color w:val="auto"/>
                <w:kern w:val="2"/>
                <w:szCs w:val="24"/>
              </w:rPr>
            </w:pPr>
          </w:p>
        </w:tc>
        <w:tc>
          <w:tcPr>
            <w:tcW w:w="640" w:type="pct"/>
            <w:tcBorders>
              <w:left w:val="single" w:color="auto" w:sz="4" w:space="0"/>
              <w:right w:val="single" w:color="auto" w:sz="4" w:space="0"/>
            </w:tcBorders>
            <w:vAlign w:val="center"/>
          </w:tcPr>
          <w:p w14:paraId="13DE0FEC">
            <w:pPr>
              <w:spacing w:line="360" w:lineRule="auto"/>
              <w:rPr>
                <w:rFonts w:hint="eastAsia" w:ascii="宋体" w:hAnsi="宋体" w:cs="宋体"/>
                <w:color w:val="auto"/>
                <w:sz w:val="24"/>
                <w:szCs w:val="24"/>
              </w:rPr>
            </w:pPr>
            <w:r>
              <w:rPr>
                <w:rFonts w:hint="eastAsia" w:ascii="宋体" w:hAnsi="宋体" w:cs="宋体"/>
                <w:color w:val="auto"/>
                <w:sz w:val="24"/>
                <w:szCs w:val="24"/>
              </w:rPr>
              <w:t>团队配置</w:t>
            </w:r>
          </w:p>
          <w:p w14:paraId="49159153">
            <w:pPr>
              <w:spacing w:line="360" w:lineRule="auto"/>
              <w:rPr>
                <w:rFonts w:hint="eastAsia" w:ascii="宋体" w:hAnsi="宋体" w:cs="宋体"/>
                <w:bCs/>
                <w:color w:val="auto"/>
                <w:szCs w:val="24"/>
              </w:rPr>
            </w:pPr>
            <w:r>
              <w:rPr>
                <w:rFonts w:hint="eastAsia" w:ascii="宋体" w:hAnsi="宋体" w:cs="宋体"/>
                <w:color w:val="auto"/>
                <w:sz w:val="24"/>
                <w:szCs w:val="24"/>
              </w:rPr>
              <w:t>（5分）</w:t>
            </w:r>
          </w:p>
        </w:tc>
        <w:tc>
          <w:tcPr>
            <w:tcW w:w="3443" w:type="pct"/>
            <w:tcBorders>
              <w:top w:val="single" w:color="auto" w:sz="4" w:space="0"/>
              <w:left w:val="single" w:color="auto" w:sz="4" w:space="0"/>
              <w:bottom w:val="single" w:color="auto" w:sz="4" w:space="0"/>
              <w:right w:val="single" w:color="auto" w:sz="4" w:space="0"/>
            </w:tcBorders>
            <w:vAlign w:val="center"/>
          </w:tcPr>
          <w:p w14:paraId="5B74E6A8">
            <w:pPr>
              <w:spacing w:line="360" w:lineRule="auto"/>
              <w:rPr>
                <w:rFonts w:hint="eastAsia" w:ascii="宋体" w:hAnsi="宋体" w:cs="宋体"/>
                <w:color w:val="auto"/>
                <w:sz w:val="24"/>
                <w:szCs w:val="24"/>
              </w:rPr>
            </w:pPr>
            <w:r>
              <w:rPr>
                <w:rFonts w:hint="eastAsia" w:ascii="宋体" w:hAnsi="宋体" w:cs="宋体"/>
                <w:color w:val="auto"/>
                <w:sz w:val="24"/>
                <w:szCs w:val="24"/>
              </w:rPr>
              <w:t>投标人拟投入本项目的技术负责人具有电子与智能化或环保</w:t>
            </w:r>
            <w:r>
              <w:rPr>
                <w:rFonts w:hint="eastAsia" w:ascii="宋体" w:hAnsi="宋体" w:cs="宋体"/>
                <w:color w:val="auto"/>
                <w:sz w:val="24"/>
                <w:szCs w:val="24"/>
                <w:lang w:val="en-US" w:eastAsia="zh-CN"/>
              </w:rPr>
              <w:t>工程</w:t>
            </w:r>
            <w:r>
              <w:rPr>
                <w:rFonts w:hint="eastAsia" w:ascii="宋体" w:hAnsi="宋体" w:cs="宋体"/>
                <w:color w:val="auto"/>
                <w:sz w:val="24"/>
                <w:szCs w:val="24"/>
              </w:rPr>
              <w:t>专业中级职称的</w:t>
            </w:r>
            <w:r>
              <w:rPr>
                <w:rFonts w:hint="eastAsia" w:ascii="宋体" w:hAnsi="宋体" w:cs="宋体"/>
                <w:color w:val="auto"/>
                <w:sz w:val="24"/>
                <w:szCs w:val="24"/>
                <w:lang w:val="en-US" w:eastAsia="zh-CN"/>
              </w:rPr>
              <w:t>本项</w:t>
            </w:r>
            <w:r>
              <w:rPr>
                <w:rFonts w:hint="eastAsia" w:ascii="宋体" w:hAnsi="宋体" w:cs="宋体"/>
                <w:color w:val="auto"/>
                <w:sz w:val="24"/>
                <w:szCs w:val="24"/>
              </w:rPr>
              <w:t>得2分，具有高级职称的</w:t>
            </w:r>
            <w:r>
              <w:rPr>
                <w:rFonts w:hint="eastAsia" w:ascii="宋体" w:hAnsi="宋体" w:cs="宋体"/>
                <w:color w:val="auto"/>
                <w:sz w:val="24"/>
                <w:szCs w:val="24"/>
                <w:lang w:val="en-US" w:eastAsia="zh-CN"/>
              </w:rPr>
              <w:t>本项</w:t>
            </w:r>
            <w:r>
              <w:rPr>
                <w:rFonts w:hint="eastAsia" w:ascii="宋体" w:hAnsi="宋体" w:cs="宋体"/>
                <w:color w:val="auto"/>
                <w:sz w:val="24"/>
                <w:szCs w:val="24"/>
              </w:rPr>
              <w:t>得5分，不提供不得分。</w:t>
            </w:r>
          </w:p>
          <w:p w14:paraId="2EC19C24">
            <w:pPr>
              <w:spacing w:line="360" w:lineRule="auto"/>
              <w:rPr>
                <w:rFonts w:hint="eastAsia" w:ascii="宋体" w:hAnsi="宋体" w:cs="宋体"/>
                <w:bCs/>
                <w:color w:val="auto"/>
                <w:sz w:val="24"/>
                <w:szCs w:val="24"/>
              </w:rPr>
            </w:pPr>
            <w:r>
              <w:rPr>
                <w:rFonts w:hint="eastAsia" w:ascii="宋体" w:hAnsi="宋体" w:cs="宋体"/>
                <w:color w:val="auto"/>
                <w:sz w:val="24"/>
                <w:szCs w:val="24"/>
              </w:rPr>
              <w:t>注：技术负责人应附身份证、职称证、劳动合同、2025年1月1日以来的社保缴纳证明材料</w:t>
            </w:r>
            <w:r>
              <w:rPr>
                <w:rFonts w:hint="eastAsia" w:ascii="宋体" w:hAnsi="宋体" w:cs="宋体"/>
                <w:color w:val="auto"/>
                <w:sz w:val="24"/>
                <w:szCs w:val="24"/>
                <w:lang w:eastAsia="zh-CN"/>
              </w:rPr>
              <w:t>（</w:t>
            </w:r>
            <w:r>
              <w:rPr>
                <w:rFonts w:hint="eastAsia" w:ascii="宋体" w:hAnsi="宋体" w:cs="宋体"/>
                <w:color w:val="auto"/>
                <w:spacing w:val="-1"/>
                <w:sz w:val="24"/>
                <w:szCs w:val="24"/>
                <w:lang w:bidi="zh-CN"/>
              </w:rPr>
              <w:t>以劳动和社会保障部门出具的书面证明或查询清单为准，</w:t>
            </w:r>
            <w:r>
              <w:rPr>
                <w:rFonts w:hint="eastAsia" w:ascii="宋体" w:hAnsi="宋体" w:cs="宋体"/>
                <w:color w:val="auto"/>
                <w:sz w:val="24"/>
                <w:szCs w:val="24"/>
                <w:lang w:val="en-US" w:eastAsia="zh-CN"/>
              </w:rPr>
              <w:t>若为新聘用的人员无法出具</w:t>
            </w:r>
            <w:r>
              <w:rPr>
                <w:rFonts w:hint="eastAsia" w:ascii="宋体" w:hAnsi="宋体" w:cs="宋体"/>
                <w:color w:val="auto"/>
                <w:sz w:val="24"/>
                <w:szCs w:val="24"/>
              </w:rPr>
              <w:t>社保缴纳证明材料</w:t>
            </w:r>
            <w:r>
              <w:rPr>
                <w:rFonts w:hint="eastAsia" w:ascii="宋体" w:hAnsi="宋体" w:cs="宋体"/>
                <w:color w:val="auto"/>
                <w:sz w:val="24"/>
                <w:szCs w:val="24"/>
                <w:lang w:val="en-US" w:eastAsia="zh-CN"/>
              </w:rPr>
              <w:t>时，此项材料可不提供</w:t>
            </w:r>
            <w:r>
              <w:rPr>
                <w:rFonts w:hint="eastAsia" w:ascii="宋体" w:hAnsi="宋体" w:cs="宋体"/>
                <w:color w:val="auto"/>
                <w:sz w:val="24"/>
                <w:szCs w:val="24"/>
                <w:lang w:eastAsia="zh-CN"/>
              </w:rPr>
              <w:t>）</w:t>
            </w:r>
            <w:r>
              <w:rPr>
                <w:rFonts w:hint="eastAsia" w:ascii="宋体" w:hAnsi="宋体" w:cs="宋体"/>
                <w:color w:val="auto"/>
                <w:sz w:val="24"/>
                <w:szCs w:val="24"/>
              </w:rPr>
              <w:t>，缺项不得分。</w:t>
            </w:r>
          </w:p>
        </w:tc>
      </w:tr>
      <w:tr w14:paraId="291F9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jc w:val="center"/>
        </w:trPr>
        <w:tc>
          <w:tcPr>
            <w:tcW w:w="246" w:type="pct"/>
            <w:vMerge w:val="continue"/>
            <w:tcBorders>
              <w:left w:val="single" w:color="auto" w:sz="4" w:space="0"/>
              <w:right w:val="single" w:color="auto" w:sz="4" w:space="0"/>
            </w:tcBorders>
            <w:vAlign w:val="center"/>
          </w:tcPr>
          <w:p w14:paraId="2CCA325C">
            <w:pPr>
              <w:pStyle w:val="27"/>
              <w:ind w:right="-21" w:firstLine="0" w:firstLineChars="0"/>
              <w:rPr>
                <w:rFonts w:hint="eastAsia" w:ascii="宋体" w:hAnsi="宋体" w:eastAsia="宋体" w:cs="宋体"/>
                <w:bCs/>
                <w:color w:val="auto"/>
                <w:kern w:val="2"/>
                <w:szCs w:val="24"/>
              </w:rPr>
            </w:pPr>
          </w:p>
        </w:tc>
        <w:tc>
          <w:tcPr>
            <w:tcW w:w="669" w:type="pct"/>
            <w:vMerge w:val="continue"/>
            <w:tcBorders>
              <w:left w:val="single" w:color="auto" w:sz="4" w:space="0"/>
              <w:right w:val="single" w:color="auto" w:sz="4" w:space="0"/>
            </w:tcBorders>
            <w:vAlign w:val="center"/>
          </w:tcPr>
          <w:p w14:paraId="63FABF9F">
            <w:pPr>
              <w:pStyle w:val="27"/>
              <w:ind w:right="-21" w:firstLine="0" w:firstLineChars="0"/>
              <w:rPr>
                <w:rFonts w:hint="eastAsia" w:ascii="宋体" w:hAnsi="宋体" w:eastAsia="宋体" w:cs="宋体"/>
                <w:bCs/>
                <w:color w:val="auto"/>
                <w:kern w:val="2"/>
                <w:szCs w:val="24"/>
              </w:rPr>
            </w:pPr>
          </w:p>
        </w:tc>
        <w:tc>
          <w:tcPr>
            <w:tcW w:w="640" w:type="pct"/>
            <w:tcBorders>
              <w:left w:val="single" w:color="auto" w:sz="4" w:space="0"/>
              <w:right w:val="single" w:color="auto" w:sz="4" w:space="0"/>
            </w:tcBorders>
            <w:vAlign w:val="center"/>
          </w:tcPr>
          <w:p w14:paraId="25962C8D">
            <w:pPr>
              <w:pStyle w:val="27"/>
              <w:ind w:right="-21" w:firstLine="0" w:firstLineChars="0"/>
              <w:jc w:val="center"/>
              <w:rPr>
                <w:rFonts w:hint="eastAsia" w:ascii="宋体" w:hAnsi="宋体" w:eastAsia="宋体" w:cs="宋体"/>
                <w:bCs/>
                <w:color w:val="auto"/>
                <w:kern w:val="2"/>
                <w:szCs w:val="24"/>
                <w:highlight w:val="none"/>
              </w:rPr>
            </w:pPr>
            <w:r>
              <w:rPr>
                <w:rFonts w:hint="eastAsia" w:ascii="宋体" w:hAnsi="宋体" w:eastAsia="宋体" w:cs="宋体"/>
                <w:bCs/>
                <w:color w:val="auto"/>
                <w:kern w:val="2"/>
                <w:szCs w:val="24"/>
                <w:highlight w:val="none"/>
              </w:rPr>
              <w:t>体系认证</w:t>
            </w:r>
          </w:p>
          <w:p w14:paraId="0D37E562">
            <w:pPr>
              <w:pStyle w:val="27"/>
              <w:ind w:right="-21" w:firstLine="0" w:firstLineChars="0"/>
              <w:jc w:val="center"/>
              <w:rPr>
                <w:rFonts w:hint="eastAsia" w:ascii="宋体" w:hAnsi="宋体" w:eastAsia="宋体" w:cs="宋体"/>
                <w:bCs/>
                <w:color w:val="auto"/>
                <w:kern w:val="2"/>
                <w:szCs w:val="24"/>
                <w:highlight w:val="none"/>
              </w:rPr>
            </w:pPr>
            <w:r>
              <w:rPr>
                <w:rFonts w:hint="eastAsia" w:ascii="宋体" w:hAnsi="宋体" w:eastAsia="宋体" w:cs="宋体"/>
                <w:bCs/>
                <w:color w:val="auto"/>
                <w:kern w:val="2"/>
                <w:szCs w:val="24"/>
                <w:highlight w:val="none"/>
              </w:rPr>
              <w:t>（3分）</w:t>
            </w:r>
          </w:p>
        </w:tc>
        <w:tc>
          <w:tcPr>
            <w:tcW w:w="3443" w:type="pct"/>
            <w:tcBorders>
              <w:top w:val="single" w:color="auto" w:sz="4" w:space="0"/>
              <w:left w:val="single" w:color="auto" w:sz="4" w:space="0"/>
              <w:bottom w:val="single" w:color="auto" w:sz="4" w:space="0"/>
              <w:right w:val="single" w:color="auto" w:sz="4" w:space="0"/>
            </w:tcBorders>
            <w:vAlign w:val="center"/>
          </w:tcPr>
          <w:p w14:paraId="34679102">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投标人或所投核心产品制造商具有ISO9001质量管理体系、环境管理体系ISO14001、职业健康安全管理体系45001的认证证书的得3分，每缺一项扣1分。</w:t>
            </w:r>
          </w:p>
          <w:p w14:paraId="0432BA3E">
            <w:pPr>
              <w:pStyle w:val="27"/>
              <w:ind w:right="-21" w:firstLine="0" w:firstLineChars="0"/>
              <w:rPr>
                <w:rFonts w:ascii="宋体" w:hAnsi="宋体" w:cs="宋体"/>
                <w:color w:val="auto"/>
                <w:szCs w:val="24"/>
                <w:highlight w:val="none"/>
              </w:rPr>
            </w:pPr>
            <w:r>
              <w:rPr>
                <w:rFonts w:hint="eastAsia" w:ascii="宋体" w:hAnsi="宋体" w:eastAsia="宋体" w:cs="宋体"/>
                <w:bCs/>
                <w:color w:val="auto"/>
                <w:szCs w:val="24"/>
                <w:highlight w:val="none"/>
              </w:rPr>
              <w:t>（提供证书原件扫描件并加盖公章，否则不得分）</w:t>
            </w:r>
          </w:p>
        </w:tc>
      </w:tr>
      <w:tr w14:paraId="3679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246" w:type="pct"/>
            <w:vMerge w:val="continue"/>
            <w:tcBorders>
              <w:left w:val="single" w:color="auto" w:sz="4" w:space="0"/>
              <w:right w:val="single" w:color="auto" w:sz="4" w:space="0"/>
            </w:tcBorders>
            <w:vAlign w:val="center"/>
          </w:tcPr>
          <w:p w14:paraId="3D25E7AE">
            <w:pPr>
              <w:pStyle w:val="27"/>
              <w:ind w:right="-21" w:firstLine="0" w:firstLineChars="0"/>
              <w:rPr>
                <w:rFonts w:hint="eastAsia" w:ascii="宋体" w:hAnsi="宋体" w:eastAsia="宋体" w:cs="宋体"/>
                <w:bCs/>
                <w:color w:val="auto"/>
                <w:kern w:val="2"/>
                <w:szCs w:val="24"/>
              </w:rPr>
            </w:pPr>
          </w:p>
        </w:tc>
        <w:tc>
          <w:tcPr>
            <w:tcW w:w="669" w:type="pct"/>
            <w:vMerge w:val="continue"/>
            <w:tcBorders>
              <w:left w:val="single" w:color="auto" w:sz="4" w:space="0"/>
              <w:right w:val="single" w:color="auto" w:sz="4" w:space="0"/>
            </w:tcBorders>
            <w:vAlign w:val="center"/>
          </w:tcPr>
          <w:p w14:paraId="7235C0E5">
            <w:pPr>
              <w:pStyle w:val="27"/>
              <w:ind w:right="-21" w:firstLine="0" w:firstLineChars="0"/>
              <w:rPr>
                <w:rFonts w:hint="eastAsia" w:ascii="宋体" w:hAnsi="宋体" w:eastAsia="宋体" w:cs="宋体"/>
                <w:bCs/>
                <w:color w:val="auto"/>
                <w:kern w:val="2"/>
                <w:szCs w:val="24"/>
              </w:rPr>
            </w:pPr>
          </w:p>
        </w:tc>
        <w:tc>
          <w:tcPr>
            <w:tcW w:w="640" w:type="pct"/>
            <w:tcBorders>
              <w:left w:val="single" w:color="auto" w:sz="4" w:space="0"/>
              <w:right w:val="single" w:color="auto" w:sz="4" w:space="0"/>
            </w:tcBorders>
            <w:shd w:val="clear" w:color="auto" w:fill="auto"/>
            <w:vAlign w:val="center"/>
          </w:tcPr>
          <w:p w14:paraId="1336045C">
            <w:pPr>
              <w:pStyle w:val="27"/>
              <w:ind w:right="-21" w:firstLine="0" w:firstLineChars="0"/>
              <w:jc w:val="center"/>
              <w:rPr>
                <w:rFonts w:hint="eastAsia" w:ascii="宋体" w:hAnsi="宋体" w:eastAsia="宋体" w:cs="宋体"/>
                <w:bCs/>
                <w:color w:val="auto"/>
                <w:kern w:val="2"/>
                <w:szCs w:val="24"/>
                <w:highlight w:val="none"/>
              </w:rPr>
            </w:pPr>
            <w:r>
              <w:rPr>
                <w:rFonts w:hint="eastAsia" w:ascii="宋体" w:hAnsi="宋体" w:eastAsia="宋体" w:cs="宋体"/>
                <w:bCs/>
                <w:color w:val="auto"/>
                <w:kern w:val="2"/>
                <w:szCs w:val="24"/>
                <w:highlight w:val="none"/>
              </w:rPr>
              <w:t>企业信誉</w:t>
            </w:r>
          </w:p>
          <w:p w14:paraId="1A51F7F2">
            <w:pPr>
              <w:pStyle w:val="27"/>
              <w:ind w:right="-21" w:firstLine="0" w:firstLineChars="0"/>
              <w:jc w:val="center"/>
              <w:rPr>
                <w:rFonts w:hint="eastAsia" w:ascii="宋体" w:hAnsi="宋体" w:eastAsia="宋体" w:cs="宋体"/>
                <w:bCs/>
                <w:color w:val="auto"/>
                <w:kern w:val="2"/>
                <w:szCs w:val="24"/>
                <w:highlight w:val="none"/>
              </w:rPr>
            </w:pPr>
            <w:r>
              <w:rPr>
                <w:rFonts w:hint="eastAsia" w:ascii="宋体" w:hAnsi="宋体" w:eastAsia="宋体" w:cs="宋体"/>
                <w:bCs/>
                <w:color w:val="auto"/>
                <w:kern w:val="2"/>
                <w:szCs w:val="24"/>
                <w:highlight w:val="none"/>
              </w:rPr>
              <w:t>（2分）</w:t>
            </w:r>
          </w:p>
        </w:tc>
        <w:tc>
          <w:tcPr>
            <w:tcW w:w="3443" w:type="pct"/>
            <w:tcBorders>
              <w:top w:val="single" w:color="auto" w:sz="4" w:space="0"/>
              <w:left w:val="single" w:color="auto" w:sz="4" w:space="0"/>
              <w:bottom w:val="single" w:color="auto" w:sz="4" w:space="0"/>
              <w:right w:val="single" w:color="auto" w:sz="4" w:space="0"/>
            </w:tcBorders>
            <w:shd w:val="clear" w:color="auto" w:fill="auto"/>
            <w:vAlign w:val="center"/>
          </w:tcPr>
          <w:p w14:paraId="55A1AD12">
            <w:pPr>
              <w:pStyle w:val="27"/>
              <w:ind w:right="-21" w:firstLine="0" w:firstLineChars="0"/>
              <w:rPr>
                <w:rFonts w:hint="eastAsia" w:ascii="宋体" w:hAnsi="宋体" w:eastAsia="宋体" w:cs="宋体"/>
                <w:bCs/>
                <w:color w:val="auto"/>
                <w:szCs w:val="24"/>
                <w:highlight w:val="none"/>
              </w:rPr>
            </w:pPr>
            <w:r>
              <w:rPr>
                <w:rFonts w:hint="eastAsia" w:ascii="宋体" w:hAnsi="宋体" w:eastAsia="宋体" w:cs="宋体"/>
                <w:color w:val="auto"/>
                <w:szCs w:val="24"/>
                <w:highlight w:val="none"/>
              </w:rPr>
              <w:t>投标人或所投核心产品制造商</w:t>
            </w:r>
            <w:r>
              <w:rPr>
                <w:rFonts w:hint="eastAsia" w:ascii="宋体" w:hAnsi="宋体" w:eastAsia="宋体" w:cs="宋体"/>
                <w:bCs/>
                <w:color w:val="auto"/>
                <w:szCs w:val="24"/>
                <w:highlight w:val="none"/>
              </w:rPr>
              <w:t>具有高新技术企业证书的得2分。（提供证书原件扫描件并加盖公章，否则不得分）</w:t>
            </w:r>
          </w:p>
        </w:tc>
      </w:tr>
      <w:tr w14:paraId="2AE7B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246" w:type="pct"/>
            <w:vMerge w:val="continue"/>
            <w:tcBorders>
              <w:left w:val="single" w:color="auto" w:sz="4" w:space="0"/>
              <w:right w:val="single" w:color="auto" w:sz="4" w:space="0"/>
            </w:tcBorders>
            <w:vAlign w:val="center"/>
          </w:tcPr>
          <w:p w14:paraId="69921326">
            <w:pPr>
              <w:pStyle w:val="27"/>
              <w:ind w:right="-21" w:firstLine="0" w:firstLineChars="0"/>
              <w:rPr>
                <w:rFonts w:hint="eastAsia" w:ascii="宋体" w:hAnsi="宋体" w:eastAsia="宋体" w:cs="宋体"/>
                <w:bCs/>
                <w:color w:val="auto"/>
                <w:kern w:val="2"/>
                <w:szCs w:val="24"/>
              </w:rPr>
            </w:pPr>
          </w:p>
        </w:tc>
        <w:tc>
          <w:tcPr>
            <w:tcW w:w="669" w:type="pct"/>
            <w:vMerge w:val="continue"/>
            <w:tcBorders>
              <w:left w:val="single" w:color="auto" w:sz="4" w:space="0"/>
              <w:right w:val="single" w:color="auto" w:sz="4" w:space="0"/>
            </w:tcBorders>
            <w:vAlign w:val="center"/>
          </w:tcPr>
          <w:p w14:paraId="23F59929">
            <w:pPr>
              <w:pStyle w:val="27"/>
              <w:ind w:right="-21" w:firstLine="0" w:firstLineChars="0"/>
              <w:rPr>
                <w:rFonts w:hint="eastAsia" w:ascii="宋体" w:hAnsi="宋体" w:eastAsia="宋体" w:cs="宋体"/>
                <w:bCs/>
                <w:color w:val="auto"/>
                <w:kern w:val="2"/>
                <w:szCs w:val="24"/>
              </w:rPr>
            </w:pPr>
          </w:p>
        </w:tc>
        <w:tc>
          <w:tcPr>
            <w:tcW w:w="640" w:type="pct"/>
            <w:tcBorders>
              <w:left w:val="single" w:color="auto" w:sz="4" w:space="0"/>
              <w:right w:val="single" w:color="auto" w:sz="4" w:space="0"/>
            </w:tcBorders>
            <w:vAlign w:val="center"/>
          </w:tcPr>
          <w:p w14:paraId="20017324">
            <w:pPr>
              <w:tabs>
                <w:tab w:val="left" w:pos="5130"/>
              </w:tabs>
              <w:adjustRightInd w:val="0"/>
              <w:snapToGrid w:val="0"/>
              <w:spacing w:after="50"/>
              <w:ind w:right="-10"/>
              <w:jc w:val="center"/>
              <w:rPr>
                <w:rFonts w:hint="eastAsia" w:ascii="宋体" w:hAnsi="宋体" w:cs="宋体"/>
                <w:color w:val="auto"/>
                <w:sz w:val="24"/>
                <w:szCs w:val="28"/>
              </w:rPr>
            </w:pPr>
            <w:r>
              <w:rPr>
                <w:rFonts w:hint="eastAsia" w:ascii="宋体" w:hAnsi="宋体"/>
                <w:color w:val="auto"/>
                <w:sz w:val="24"/>
                <w:szCs w:val="24"/>
              </w:rPr>
              <w:t>勘察现场</w:t>
            </w:r>
          </w:p>
          <w:p w14:paraId="72AAFD39">
            <w:pPr>
              <w:tabs>
                <w:tab w:val="left" w:pos="5130"/>
              </w:tabs>
              <w:adjustRightInd w:val="0"/>
              <w:snapToGrid w:val="0"/>
              <w:spacing w:after="50"/>
              <w:ind w:right="-10"/>
              <w:jc w:val="center"/>
              <w:rPr>
                <w:rFonts w:hint="eastAsia" w:ascii="宋体" w:hAnsi="宋体" w:cs="宋体"/>
                <w:bCs/>
                <w:color w:val="auto"/>
                <w:szCs w:val="24"/>
              </w:rPr>
            </w:pPr>
            <w:r>
              <w:rPr>
                <w:rFonts w:hint="eastAsia" w:ascii="宋体" w:hAnsi="宋体" w:cs="宋体"/>
                <w:color w:val="auto"/>
                <w:sz w:val="24"/>
                <w:szCs w:val="28"/>
              </w:rPr>
              <w:t>（5分）</w:t>
            </w:r>
          </w:p>
        </w:tc>
        <w:tc>
          <w:tcPr>
            <w:tcW w:w="3443" w:type="pct"/>
            <w:tcBorders>
              <w:top w:val="single" w:color="auto" w:sz="4" w:space="0"/>
              <w:left w:val="single" w:color="auto" w:sz="4" w:space="0"/>
              <w:bottom w:val="single" w:color="auto" w:sz="4" w:space="0"/>
              <w:right w:val="single" w:color="auto" w:sz="4" w:space="0"/>
            </w:tcBorders>
            <w:vAlign w:val="center"/>
          </w:tcPr>
          <w:p w14:paraId="67BA1154">
            <w:pPr>
              <w:tabs>
                <w:tab w:val="left" w:pos="5130"/>
              </w:tabs>
              <w:adjustRightInd w:val="0"/>
              <w:snapToGrid w:val="0"/>
              <w:spacing w:after="50" w:line="360" w:lineRule="auto"/>
              <w:ind w:right="-10"/>
              <w:jc w:val="left"/>
              <w:rPr>
                <w:rFonts w:hint="eastAsia" w:ascii="宋体" w:hAnsi="宋体" w:cs="宋体"/>
                <w:bCs/>
                <w:color w:val="auto"/>
                <w:szCs w:val="24"/>
              </w:rPr>
            </w:pPr>
            <w:r>
              <w:rPr>
                <w:rFonts w:hint="eastAsia" w:ascii="宋体" w:hAnsi="宋体" w:cs="宋体"/>
                <w:color w:val="auto"/>
                <w:sz w:val="24"/>
                <w:szCs w:val="28"/>
              </w:rPr>
              <w:t>因项目情况复杂，技术要求较高，为使供应商充分了解评估建设地点基本情况及后期运维服务工作，避免盲目投标，保障项目后期的顺利实施，投标人可自行对设备安装现场和周围环境进行勘察。经采购人证实已到现场勘察的合格供应商，采购人开具加盖采购单位公章的勘察证明函。供应商将证明原件放在投标文件中（电子标为原件扫描件）。供应商提供勘查证明的得5分，未提供不得分。</w:t>
            </w:r>
            <w:r>
              <w:rPr>
                <w:rFonts w:hint="eastAsia" w:ascii="宋体" w:hAnsi="宋体" w:cs="宋体"/>
                <w:color w:val="auto"/>
                <w:sz w:val="24"/>
                <w:szCs w:val="28"/>
                <w:lang w:val="en-US" w:eastAsia="zh-CN"/>
              </w:rPr>
              <w:t>现场勘查</w:t>
            </w:r>
            <w:r>
              <w:rPr>
                <w:rFonts w:hint="eastAsia" w:ascii="宋体" w:hAnsi="宋体" w:cs="宋体"/>
                <w:color w:val="auto"/>
                <w:sz w:val="24"/>
                <w:szCs w:val="28"/>
                <w:lang w:eastAsia="zh-CN"/>
              </w:rPr>
              <w:t>联系人：张勇 ，联系方式：15297129759</w:t>
            </w:r>
            <w:r>
              <w:rPr>
                <w:rFonts w:hint="eastAsia" w:ascii="宋体" w:hAnsi="宋体" w:cs="宋体"/>
                <w:color w:val="auto"/>
                <w:sz w:val="24"/>
                <w:szCs w:val="28"/>
                <w:lang w:val="zh-CN"/>
              </w:rPr>
              <w:t>。</w:t>
            </w:r>
          </w:p>
        </w:tc>
      </w:tr>
    </w:tbl>
    <w:p w14:paraId="1646596A">
      <w:pPr>
        <w:tabs>
          <w:tab w:val="left" w:pos="5130"/>
        </w:tabs>
        <w:adjustRightInd w:val="0"/>
        <w:snapToGrid w:val="0"/>
        <w:spacing w:after="50" w:line="360" w:lineRule="auto"/>
        <w:ind w:right="-10"/>
        <w:jc w:val="left"/>
        <w:rPr>
          <w:rFonts w:hint="eastAsia" w:ascii="宋体" w:hAnsi="宋体" w:cs="宋体"/>
          <w:color w:val="auto"/>
          <w:sz w:val="24"/>
          <w:szCs w:val="28"/>
        </w:rPr>
      </w:pPr>
      <w:r>
        <w:rPr>
          <w:rFonts w:hint="eastAsia" w:ascii="宋体" w:hAnsi="宋体" w:cs="宋体"/>
          <w:color w:val="auto"/>
          <w:sz w:val="24"/>
          <w:szCs w:val="28"/>
        </w:rPr>
        <w:t>备注：相关证明材料要求招标公告发布前获得，否则视为无效。</w:t>
      </w:r>
    </w:p>
    <w:p w14:paraId="23E0ED88">
      <w:pPr>
        <w:pStyle w:val="13"/>
        <w:spacing w:line="360" w:lineRule="auto"/>
        <w:ind w:right="-10" w:firstLine="482" w:firstLineChars="200"/>
        <w:rPr>
          <w:rFonts w:hint="eastAsia" w:ascii="宋体" w:hAnsi="宋体" w:eastAsia="宋体" w:cs="宋体"/>
          <w:b/>
          <w:color w:val="auto"/>
          <w:kern w:val="1"/>
          <w:sz w:val="24"/>
        </w:rPr>
      </w:pPr>
      <w:r>
        <w:rPr>
          <w:rFonts w:hint="eastAsia" w:ascii="宋体" w:hAnsi="宋体" w:eastAsia="宋体" w:cs="宋体"/>
          <w:b/>
          <w:color w:val="auto"/>
          <w:kern w:val="1"/>
          <w:sz w:val="24"/>
        </w:rPr>
        <w:t>注：评标结束后，由采购人对评审结果及响应文件等进行复核，并在法定的时间内确定中标人。</w:t>
      </w:r>
    </w:p>
    <w:p w14:paraId="070552D3">
      <w:pPr>
        <w:adjustRightInd w:val="0"/>
        <w:snapToGrid w:val="0"/>
        <w:spacing w:line="360" w:lineRule="auto"/>
        <w:ind w:right="-10" w:firstLine="480" w:firstLineChars="200"/>
        <w:rPr>
          <w:rFonts w:hint="eastAsia" w:ascii="宋体" w:hAnsi="宋体" w:cs="宋体"/>
          <w:bCs/>
          <w:color w:val="auto"/>
          <w:sz w:val="24"/>
        </w:rPr>
      </w:pPr>
      <w:r>
        <w:rPr>
          <w:rFonts w:hint="eastAsia" w:ascii="宋体" w:hAnsi="宋体" w:cs="宋体"/>
          <w:bCs/>
          <w:color w:val="auto"/>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72472903">
      <w:pPr>
        <w:adjustRightInd w:val="0"/>
        <w:snapToGrid w:val="0"/>
        <w:spacing w:line="360" w:lineRule="auto"/>
        <w:ind w:right="-10" w:firstLine="480" w:firstLineChars="200"/>
        <w:rPr>
          <w:rFonts w:hint="eastAsia" w:ascii="宋体" w:hAnsi="宋体" w:cs="宋体"/>
          <w:bCs/>
          <w:color w:val="auto"/>
          <w:sz w:val="24"/>
        </w:rPr>
      </w:pPr>
      <w:r>
        <w:rPr>
          <w:rFonts w:hint="eastAsia" w:ascii="宋体" w:hAnsi="宋体" w:cs="宋体"/>
          <w:bCs/>
          <w:color w:val="auto"/>
          <w:sz w:val="24"/>
        </w:rPr>
        <w:t>2、按照周口市交易中心规定，本项目投标人所需提供原件在评标时无需提供，仅作为采购单位核实时使用，评审委员会评审时仅以投标人投标文件中扫描件为准。</w:t>
      </w:r>
    </w:p>
    <w:p w14:paraId="2EFD596B">
      <w:pPr>
        <w:pStyle w:val="13"/>
        <w:spacing w:line="360" w:lineRule="auto"/>
        <w:ind w:right="-10" w:firstLine="482" w:firstLineChars="200"/>
        <w:rPr>
          <w:rFonts w:hint="eastAsia" w:ascii="宋体" w:hAnsi="宋体" w:eastAsia="宋体" w:cs="宋体"/>
          <w:bCs/>
          <w:color w:val="auto"/>
          <w:sz w:val="24"/>
        </w:rPr>
      </w:pPr>
      <w:r>
        <w:rPr>
          <w:rFonts w:hint="eastAsia" w:ascii="宋体" w:hAnsi="宋体" w:eastAsia="宋体" w:cs="宋体"/>
          <w:b/>
          <w:bCs/>
          <w:color w:val="auto"/>
          <w:sz w:val="24"/>
        </w:rPr>
        <w:t>第十条</w:t>
      </w:r>
      <w:r>
        <w:rPr>
          <w:rFonts w:hint="eastAsia" w:ascii="宋体" w:hAnsi="宋体" w:eastAsia="宋体" w:cs="宋体"/>
          <w:bCs/>
          <w:color w:val="auto"/>
          <w:sz w:val="24"/>
        </w:rPr>
        <w:t xml:space="preserve"> 评委独立评审后，评委会对投标人某项指标如有不同意见，按照少数服从多数的原则，确定该项指标是否通过。</w:t>
      </w:r>
    </w:p>
    <w:p w14:paraId="485C2521">
      <w:pPr>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第十一条</w:t>
      </w:r>
      <w:r>
        <w:rPr>
          <w:rFonts w:hint="eastAsia" w:ascii="宋体" w:hAnsi="宋体" w:cs="宋体"/>
          <w:bCs/>
          <w:color w:val="auto"/>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120932DD">
      <w:pPr>
        <w:pStyle w:val="13"/>
        <w:spacing w:line="360" w:lineRule="auto"/>
        <w:ind w:right="-10" w:firstLine="482"/>
        <w:rPr>
          <w:rFonts w:hint="eastAsia" w:ascii="宋体" w:hAnsi="宋体" w:eastAsia="宋体" w:cs="宋体"/>
          <w:bCs/>
          <w:color w:val="auto"/>
          <w:sz w:val="24"/>
        </w:rPr>
      </w:pPr>
      <w:r>
        <w:rPr>
          <w:rFonts w:hint="eastAsia" w:ascii="宋体" w:hAnsi="宋体" w:eastAsia="宋体" w:cs="宋体"/>
          <w:b/>
          <w:bCs/>
          <w:color w:val="auto"/>
          <w:sz w:val="24"/>
        </w:rPr>
        <w:t>第十二条</w:t>
      </w:r>
      <w:r>
        <w:rPr>
          <w:rFonts w:hint="eastAsia" w:ascii="宋体" w:hAnsi="宋体" w:eastAsia="宋体" w:cs="宋体"/>
          <w:bCs/>
          <w:color w:val="auto"/>
          <w:sz w:val="24"/>
        </w:rPr>
        <w:t xml:space="preserve"> 评委会在评标过程中发现的问题，应当及时作出处理或者向采购人提出处理建议，并作书面记录。</w:t>
      </w:r>
    </w:p>
    <w:p w14:paraId="05F113E4">
      <w:pPr>
        <w:adjustRightInd w:val="0"/>
        <w:snapToGrid w:val="0"/>
        <w:spacing w:line="360" w:lineRule="auto"/>
        <w:ind w:right="-10" w:firstLine="482" w:firstLineChars="200"/>
        <w:rPr>
          <w:rFonts w:hint="eastAsia" w:ascii="宋体" w:hAnsi="宋体" w:cs="宋体"/>
          <w:bCs/>
          <w:color w:val="auto"/>
          <w:sz w:val="24"/>
        </w:rPr>
      </w:pPr>
      <w:r>
        <w:rPr>
          <w:rFonts w:hint="eastAsia" w:ascii="宋体" w:hAnsi="宋体" w:cs="宋体"/>
          <w:b/>
          <w:bCs/>
          <w:color w:val="auto"/>
          <w:sz w:val="24"/>
        </w:rPr>
        <w:t>第十三条</w:t>
      </w:r>
      <w:r>
        <w:rPr>
          <w:rFonts w:hint="eastAsia" w:ascii="宋体" w:hAnsi="宋体" w:cs="宋体"/>
          <w:bCs/>
          <w:color w:val="auto"/>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0C94CFDF">
      <w:pPr>
        <w:rPr>
          <w:rFonts w:hint="eastAsia" w:ascii="宋体" w:hAnsi="宋体" w:cs="宋体"/>
          <w:color w:val="auto"/>
        </w:rPr>
      </w:pPr>
    </w:p>
    <w:p w14:paraId="43F760C6">
      <w:pPr>
        <w:adjustRightInd w:val="0"/>
        <w:snapToGrid w:val="0"/>
        <w:spacing w:line="360" w:lineRule="auto"/>
        <w:jc w:val="center"/>
        <w:rPr>
          <w:rFonts w:hint="eastAsia" w:ascii="宋体" w:hAnsi="宋体" w:cs="宋体"/>
          <w:b/>
          <w:bCs/>
          <w:color w:val="auto"/>
          <w:sz w:val="24"/>
        </w:rPr>
      </w:pPr>
      <w:bookmarkStart w:id="55" w:name="_Toc40_WPSOffice_Level2"/>
      <w:r>
        <w:rPr>
          <w:rFonts w:hint="eastAsia" w:ascii="宋体" w:hAnsi="宋体" w:cs="宋体"/>
          <w:b/>
          <w:bCs/>
          <w:color w:val="auto"/>
          <w:sz w:val="24"/>
        </w:rPr>
        <w:t>三．评标纪律</w:t>
      </w:r>
      <w:bookmarkEnd w:id="55"/>
    </w:p>
    <w:p w14:paraId="04485FB4">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bCs/>
          <w:color w:val="auto"/>
          <w:sz w:val="24"/>
        </w:rPr>
        <w:t>第十四条</w:t>
      </w:r>
      <w:r>
        <w:rPr>
          <w:rFonts w:hint="eastAsia" w:ascii="宋体" w:hAnsi="宋体" w:cs="宋体"/>
          <w:bCs/>
          <w:color w:val="auto"/>
          <w:sz w:val="24"/>
        </w:rPr>
        <w:t xml:space="preserve"> 评委会和评标工作人员应严格遵守国家的法律、法规和规章制度；</w:t>
      </w:r>
      <w:r>
        <w:rPr>
          <w:rFonts w:hint="eastAsia" w:ascii="宋体" w:hAnsi="宋体" w:cs="宋体"/>
          <w:color w:val="auto"/>
          <w:sz w:val="24"/>
        </w:rPr>
        <w:t>严格按照本次招标文件进行评标；公正廉洁、不徇私情，不得损害国家利益；保护招、投标人的合法权益。</w:t>
      </w:r>
    </w:p>
    <w:p w14:paraId="678C32B6">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bCs/>
          <w:color w:val="auto"/>
          <w:sz w:val="24"/>
        </w:rPr>
        <w:t xml:space="preserve">第十五条 </w:t>
      </w:r>
      <w:r>
        <w:rPr>
          <w:rFonts w:hint="eastAsia" w:ascii="宋体" w:hAnsi="宋体" w:cs="宋体"/>
          <w:color w:val="auto"/>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08826469">
      <w:pPr>
        <w:spacing w:line="360" w:lineRule="auto"/>
        <w:ind w:firstLine="482" w:firstLineChars="200"/>
        <w:jc w:val="left"/>
        <w:rPr>
          <w:rFonts w:hint="eastAsia" w:ascii="宋体" w:hAnsi="宋体" w:cs="宋体"/>
          <w:color w:val="auto"/>
          <w:sz w:val="24"/>
        </w:rPr>
      </w:pPr>
      <w:r>
        <w:rPr>
          <w:rFonts w:hint="eastAsia" w:ascii="宋体" w:hAnsi="宋体" w:cs="宋体"/>
          <w:b/>
          <w:color w:val="auto"/>
          <w:sz w:val="24"/>
        </w:rPr>
        <w:t>第十六条</w:t>
      </w:r>
      <w:r>
        <w:rPr>
          <w:rFonts w:hint="eastAsia" w:ascii="宋体" w:hAnsi="宋体" w:cs="宋体"/>
          <w:color w:val="auto"/>
          <w:sz w:val="24"/>
        </w:rPr>
        <w:t xml:space="preserve"> 在招标采购中，出现下列情形之一的，应予废标：</w:t>
      </w:r>
    </w:p>
    <w:p w14:paraId="0D52C007">
      <w:pPr>
        <w:spacing w:line="360" w:lineRule="auto"/>
        <w:ind w:firstLine="480" w:firstLineChars="200"/>
        <w:rPr>
          <w:rFonts w:hint="eastAsia" w:ascii="宋体" w:hAnsi="宋体" w:cs="宋体"/>
          <w:color w:val="auto"/>
          <w:sz w:val="24"/>
        </w:rPr>
      </w:pPr>
      <w:r>
        <w:rPr>
          <w:rFonts w:hint="eastAsia" w:ascii="宋体" w:hAnsi="宋体" w:cs="宋体"/>
          <w:color w:val="auto"/>
          <w:sz w:val="24"/>
        </w:rPr>
        <w:t>1.出现影响采购公正的违法、违规行为的。</w:t>
      </w:r>
    </w:p>
    <w:p w14:paraId="3A9D82A4">
      <w:pPr>
        <w:spacing w:line="360" w:lineRule="auto"/>
        <w:ind w:firstLine="480" w:firstLineChars="200"/>
        <w:rPr>
          <w:rFonts w:hint="eastAsia" w:ascii="宋体" w:hAnsi="宋体" w:cs="宋体"/>
          <w:color w:val="auto"/>
          <w:sz w:val="24"/>
        </w:rPr>
      </w:pPr>
      <w:r>
        <w:rPr>
          <w:rFonts w:hint="eastAsia" w:ascii="宋体" w:hAnsi="宋体" w:cs="宋体"/>
          <w:color w:val="auto"/>
          <w:sz w:val="24"/>
        </w:rPr>
        <w:t>2.投标时有弄虚作假的行为。</w:t>
      </w:r>
    </w:p>
    <w:p w14:paraId="47A9ACF6">
      <w:pPr>
        <w:spacing w:line="360" w:lineRule="auto"/>
        <w:ind w:firstLine="475" w:firstLineChars="197"/>
        <w:rPr>
          <w:rFonts w:hint="eastAsia" w:ascii="宋体" w:hAnsi="宋体" w:cs="宋体"/>
          <w:color w:val="auto"/>
          <w:sz w:val="24"/>
        </w:rPr>
      </w:pPr>
      <w:r>
        <w:rPr>
          <w:rFonts w:hint="eastAsia" w:ascii="宋体" w:hAnsi="宋体" w:cs="宋体"/>
          <w:b/>
          <w:color w:val="auto"/>
          <w:sz w:val="24"/>
        </w:rPr>
        <w:t xml:space="preserve">第十七条 </w:t>
      </w:r>
      <w:r>
        <w:rPr>
          <w:rFonts w:hint="eastAsia" w:ascii="宋体" w:hAnsi="宋体" w:cs="宋体"/>
          <w:color w:val="auto"/>
          <w:sz w:val="24"/>
        </w:rPr>
        <w:t>在投标过程中，出现下列情况之一的，按照无效投标处理：</w:t>
      </w:r>
    </w:p>
    <w:p w14:paraId="535D3BF9">
      <w:pPr>
        <w:spacing w:line="360" w:lineRule="auto"/>
        <w:ind w:firstLine="480" w:firstLineChars="200"/>
        <w:rPr>
          <w:rFonts w:hint="eastAsia" w:ascii="宋体" w:hAnsi="宋体" w:cs="宋体"/>
          <w:color w:val="auto"/>
          <w:sz w:val="24"/>
        </w:rPr>
      </w:pPr>
      <w:r>
        <w:rPr>
          <w:rFonts w:hint="eastAsia" w:ascii="宋体" w:hAnsi="宋体" w:cs="宋体"/>
          <w:color w:val="auto"/>
          <w:sz w:val="24"/>
        </w:rPr>
        <w:t>1.未按照招标文件规定要求签署、签章的</w:t>
      </w:r>
      <w:r>
        <w:rPr>
          <w:rFonts w:hint="eastAsia" w:ascii="宋体" w:hAnsi="宋体" w:cs="宋体"/>
          <w:b/>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AD29ACC">
      <w:pPr>
        <w:spacing w:line="360" w:lineRule="auto"/>
        <w:ind w:firstLine="480" w:firstLineChars="200"/>
        <w:rPr>
          <w:rFonts w:hint="eastAsia" w:ascii="宋体" w:hAnsi="宋体" w:cs="宋体"/>
          <w:color w:val="auto"/>
          <w:sz w:val="24"/>
        </w:rPr>
      </w:pPr>
      <w:r>
        <w:rPr>
          <w:rFonts w:hint="eastAsia" w:ascii="宋体" w:hAnsi="宋体" w:cs="宋体"/>
          <w:color w:val="auto"/>
          <w:sz w:val="24"/>
        </w:rPr>
        <w:t>2.不具备招标文件中规定资格要求的；</w:t>
      </w:r>
    </w:p>
    <w:p w14:paraId="3C8947B2">
      <w:pPr>
        <w:spacing w:line="360" w:lineRule="auto"/>
        <w:ind w:firstLine="480" w:firstLineChars="200"/>
        <w:rPr>
          <w:rFonts w:hint="eastAsia" w:ascii="宋体" w:hAnsi="宋体" w:cs="宋体"/>
          <w:color w:val="auto"/>
          <w:sz w:val="24"/>
        </w:rPr>
      </w:pPr>
      <w:r>
        <w:rPr>
          <w:rFonts w:hint="eastAsia" w:ascii="宋体" w:hAnsi="宋体" w:cs="宋体"/>
          <w:color w:val="auto"/>
          <w:sz w:val="24"/>
        </w:rPr>
        <w:t>3.不符合法律、法规和招标文件中规定的其他实质性要求的。</w:t>
      </w:r>
    </w:p>
    <w:p w14:paraId="79904B5B">
      <w:pPr>
        <w:spacing w:line="360" w:lineRule="auto"/>
        <w:ind w:firstLine="480" w:firstLineChars="200"/>
        <w:rPr>
          <w:rFonts w:hint="eastAsia" w:ascii="宋体" w:hAnsi="宋体" w:cs="宋体"/>
          <w:color w:val="auto"/>
          <w:sz w:val="24"/>
        </w:rPr>
      </w:pPr>
      <w:r>
        <w:rPr>
          <w:rFonts w:hint="eastAsia" w:ascii="宋体" w:hAnsi="宋体" w:cs="宋体"/>
          <w:color w:val="auto"/>
          <w:sz w:val="24"/>
        </w:rPr>
        <w:t>4.投标人的报价超过了采购预算，采购人不能支付的；</w:t>
      </w:r>
    </w:p>
    <w:p w14:paraId="2FA7DE24">
      <w:pPr>
        <w:spacing w:line="360" w:lineRule="auto"/>
        <w:ind w:firstLine="480" w:firstLineChars="200"/>
        <w:rPr>
          <w:rFonts w:hint="eastAsia" w:ascii="宋体" w:hAnsi="宋体" w:cs="宋体"/>
          <w:color w:val="auto"/>
          <w:sz w:val="24"/>
        </w:rPr>
      </w:pPr>
      <w:r>
        <w:rPr>
          <w:rFonts w:hint="eastAsia" w:ascii="宋体" w:hAnsi="宋体" w:cs="宋体"/>
          <w:color w:val="auto"/>
          <w:sz w:val="24"/>
        </w:rPr>
        <w:t>5.投标文件附有招标人不能接受的条件；</w:t>
      </w:r>
    </w:p>
    <w:p w14:paraId="5601DD20">
      <w:pPr>
        <w:spacing w:line="360" w:lineRule="auto"/>
        <w:ind w:firstLine="480" w:firstLineChars="200"/>
        <w:rPr>
          <w:rFonts w:hint="eastAsia" w:ascii="宋体" w:hAnsi="宋体" w:cs="宋体"/>
          <w:color w:val="auto"/>
          <w:sz w:val="24"/>
        </w:rPr>
      </w:pPr>
      <w:r>
        <w:rPr>
          <w:rFonts w:hint="eastAsia" w:ascii="宋体" w:hAnsi="宋体" w:cs="宋体"/>
          <w:color w:val="auto"/>
          <w:sz w:val="24"/>
        </w:rPr>
        <w:t>6.投标文件中对同一货物或标段提供选择性报价的；</w:t>
      </w:r>
    </w:p>
    <w:p w14:paraId="208CEA7F">
      <w:pPr>
        <w:spacing w:line="360" w:lineRule="auto"/>
        <w:ind w:firstLine="480" w:firstLineChars="200"/>
        <w:rPr>
          <w:rFonts w:hint="eastAsia" w:ascii="宋体" w:hAnsi="宋体" w:cs="宋体"/>
          <w:color w:val="auto"/>
          <w:sz w:val="24"/>
        </w:rPr>
      </w:pPr>
      <w:r>
        <w:rPr>
          <w:rFonts w:hint="eastAsia" w:ascii="宋体" w:hAnsi="宋体" w:cs="宋体"/>
          <w:color w:val="auto"/>
          <w:sz w:val="24"/>
        </w:rPr>
        <w:t>7.商务偏差表或技术偏差表存在弄虚作假的；</w:t>
      </w:r>
    </w:p>
    <w:p w14:paraId="590CC3C1">
      <w:pPr>
        <w:spacing w:line="360" w:lineRule="auto"/>
        <w:ind w:firstLine="480" w:firstLineChars="200"/>
        <w:rPr>
          <w:rFonts w:hint="eastAsia" w:ascii="宋体" w:hAnsi="宋体" w:cs="宋体"/>
          <w:color w:val="auto"/>
          <w:sz w:val="24"/>
        </w:rPr>
      </w:pPr>
      <w:r>
        <w:rPr>
          <w:rFonts w:hint="eastAsia" w:ascii="宋体" w:hAnsi="宋体" w:cs="宋体"/>
          <w:color w:val="auto"/>
          <w:sz w:val="24"/>
        </w:rPr>
        <w:t>8.不同供应商的电子投标（响应）文件上传计算机的网卡 MAC 地址、CPU 序列号和硬盘序列号等硬件信息相同的;</w:t>
      </w:r>
    </w:p>
    <w:p w14:paraId="59BEB71A">
      <w:pPr>
        <w:spacing w:line="360" w:lineRule="auto"/>
        <w:ind w:firstLine="480" w:firstLineChars="200"/>
        <w:rPr>
          <w:rFonts w:hint="eastAsia" w:ascii="宋体" w:hAnsi="宋体" w:cs="宋体"/>
          <w:color w:val="auto"/>
          <w:sz w:val="24"/>
        </w:rPr>
      </w:pPr>
      <w:r>
        <w:rPr>
          <w:rFonts w:hint="eastAsia" w:ascii="宋体" w:hAnsi="宋体" w:cs="宋体"/>
          <w:color w:val="auto"/>
          <w:sz w:val="24"/>
        </w:rPr>
        <w:t>9.不同供应商的投标（响应）文件由同一电子设备编制，打印、复印、加密或者上传的；</w:t>
      </w:r>
    </w:p>
    <w:p w14:paraId="0483412F">
      <w:pPr>
        <w:spacing w:line="360" w:lineRule="auto"/>
        <w:ind w:firstLine="480" w:firstLineChars="200"/>
        <w:rPr>
          <w:rFonts w:hint="eastAsia" w:ascii="宋体" w:hAnsi="宋体" w:cs="宋体"/>
          <w:color w:val="auto"/>
          <w:sz w:val="24"/>
        </w:rPr>
      </w:pPr>
      <w:r>
        <w:rPr>
          <w:rFonts w:hint="eastAsia" w:ascii="宋体" w:hAnsi="宋体" w:cs="宋体"/>
          <w:color w:val="auto"/>
          <w:sz w:val="24"/>
        </w:rPr>
        <w:t>10.不同供应商的投标（响应）文件由同一人送达或者分发，或者不同供应商联系人为同一人或不同联系人的联系电话一致的；</w:t>
      </w:r>
    </w:p>
    <w:p w14:paraId="3A68484B">
      <w:pPr>
        <w:spacing w:line="360" w:lineRule="auto"/>
        <w:ind w:firstLine="480" w:firstLineChars="200"/>
        <w:rPr>
          <w:rFonts w:hint="eastAsia" w:ascii="宋体" w:hAnsi="宋体" w:cs="宋体"/>
          <w:color w:val="auto"/>
          <w:sz w:val="24"/>
        </w:rPr>
      </w:pPr>
      <w:r>
        <w:rPr>
          <w:rFonts w:hint="eastAsia" w:ascii="宋体" w:hAnsi="宋体" w:cs="宋体"/>
          <w:color w:val="auto"/>
          <w:sz w:val="24"/>
        </w:rPr>
        <w:t>11.不同供应商的投标（响应）文件的内容存在两处以上细节错误一致；</w:t>
      </w:r>
    </w:p>
    <w:p w14:paraId="4DAA4321">
      <w:pPr>
        <w:spacing w:line="360" w:lineRule="auto"/>
        <w:ind w:firstLine="480" w:firstLineChars="200"/>
        <w:rPr>
          <w:rFonts w:hint="eastAsia" w:ascii="宋体" w:hAnsi="宋体" w:cs="宋体"/>
          <w:color w:val="auto"/>
          <w:sz w:val="24"/>
        </w:rPr>
      </w:pPr>
      <w:r>
        <w:rPr>
          <w:rFonts w:hint="eastAsia" w:ascii="宋体" w:hAnsi="宋体" w:cs="宋体"/>
          <w:color w:val="auto"/>
          <w:sz w:val="24"/>
        </w:rPr>
        <w:t>12.不同供应商的法定代表人、委托代理人、项目经理、项目负责人等由同一个单位缴纳社会保险或者领取报酬的；</w:t>
      </w:r>
    </w:p>
    <w:p w14:paraId="17DE39AF">
      <w:pPr>
        <w:spacing w:line="360" w:lineRule="auto"/>
        <w:ind w:firstLine="480" w:firstLineChars="200"/>
        <w:rPr>
          <w:rFonts w:hint="eastAsia" w:ascii="宋体" w:hAnsi="宋体" w:cs="宋体"/>
          <w:color w:val="auto"/>
          <w:sz w:val="24"/>
        </w:rPr>
      </w:pPr>
      <w:r>
        <w:rPr>
          <w:rFonts w:hint="eastAsia" w:ascii="宋体" w:hAnsi="宋体" w:cs="宋体"/>
          <w:color w:val="auto"/>
          <w:sz w:val="24"/>
        </w:rPr>
        <w:t>13.不同供应商投标（响应）文件中法定代表人或者负责人签字出自同一人之手。</w:t>
      </w:r>
    </w:p>
    <w:p w14:paraId="4357A93E">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w:t>
      </w:r>
      <w:r>
        <w:rPr>
          <w:rFonts w:hint="eastAsia" w:ascii="宋体" w:hAnsi="宋体" w:cs="宋体"/>
          <w:b/>
          <w:bCs/>
          <w:color w:val="auto"/>
          <w:sz w:val="24"/>
        </w:rPr>
        <w:t>八</w:t>
      </w:r>
      <w:r>
        <w:rPr>
          <w:rFonts w:hint="eastAsia" w:ascii="宋体" w:hAnsi="宋体" w:cs="宋体"/>
          <w:b/>
          <w:color w:val="auto"/>
          <w:sz w:val="24"/>
        </w:rPr>
        <w:t xml:space="preserve">条 </w:t>
      </w:r>
      <w:r>
        <w:rPr>
          <w:rFonts w:hint="eastAsia" w:ascii="宋体" w:hAnsi="宋体" w:cs="宋体"/>
          <w:color w:val="auto"/>
          <w:sz w:val="24"/>
        </w:rPr>
        <w:t>在投标文件中，出现下列情形之一的，其投标有可能被拒绝：</w:t>
      </w:r>
    </w:p>
    <w:p w14:paraId="150491FB">
      <w:pPr>
        <w:spacing w:line="360" w:lineRule="auto"/>
        <w:ind w:firstLine="480" w:firstLineChars="200"/>
        <w:rPr>
          <w:rFonts w:hint="eastAsia" w:ascii="宋体" w:hAnsi="宋体" w:cs="宋体"/>
          <w:color w:val="auto"/>
          <w:sz w:val="24"/>
        </w:rPr>
      </w:pPr>
      <w:r>
        <w:rPr>
          <w:rFonts w:hint="eastAsia" w:ascii="宋体" w:hAnsi="宋体" w:cs="宋体"/>
          <w:color w:val="auto"/>
          <w:sz w:val="24"/>
        </w:rPr>
        <w:t>1.交货完工期不确切、不肯定的投标；供应商的投标质量无承诺的；</w:t>
      </w:r>
    </w:p>
    <w:p w14:paraId="6B61179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2.对投标质量、付款方式无承诺的；售后服务不满足招标文件要求的； </w:t>
      </w:r>
    </w:p>
    <w:p w14:paraId="06D2A153">
      <w:pPr>
        <w:spacing w:line="360" w:lineRule="auto"/>
        <w:ind w:firstLine="480" w:firstLineChars="200"/>
        <w:rPr>
          <w:rFonts w:hint="eastAsia" w:ascii="宋体" w:hAnsi="宋体" w:cs="宋体"/>
          <w:color w:val="auto"/>
          <w:sz w:val="24"/>
        </w:rPr>
      </w:pPr>
      <w:r>
        <w:rPr>
          <w:rFonts w:hint="eastAsia" w:ascii="宋体" w:hAnsi="宋体" w:cs="宋体"/>
          <w:color w:val="auto"/>
          <w:sz w:val="24"/>
        </w:rPr>
        <w:t>3.投标人没有实质性响应招标文件的要求和条件的；</w:t>
      </w:r>
    </w:p>
    <w:p w14:paraId="598399BC">
      <w:pPr>
        <w:spacing w:line="360" w:lineRule="auto"/>
        <w:ind w:firstLine="480" w:firstLineChars="200"/>
        <w:rPr>
          <w:rFonts w:hint="eastAsia" w:ascii="宋体" w:hAnsi="宋体" w:cs="宋体"/>
          <w:color w:val="auto"/>
          <w:sz w:val="24"/>
        </w:rPr>
      </w:pPr>
      <w:r>
        <w:rPr>
          <w:rFonts w:hint="eastAsia" w:ascii="宋体" w:hAnsi="宋体" w:cs="宋体"/>
          <w:color w:val="auto"/>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28AD9E0F">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第十九条</w:t>
      </w:r>
      <w:r>
        <w:rPr>
          <w:rFonts w:hint="eastAsia" w:ascii="宋体" w:hAnsi="宋体" w:cs="宋体"/>
          <w:color w:val="auto"/>
          <w:sz w:val="24"/>
        </w:rPr>
        <w:t xml:space="preserve"> 本评标办法的解释权属于采购人。</w:t>
      </w:r>
    </w:p>
    <w:p w14:paraId="27957A58">
      <w:pPr>
        <w:pStyle w:val="2"/>
        <w:spacing w:before="0" w:after="0" w:line="400" w:lineRule="exact"/>
        <w:jc w:val="center"/>
        <w:rPr>
          <w:rFonts w:hint="eastAsia" w:ascii="宋体" w:hAnsi="宋体" w:cs="宋体"/>
          <w:color w:val="auto"/>
        </w:rPr>
      </w:pPr>
      <w:bookmarkStart w:id="56" w:name="_Toc527725920"/>
      <w:r>
        <w:rPr>
          <w:rFonts w:ascii="宋体" w:hAnsi="宋体" w:cs="宋体"/>
          <w:color w:val="auto"/>
          <w:sz w:val="32"/>
        </w:rPr>
        <w:br w:type="page"/>
      </w:r>
      <w:bookmarkStart w:id="57" w:name="_Toc40975440"/>
      <w:r>
        <w:rPr>
          <w:rFonts w:hint="eastAsia" w:ascii="宋体" w:hAnsi="宋体" w:cs="宋体"/>
          <w:color w:val="auto"/>
          <w:sz w:val="32"/>
        </w:rPr>
        <w:t>招标文件第二部分</w:t>
      </w:r>
      <w:bookmarkEnd w:id="56"/>
      <w:bookmarkEnd w:id="57"/>
      <w:bookmarkStart w:id="58" w:name="_Toc40975441"/>
      <w:bookmarkStart w:id="59" w:name="_Toc527725921"/>
    </w:p>
    <w:p w14:paraId="2C835417">
      <w:pPr>
        <w:pStyle w:val="3"/>
        <w:spacing w:line="500" w:lineRule="exact"/>
        <w:ind w:firstLine="0"/>
        <w:rPr>
          <w:rFonts w:hint="eastAsia" w:ascii="宋体" w:hAnsi="宋体" w:eastAsia="宋体" w:cs="宋体"/>
          <w:color w:val="auto"/>
        </w:rPr>
      </w:pPr>
      <w:r>
        <w:rPr>
          <w:rFonts w:hint="eastAsia" w:ascii="宋体" w:hAnsi="宋体" w:eastAsia="宋体" w:cs="宋体"/>
          <w:color w:val="auto"/>
        </w:rPr>
        <w:t>第五章 投标人须知</w:t>
      </w:r>
      <w:bookmarkEnd w:id="58"/>
      <w:bookmarkEnd w:id="59"/>
    </w:p>
    <w:p w14:paraId="453DD331">
      <w:pPr>
        <w:pStyle w:val="5"/>
        <w:spacing w:line="500" w:lineRule="exact"/>
        <w:rPr>
          <w:rFonts w:hint="eastAsia" w:hAnsi="宋体" w:cs="宋体"/>
          <w:color w:val="auto"/>
        </w:rPr>
      </w:pPr>
      <w:bookmarkStart w:id="60" w:name="_Hlt509650955"/>
      <w:bookmarkEnd w:id="60"/>
      <w:bookmarkStart w:id="61" w:name="_Hlt509650686"/>
      <w:bookmarkEnd w:id="61"/>
      <w:bookmarkStart w:id="62" w:name="_Hlt526418143"/>
      <w:bookmarkEnd w:id="62"/>
      <w:bookmarkStart w:id="63" w:name="_Hlt509650126"/>
      <w:bookmarkEnd w:id="63"/>
      <w:bookmarkStart w:id="64" w:name="_Hlt509649722"/>
      <w:bookmarkEnd w:id="64"/>
      <w:bookmarkStart w:id="65" w:name="_Hlt509649998"/>
      <w:bookmarkEnd w:id="65"/>
      <w:bookmarkStart w:id="66" w:name="_Toc527725922"/>
      <w:bookmarkStart w:id="67" w:name="_Toc40975442"/>
      <w:r>
        <w:rPr>
          <w:rFonts w:hint="eastAsia" w:hAnsi="宋体" w:cs="宋体"/>
          <w:color w:val="auto"/>
        </w:rPr>
        <w:t>一．总    则</w:t>
      </w:r>
      <w:bookmarkEnd w:id="66"/>
      <w:bookmarkEnd w:id="67"/>
    </w:p>
    <w:p w14:paraId="6FDBDAA9">
      <w:pPr>
        <w:spacing w:line="360" w:lineRule="auto"/>
        <w:ind w:firstLine="550"/>
        <w:rPr>
          <w:rFonts w:hint="eastAsia" w:ascii="宋体" w:hAnsi="宋体" w:cs="宋体"/>
          <w:b/>
          <w:color w:val="auto"/>
          <w:sz w:val="24"/>
        </w:rPr>
      </w:pPr>
      <w:r>
        <w:rPr>
          <w:rFonts w:hint="eastAsia" w:ascii="宋体" w:hAnsi="宋体" w:cs="宋体"/>
          <w:b/>
          <w:color w:val="auto"/>
          <w:sz w:val="24"/>
        </w:rPr>
        <w:t>1.适用范围</w:t>
      </w:r>
    </w:p>
    <w:p w14:paraId="606079C2">
      <w:pPr>
        <w:spacing w:line="360" w:lineRule="auto"/>
        <w:ind w:firstLine="550"/>
        <w:rPr>
          <w:rFonts w:hint="eastAsia" w:ascii="宋体" w:hAnsi="宋体" w:cs="宋体"/>
          <w:color w:val="auto"/>
          <w:sz w:val="24"/>
        </w:rPr>
      </w:pPr>
      <w:r>
        <w:rPr>
          <w:rFonts w:hint="eastAsia" w:ascii="宋体" w:hAnsi="宋体" w:cs="宋体"/>
          <w:color w:val="auto"/>
          <w:sz w:val="24"/>
        </w:rPr>
        <w:t>1.1本招标文件仅适用于本次公开招标所述的货物项目采购。</w:t>
      </w:r>
    </w:p>
    <w:p w14:paraId="702BE4C2">
      <w:pPr>
        <w:spacing w:line="360" w:lineRule="auto"/>
        <w:ind w:firstLine="550"/>
        <w:rPr>
          <w:rFonts w:hint="eastAsia" w:ascii="宋体" w:hAnsi="宋体" w:cs="宋体"/>
          <w:b/>
          <w:color w:val="auto"/>
          <w:sz w:val="24"/>
        </w:rPr>
      </w:pPr>
      <w:r>
        <w:rPr>
          <w:rFonts w:hint="eastAsia" w:ascii="宋体" w:hAnsi="宋体" w:cs="宋体"/>
          <w:b/>
          <w:color w:val="auto"/>
          <w:sz w:val="24"/>
        </w:rPr>
        <w:t>2.有关定义</w:t>
      </w:r>
    </w:p>
    <w:p w14:paraId="5EF3EC26">
      <w:pPr>
        <w:spacing w:line="360" w:lineRule="auto"/>
        <w:ind w:firstLine="550"/>
        <w:rPr>
          <w:rFonts w:hint="eastAsia" w:ascii="宋体" w:hAnsi="宋体"/>
          <w:color w:val="auto"/>
          <w:sz w:val="24"/>
          <w:szCs w:val="24"/>
        </w:rPr>
      </w:pPr>
      <w:r>
        <w:rPr>
          <w:rFonts w:hint="eastAsia" w:ascii="宋体" w:hAnsi="宋体" w:cs="宋体"/>
          <w:color w:val="auto"/>
          <w:sz w:val="24"/>
        </w:rPr>
        <w:t>2.1招标人（采购人）：</w:t>
      </w:r>
      <w:r>
        <w:rPr>
          <w:rFonts w:hint="eastAsia" w:ascii="宋体" w:hAnsi="宋体" w:cs="宋体"/>
          <w:color w:val="auto"/>
          <w:sz w:val="24"/>
          <w:szCs w:val="24"/>
        </w:rPr>
        <w:t>周口市生态环境局郸城分局</w:t>
      </w:r>
      <w:r>
        <w:rPr>
          <w:rFonts w:hint="eastAsia" w:ascii="宋体" w:hAnsi="宋体"/>
          <w:color w:val="auto"/>
          <w:sz w:val="24"/>
          <w:szCs w:val="24"/>
        </w:rPr>
        <w:t xml:space="preserve"> </w:t>
      </w:r>
    </w:p>
    <w:p w14:paraId="4EB74971">
      <w:pPr>
        <w:spacing w:line="360" w:lineRule="auto"/>
        <w:ind w:firstLine="550"/>
        <w:rPr>
          <w:rFonts w:hint="eastAsia" w:ascii="宋体" w:hAnsi="宋体" w:cs="宋体"/>
          <w:color w:val="auto"/>
          <w:sz w:val="24"/>
        </w:rPr>
      </w:pPr>
      <w:r>
        <w:rPr>
          <w:rFonts w:hint="eastAsia" w:ascii="宋体" w:hAnsi="宋体" w:cs="宋体"/>
          <w:color w:val="auto"/>
          <w:sz w:val="24"/>
        </w:rPr>
        <w:t>2.2招标代理机构（集中采购机构）：系指周口市公共资源交易中心政府采购中心，以下简称“采购中心”。</w:t>
      </w:r>
    </w:p>
    <w:p w14:paraId="68895382">
      <w:pPr>
        <w:spacing w:line="360" w:lineRule="auto"/>
        <w:ind w:firstLine="550"/>
        <w:rPr>
          <w:rFonts w:hint="eastAsia" w:ascii="宋体" w:hAnsi="宋体" w:cs="宋体"/>
          <w:color w:val="auto"/>
          <w:sz w:val="24"/>
        </w:rPr>
      </w:pPr>
      <w:r>
        <w:rPr>
          <w:rFonts w:hint="eastAsia" w:ascii="宋体" w:hAnsi="宋体" w:cs="宋体"/>
          <w:color w:val="auto"/>
          <w:sz w:val="24"/>
        </w:rPr>
        <w:t>2.3政府采购监督管理部门：系指</w:t>
      </w:r>
      <w:r>
        <w:rPr>
          <w:rFonts w:hint="eastAsia" w:ascii="宋体" w:hAnsi="宋体" w:cs="宋体"/>
          <w:color w:val="auto"/>
          <w:sz w:val="24"/>
          <w:szCs w:val="24"/>
        </w:rPr>
        <w:t>郸城县政府采购办</w:t>
      </w:r>
      <w:r>
        <w:rPr>
          <w:rFonts w:hint="eastAsia" w:ascii="宋体" w:hAnsi="宋体" w:cs="宋体"/>
          <w:color w:val="auto"/>
          <w:sz w:val="24"/>
        </w:rPr>
        <w:t>。</w:t>
      </w:r>
    </w:p>
    <w:p w14:paraId="77558BCC">
      <w:pPr>
        <w:spacing w:line="360" w:lineRule="auto"/>
        <w:ind w:firstLine="550"/>
        <w:rPr>
          <w:rFonts w:hint="eastAsia" w:ascii="宋体" w:hAnsi="宋体" w:cs="宋体"/>
          <w:color w:val="auto"/>
          <w:sz w:val="24"/>
        </w:rPr>
      </w:pPr>
      <w:r>
        <w:rPr>
          <w:rFonts w:hint="eastAsia" w:ascii="宋体" w:hAnsi="宋体" w:cs="宋体"/>
          <w:color w:val="auto"/>
          <w:sz w:val="24"/>
        </w:rPr>
        <w:t>2.4投标人：系指已经在周口市公共资源交易中心网上报名，且已经提交或准备提交本次投标文件的制造商、供应商或服务商。</w:t>
      </w:r>
    </w:p>
    <w:p w14:paraId="27E10EB1">
      <w:pPr>
        <w:spacing w:line="360" w:lineRule="auto"/>
        <w:ind w:firstLine="550"/>
        <w:rPr>
          <w:rFonts w:hint="eastAsia" w:ascii="宋体" w:hAnsi="宋体" w:cs="宋体"/>
          <w:color w:val="auto"/>
          <w:sz w:val="24"/>
        </w:rPr>
      </w:pPr>
      <w:r>
        <w:rPr>
          <w:rFonts w:hint="eastAsia" w:ascii="宋体" w:hAnsi="宋体" w:cs="宋体"/>
          <w:color w:val="auto"/>
          <w:sz w:val="24"/>
        </w:rPr>
        <w:t>2.5货物：系指各种形态和种类的物品，包括原材料、燃料、设备、产品等，包括与之相关的备品备件、工具、手册及安装、调试、技术协助、校准、培训、售后服务等。</w:t>
      </w:r>
    </w:p>
    <w:p w14:paraId="7FFD6042">
      <w:pPr>
        <w:spacing w:line="360" w:lineRule="auto"/>
        <w:ind w:firstLine="550"/>
        <w:rPr>
          <w:rFonts w:hint="eastAsia" w:ascii="宋体" w:hAnsi="宋体" w:cs="宋体"/>
          <w:color w:val="auto"/>
          <w:sz w:val="24"/>
        </w:rPr>
      </w:pPr>
      <w:r>
        <w:rPr>
          <w:rFonts w:hint="eastAsia" w:ascii="宋体" w:hAnsi="宋体" w:cs="宋体"/>
          <w:color w:val="auto"/>
          <w:sz w:val="24"/>
        </w:rPr>
        <w:t>2.6业绩：系指符合本招标文件规定且已供货（安装）完毕的合同及相关证明。</w:t>
      </w:r>
    </w:p>
    <w:p w14:paraId="3662BA84">
      <w:pPr>
        <w:spacing w:line="360" w:lineRule="auto"/>
        <w:ind w:firstLine="550"/>
        <w:rPr>
          <w:rFonts w:hint="eastAsia" w:ascii="宋体" w:hAnsi="宋体" w:cs="宋体"/>
          <w:color w:val="auto"/>
          <w:sz w:val="24"/>
        </w:rPr>
      </w:pPr>
      <w:r>
        <w:rPr>
          <w:rFonts w:hint="eastAsia" w:ascii="宋体" w:hAnsi="宋体" w:cs="宋体"/>
          <w:color w:val="auto"/>
          <w:sz w:val="24"/>
        </w:rPr>
        <w:t>2.7投标人公章：在电子投标文件中系指投标人电子签章。</w:t>
      </w:r>
    </w:p>
    <w:p w14:paraId="049A1B38">
      <w:pPr>
        <w:spacing w:line="360" w:lineRule="auto"/>
        <w:ind w:firstLine="550"/>
        <w:rPr>
          <w:rFonts w:hint="eastAsia" w:ascii="宋体" w:hAnsi="宋体" w:cs="宋体"/>
          <w:b/>
          <w:color w:val="auto"/>
          <w:sz w:val="24"/>
        </w:rPr>
      </w:pPr>
      <w:r>
        <w:rPr>
          <w:rFonts w:hint="eastAsia" w:ascii="宋体" w:hAnsi="宋体" w:cs="宋体"/>
          <w:b/>
          <w:color w:val="auto"/>
          <w:sz w:val="24"/>
        </w:rPr>
        <w:t>3.投标费用</w:t>
      </w:r>
    </w:p>
    <w:p w14:paraId="2712EED7">
      <w:pPr>
        <w:spacing w:line="360" w:lineRule="auto"/>
        <w:ind w:firstLine="550"/>
        <w:rPr>
          <w:rFonts w:hint="eastAsia" w:ascii="宋体" w:hAnsi="宋体" w:cs="宋体"/>
          <w:color w:val="auto"/>
          <w:sz w:val="24"/>
        </w:rPr>
      </w:pPr>
      <w:r>
        <w:rPr>
          <w:rFonts w:hint="eastAsia" w:ascii="宋体" w:hAnsi="宋体" w:cs="宋体"/>
          <w:color w:val="auto"/>
          <w:sz w:val="24"/>
        </w:rPr>
        <w:t>3.1无论投标结果如何，投标人应自行承担其编制与递交投标文件所涉及的一切费用。</w:t>
      </w:r>
      <w:r>
        <w:rPr>
          <w:rFonts w:hint="eastAsia" w:ascii="宋体" w:hAnsi="宋体" w:cs="宋体"/>
          <w:b/>
          <w:bCs/>
          <w:color w:val="auto"/>
          <w:sz w:val="24"/>
        </w:rPr>
        <w:t>评标费用由采购人自行解决。</w:t>
      </w:r>
    </w:p>
    <w:p w14:paraId="1C616A20">
      <w:pPr>
        <w:spacing w:line="360" w:lineRule="auto"/>
        <w:ind w:firstLine="550"/>
        <w:rPr>
          <w:rFonts w:hint="eastAsia" w:ascii="宋体" w:hAnsi="宋体" w:cs="宋体"/>
          <w:b/>
          <w:bCs/>
          <w:color w:val="auto"/>
          <w:sz w:val="24"/>
        </w:rPr>
      </w:pPr>
      <w:r>
        <w:rPr>
          <w:rFonts w:hint="eastAsia" w:ascii="宋体" w:hAnsi="宋体" w:cs="宋体"/>
          <w:b/>
          <w:bCs/>
          <w:color w:val="auto"/>
          <w:sz w:val="24"/>
        </w:rPr>
        <w:t>4.合格的投标人</w:t>
      </w:r>
    </w:p>
    <w:p w14:paraId="6031140E">
      <w:pPr>
        <w:spacing w:line="360" w:lineRule="auto"/>
        <w:ind w:firstLine="523" w:firstLineChars="218"/>
        <w:rPr>
          <w:rFonts w:hint="eastAsia" w:ascii="宋体" w:hAnsi="宋体" w:cs="宋体"/>
          <w:color w:val="auto"/>
          <w:sz w:val="24"/>
        </w:rPr>
      </w:pPr>
      <w:r>
        <w:rPr>
          <w:rFonts w:hint="eastAsia" w:ascii="宋体" w:hAnsi="宋体" w:cs="宋体"/>
          <w:color w:val="auto"/>
          <w:sz w:val="24"/>
        </w:rPr>
        <w:t>4.1合格的投标人应符合招标文件载明的投标资格。</w:t>
      </w:r>
    </w:p>
    <w:p w14:paraId="55DB5366">
      <w:pPr>
        <w:spacing w:line="360" w:lineRule="auto"/>
        <w:ind w:firstLine="523" w:firstLineChars="218"/>
        <w:rPr>
          <w:rFonts w:hint="eastAsia" w:ascii="宋体" w:hAnsi="宋体" w:cs="宋体"/>
          <w:color w:val="auto"/>
          <w:sz w:val="24"/>
        </w:rPr>
      </w:pPr>
      <w:r>
        <w:rPr>
          <w:rFonts w:hint="eastAsia" w:ascii="宋体" w:hAnsi="宋体" w:cs="宋体"/>
          <w:color w:val="auto"/>
          <w:sz w:val="24"/>
        </w:rPr>
        <w:t>4.2投标人之间如果存在下列情形之一的，不得同时参加同一标段（包别）或者不分标段（包别）的同一项目投标：</w:t>
      </w:r>
    </w:p>
    <w:p w14:paraId="5A1B42A0">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4.2.1法定代表人为同一个人的两个及两个以上法人；</w:t>
      </w:r>
    </w:p>
    <w:p w14:paraId="62D7D468">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4.2.2母公司、全资子公司及其控股公司；</w:t>
      </w:r>
    </w:p>
    <w:p w14:paraId="0CFC8349">
      <w:pPr>
        <w:pStyle w:val="9"/>
        <w:spacing w:line="360" w:lineRule="auto"/>
        <w:ind w:firstLine="480" w:firstLineChars="200"/>
        <w:rPr>
          <w:rFonts w:hint="eastAsia" w:ascii="宋体" w:hAnsi="宋体" w:cs="宋体"/>
          <w:color w:val="auto"/>
          <w:sz w:val="24"/>
        </w:rPr>
      </w:pPr>
      <w:r>
        <w:rPr>
          <w:rFonts w:hint="eastAsia" w:ascii="宋体" w:hAnsi="宋体" w:cs="宋体"/>
          <w:color w:val="auto"/>
          <w:sz w:val="24"/>
        </w:rPr>
        <w:t>4.2.3参加投标的其他组织之间存在特殊的利害关系的；</w:t>
      </w:r>
    </w:p>
    <w:p w14:paraId="4E453167">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4.2.4法律和行政法规规定的其他情形。</w:t>
      </w:r>
    </w:p>
    <w:p w14:paraId="4F852ADD">
      <w:pPr>
        <w:spacing w:line="360" w:lineRule="auto"/>
        <w:ind w:firstLine="550"/>
        <w:rPr>
          <w:rFonts w:hint="eastAsia" w:ascii="宋体" w:hAnsi="宋体" w:cs="宋体"/>
          <w:bCs/>
          <w:color w:val="auto"/>
          <w:sz w:val="24"/>
        </w:rPr>
      </w:pPr>
    </w:p>
    <w:p w14:paraId="42CA3015">
      <w:pPr>
        <w:spacing w:line="360" w:lineRule="auto"/>
        <w:ind w:firstLine="550"/>
        <w:rPr>
          <w:rFonts w:hint="eastAsia" w:ascii="宋体" w:hAnsi="宋体" w:cs="宋体"/>
          <w:bCs/>
          <w:color w:val="auto"/>
          <w:sz w:val="24"/>
        </w:rPr>
      </w:pPr>
      <w:r>
        <w:rPr>
          <w:rFonts w:hint="eastAsia" w:ascii="宋体" w:hAnsi="宋体" w:cs="宋体"/>
          <w:bCs/>
          <w:color w:val="auto"/>
          <w:sz w:val="24"/>
        </w:rPr>
        <w:t>4.3</w:t>
      </w:r>
      <w:r>
        <w:rPr>
          <w:rFonts w:hint="eastAsia" w:ascii="宋体" w:hAnsi="宋体" w:cs="宋体"/>
          <w:color w:val="auto"/>
          <w:spacing w:val="-1"/>
          <w:sz w:val="24"/>
          <w:szCs w:val="24"/>
          <w:lang w:val="zh-CN" w:bidi="zh-CN"/>
        </w:rPr>
        <w:t>具有良好的商业信誉和健全的财务会计制度（提供2024年度财务审计报告，包括资产负债表、现金流量表、利润表、财务情况说明书、财务报表附注、损益表及健全的财务会计制度。</w:t>
      </w:r>
    </w:p>
    <w:p w14:paraId="61A380A0">
      <w:pPr>
        <w:spacing w:line="360" w:lineRule="auto"/>
        <w:ind w:firstLine="550"/>
        <w:rPr>
          <w:rFonts w:hint="eastAsia" w:ascii="宋体" w:hAnsi="宋体" w:cs="宋体"/>
          <w:bCs/>
          <w:color w:val="auto"/>
          <w:sz w:val="24"/>
        </w:rPr>
      </w:pPr>
      <w:r>
        <w:rPr>
          <w:rFonts w:hint="eastAsia" w:ascii="宋体" w:hAnsi="宋体" w:cs="宋体"/>
          <w:bCs/>
          <w:color w:val="auto"/>
          <w:sz w:val="24"/>
        </w:rPr>
        <w:t>4.4投标人有依法缴纳税收和社会保障资金的良好记录（近一年以来任意连续3个月依法缴纳税收和社会保障资金的凭证；依法免税或不需要缴纳社会保障资金的供应商，提供相应文件证明其依法免税或不需要缴纳社会保障资金）；</w:t>
      </w:r>
    </w:p>
    <w:p w14:paraId="588A62A6">
      <w:pPr>
        <w:spacing w:line="360" w:lineRule="auto"/>
        <w:ind w:firstLine="550"/>
        <w:rPr>
          <w:rFonts w:hint="eastAsia" w:ascii="宋体" w:hAnsi="宋体" w:cs="宋体"/>
          <w:b/>
          <w:color w:val="auto"/>
          <w:sz w:val="24"/>
        </w:rPr>
      </w:pPr>
      <w:r>
        <w:rPr>
          <w:rFonts w:hint="eastAsia" w:ascii="宋体" w:hAnsi="宋体" w:cs="宋体"/>
          <w:bCs/>
          <w:color w:val="auto"/>
          <w:sz w:val="24"/>
        </w:rPr>
        <w:t>4.5供应商或制造商需提供售后服务体系与承诺。</w:t>
      </w:r>
    </w:p>
    <w:p w14:paraId="4FF7630E">
      <w:pPr>
        <w:spacing w:line="360" w:lineRule="auto"/>
        <w:ind w:firstLine="550"/>
        <w:rPr>
          <w:rFonts w:hint="eastAsia" w:ascii="宋体" w:hAnsi="宋体" w:cs="宋体"/>
          <w:bCs/>
          <w:color w:val="auto"/>
          <w:sz w:val="24"/>
        </w:rPr>
      </w:pPr>
      <w:r>
        <w:rPr>
          <w:rFonts w:hint="eastAsia" w:ascii="宋体" w:hAnsi="宋体" w:cs="宋体"/>
          <w:bCs/>
          <w:color w:val="auto"/>
          <w:sz w:val="24"/>
        </w:rPr>
        <w:t>4.6.合格供应商的声明函.</w:t>
      </w:r>
    </w:p>
    <w:p w14:paraId="609FE760">
      <w:pPr>
        <w:spacing w:line="360" w:lineRule="auto"/>
        <w:ind w:firstLine="550"/>
        <w:rPr>
          <w:rFonts w:hint="eastAsia" w:ascii="宋体" w:hAnsi="宋体" w:cs="宋体"/>
          <w:color w:val="auto"/>
          <w:spacing w:val="-1"/>
          <w:sz w:val="24"/>
          <w:szCs w:val="24"/>
          <w:lang w:val="zh-CN" w:bidi="zh-CN"/>
        </w:rPr>
      </w:pPr>
      <w:r>
        <w:rPr>
          <w:rFonts w:hint="eastAsia" w:ascii="宋体" w:hAnsi="宋体" w:cs="宋体"/>
          <w:color w:val="auto"/>
          <w:spacing w:val="-1"/>
          <w:sz w:val="24"/>
          <w:szCs w:val="24"/>
          <w:lang w:val="zh-CN" w:bidi="zh-CN"/>
        </w:rPr>
        <w:t>4.7未被工商行政管理机关在全国企业信用信息公示系统中列入严重违法失信企业名单和经营异常名录。(查询时间发布公告之后）</w:t>
      </w:r>
    </w:p>
    <w:p w14:paraId="717C3F2A">
      <w:pPr>
        <w:spacing w:line="360" w:lineRule="auto"/>
        <w:ind w:firstLine="550"/>
        <w:rPr>
          <w:rFonts w:hint="eastAsia" w:ascii="宋体" w:hAnsi="宋体" w:cs="宋体"/>
          <w:color w:val="auto"/>
          <w:spacing w:val="-1"/>
          <w:sz w:val="24"/>
          <w:szCs w:val="24"/>
          <w:lang w:val="zh-CN" w:bidi="zh-CN"/>
        </w:rPr>
      </w:pPr>
      <w:r>
        <w:rPr>
          <w:rFonts w:hint="eastAsia" w:ascii="宋体" w:hAnsi="宋体" w:cs="宋体"/>
          <w:color w:val="auto"/>
          <w:spacing w:val="-1"/>
          <w:sz w:val="24"/>
          <w:szCs w:val="24"/>
          <w:lang w:val="zh-CN" w:bidi="zh-CN"/>
        </w:rPr>
        <w:t>4.8投标人需提供加盖单位公章、法定代表人签章的营业执照扫描件及其年度报告。</w:t>
      </w:r>
    </w:p>
    <w:p w14:paraId="469020AC">
      <w:pPr>
        <w:spacing w:line="360" w:lineRule="auto"/>
        <w:ind w:firstLine="550"/>
        <w:rPr>
          <w:rFonts w:hint="eastAsia" w:ascii="宋体" w:hAnsi="宋体" w:cs="宋体"/>
          <w:b/>
          <w:color w:val="auto"/>
          <w:sz w:val="24"/>
        </w:rPr>
      </w:pPr>
      <w:r>
        <w:rPr>
          <w:rFonts w:hint="eastAsia" w:ascii="宋体" w:hAnsi="宋体" w:cs="宋体"/>
          <w:b/>
          <w:color w:val="auto"/>
          <w:sz w:val="24"/>
        </w:rPr>
        <w:t>5.勘察现场</w:t>
      </w:r>
    </w:p>
    <w:p w14:paraId="22424E69">
      <w:pPr>
        <w:spacing w:line="560" w:lineRule="exact"/>
        <w:ind w:firstLine="480" w:firstLineChars="200"/>
        <w:rPr>
          <w:rFonts w:hint="eastAsia" w:ascii="宋体" w:hAnsi="宋体" w:cs="宋体"/>
          <w:color w:val="auto"/>
          <w:sz w:val="24"/>
          <w:lang w:val="zh-CN"/>
        </w:rPr>
      </w:pPr>
      <w:r>
        <w:rPr>
          <w:rFonts w:hint="eastAsia" w:ascii="宋体" w:hAnsi="宋体" w:cs="宋体"/>
          <w:color w:val="auto"/>
          <w:kern w:val="0"/>
          <w:sz w:val="24"/>
          <w:lang w:val="zh-CN"/>
        </w:rPr>
        <w:t>5.1</w:t>
      </w:r>
      <w:r>
        <w:rPr>
          <w:rFonts w:hint="eastAsia" w:ascii="宋体" w:hAnsi="宋体" w:cs="宋体"/>
          <w:color w:val="auto"/>
          <w:sz w:val="24"/>
        </w:rPr>
        <w:t>因项目情况复杂，技术要求较高，为使供应商充分了解评估建设地点基本情况及后期运维服务工作，避免盲目投标，保障项目后期的顺利实施，投标人可自行对供货现场和周围环境进行勘察。经采购人证实已到现场勘察的合格供应商，采购人开具加盖采购单位公章的勘察证明函。</w:t>
      </w:r>
    </w:p>
    <w:p w14:paraId="64C6E982">
      <w:pPr>
        <w:spacing w:line="360" w:lineRule="auto"/>
        <w:ind w:firstLine="550"/>
        <w:rPr>
          <w:rFonts w:hint="eastAsia" w:ascii="宋体" w:hAnsi="宋体" w:cs="宋体"/>
          <w:color w:val="auto"/>
          <w:sz w:val="24"/>
        </w:rPr>
      </w:pPr>
      <w:r>
        <w:rPr>
          <w:rFonts w:hint="eastAsia" w:ascii="宋体" w:hAnsi="宋体" w:cs="宋体"/>
          <w:color w:val="auto"/>
          <w:sz w:val="24"/>
        </w:rPr>
        <w:t>5.2</w:t>
      </w:r>
      <w:r>
        <w:rPr>
          <w:rFonts w:hint="eastAsia" w:ascii="宋体" w:hAnsi="宋体" w:cs="宋体"/>
          <w:color w:val="auto"/>
          <w:spacing w:val="-1"/>
          <w:sz w:val="24"/>
          <w:szCs w:val="24"/>
          <w:lang w:val="zh-CN" w:bidi="zh-CN"/>
        </w:rPr>
        <w:t>勘察现场所发生的费用由投标人自行承担，投标人须对上述做出书面承诺，否则视为不响应招标文件实质性内容。</w:t>
      </w:r>
      <w:r>
        <w:rPr>
          <w:rFonts w:hint="eastAsia" w:ascii="宋体" w:hAnsi="宋体" w:cs="宋体"/>
          <w:color w:val="auto"/>
          <w:sz w:val="24"/>
        </w:rPr>
        <w:t>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3DF9187D">
      <w:pPr>
        <w:spacing w:line="360" w:lineRule="auto"/>
        <w:ind w:firstLine="550"/>
        <w:rPr>
          <w:rFonts w:hint="eastAsia" w:ascii="宋体" w:hAnsi="宋体" w:cs="宋体"/>
          <w:color w:val="auto"/>
          <w:sz w:val="24"/>
        </w:rPr>
      </w:pPr>
      <w:r>
        <w:rPr>
          <w:rFonts w:hint="eastAsia" w:ascii="宋体" w:hAnsi="宋体" w:cs="宋体"/>
          <w:color w:val="auto"/>
          <w:sz w:val="24"/>
        </w:rPr>
        <w:t>5.3除非有特殊要求，招标文件不单独提供供货使用地的自然环境、气候条件、公用设施等情况，投标人被视为熟悉上述与履行合同有关的一切情况。</w:t>
      </w:r>
    </w:p>
    <w:p w14:paraId="182D3B58">
      <w:pPr>
        <w:spacing w:line="360" w:lineRule="auto"/>
        <w:ind w:firstLine="550"/>
        <w:rPr>
          <w:rFonts w:hint="eastAsia" w:ascii="宋体" w:hAnsi="宋体" w:cs="宋体"/>
          <w:bCs/>
          <w:color w:val="auto"/>
          <w:sz w:val="24"/>
        </w:rPr>
      </w:pPr>
      <w:r>
        <w:rPr>
          <w:rFonts w:hint="eastAsia" w:ascii="宋体" w:hAnsi="宋体" w:cs="宋体"/>
          <w:b/>
          <w:color w:val="auto"/>
          <w:sz w:val="24"/>
        </w:rPr>
        <w:t>6.知识产权</w:t>
      </w:r>
    </w:p>
    <w:p w14:paraId="1A4A60D5">
      <w:pPr>
        <w:spacing w:line="360" w:lineRule="auto"/>
        <w:ind w:firstLine="549"/>
        <w:rPr>
          <w:rFonts w:hint="eastAsia" w:ascii="宋体" w:hAnsi="宋体" w:cs="宋体"/>
          <w:bCs/>
          <w:color w:val="auto"/>
          <w:sz w:val="24"/>
        </w:rPr>
      </w:pPr>
      <w:r>
        <w:rPr>
          <w:rFonts w:hint="eastAsia" w:ascii="宋体" w:hAnsi="宋体" w:cs="宋体"/>
          <w:color w:val="auto"/>
          <w:sz w:val="24"/>
        </w:rPr>
        <w:t>6.1</w:t>
      </w:r>
      <w:r>
        <w:rPr>
          <w:rFonts w:hint="eastAsia" w:ascii="宋体" w:hAnsi="宋体" w:cs="宋体"/>
          <w:bCs/>
          <w:color w:val="auto"/>
          <w:sz w:val="24"/>
        </w:rPr>
        <w:t>投标人另须书面承诺，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32719842">
      <w:pPr>
        <w:spacing w:line="360" w:lineRule="auto"/>
        <w:ind w:firstLine="549"/>
        <w:rPr>
          <w:rFonts w:hint="eastAsia" w:ascii="宋体" w:hAnsi="宋体" w:cs="宋体"/>
          <w:bCs/>
          <w:color w:val="auto"/>
          <w:sz w:val="24"/>
        </w:rPr>
      </w:pPr>
      <w:r>
        <w:rPr>
          <w:rFonts w:hint="eastAsia" w:ascii="宋体" w:hAnsi="宋体" w:cs="宋体"/>
          <w:bCs/>
          <w:color w:val="auto"/>
          <w:sz w:val="24"/>
        </w:rPr>
        <w:t>6.2投</w:t>
      </w:r>
      <w:r>
        <w:rPr>
          <w:rFonts w:hint="eastAsia" w:ascii="宋体" w:hAnsi="宋体" w:cs="宋体"/>
          <w:color w:val="auto"/>
          <w:spacing w:val="-1"/>
          <w:sz w:val="24"/>
          <w:szCs w:val="24"/>
          <w:lang w:val="zh-CN" w:bidi="zh-CN"/>
        </w:rPr>
        <w:t>标人如欲在项目实施过程中采用自有知识成果，须在投标文件中声明，并提</w:t>
      </w:r>
      <w:r>
        <w:rPr>
          <w:rFonts w:hint="eastAsia" w:ascii="宋体" w:hAnsi="宋体" w:cs="宋体"/>
          <w:bCs/>
          <w:color w:val="auto"/>
          <w:sz w:val="24"/>
        </w:rPr>
        <w:t>供相关知识产权证明文件。使用该知识成果后，投标人须提供开发接口和开发手册等技术文档。</w:t>
      </w:r>
    </w:p>
    <w:p w14:paraId="4AEADD63">
      <w:pPr>
        <w:spacing w:line="360" w:lineRule="auto"/>
        <w:ind w:firstLine="549"/>
        <w:rPr>
          <w:rFonts w:hint="eastAsia" w:ascii="宋体" w:hAnsi="宋体" w:cs="宋体"/>
          <w:b/>
          <w:color w:val="auto"/>
          <w:sz w:val="24"/>
        </w:rPr>
      </w:pPr>
      <w:r>
        <w:rPr>
          <w:rFonts w:hint="eastAsia" w:ascii="宋体" w:hAnsi="宋体" w:cs="宋体"/>
          <w:b/>
          <w:color w:val="auto"/>
          <w:sz w:val="24"/>
        </w:rPr>
        <w:t>7.纪律与保密</w:t>
      </w:r>
    </w:p>
    <w:p w14:paraId="2F3C0EC2">
      <w:pPr>
        <w:spacing w:line="360" w:lineRule="auto"/>
        <w:ind w:firstLine="549"/>
        <w:rPr>
          <w:rFonts w:hint="eastAsia" w:ascii="宋体" w:hAnsi="宋体" w:cs="宋体"/>
          <w:color w:val="auto"/>
          <w:sz w:val="24"/>
        </w:rPr>
      </w:pPr>
      <w:r>
        <w:rPr>
          <w:rFonts w:hint="eastAsia" w:ascii="宋体" w:hAnsi="宋体" w:cs="宋体"/>
          <w:color w:val="auto"/>
          <w:sz w:val="24"/>
        </w:rPr>
        <w:t>7.1投标人的投标行为应遵守中国的有关法律、法规和规章。</w:t>
      </w:r>
    </w:p>
    <w:p w14:paraId="2E0F029E">
      <w:pPr>
        <w:spacing w:line="360" w:lineRule="auto"/>
        <w:ind w:firstLine="550"/>
        <w:rPr>
          <w:rFonts w:hint="eastAsia" w:ascii="宋体" w:hAnsi="宋体" w:cs="宋体"/>
          <w:color w:val="auto"/>
          <w:sz w:val="24"/>
          <w:highlight w:val="yellow"/>
        </w:rPr>
      </w:pPr>
      <w:r>
        <w:rPr>
          <w:rFonts w:hint="eastAsia" w:ascii="宋体" w:hAnsi="宋体" w:cs="宋体"/>
          <w:color w:val="auto"/>
          <w:spacing w:val="-1"/>
          <w:sz w:val="24"/>
          <w:szCs w:val="24"/>
          <w:lang w:val="zh-CN" w:bidi="zh-CN"/>
        </w:rPr>
        <w:t>7.2投标人不得相互串通投标报价，不得妨碍其他投标人的公平竞争，不得损害采购人或其他投标人的合法权益，投标人不得以向采购人、评委会成员行贿或者采取其他不正当手段谋取中标，对上述作出保证并附投标文件中，否则视为不响应招标文件要求。</w:t>
      </w:r>
    </w:p>
    <w:p w14:paraId="10E42E95">
      <w:pPr>
        <w:spacing w:line="360" w:lineRule="auto"/>
        <w:ind w:firstLine="549"/>
        <w:rPr>
          <w:rFonts w:hint="eastAsia" w:ascii="宋体" w:hAnsi="宋体" w:cs="宋体"/>
          <w:color w:val="auto"/>
          <w:sz w:val="24"/>
        </w:rPr>
      </w:pPr>
      <w:r>
        <w:rPr>
          <w:rFonts w:hint="eastAsia" w:ascii="宋体" w:hAnsi="宋体" w:cs="宋体"/>
          <w:color w:val="auto"/>
          <w:sz w:val="24"/>
        </w:rPr>
        <w:t>7.2.1有下列情形之一的，属于投标人相互串通投标：</w:t>
      </w:r>
    </w:p>
    <w:p w14:paraId="1CDBD309">
      <w:pPr>
        <w:spacing w:line="360" w:lineRule="auto"/>
        <w:ind w:firstLine="549"/>
        <w:rPr>
          <w:rFonts w:hint="eastAsia" w:ascii="宋体" w:hAnsi="宋体" w:cs="宋体"/>
          <w:color w:val="auto"/>
          <w:sz w:val="24"/>
        </w:rPr>
      </w:pPr>
      <w:r>
        <w:rPr>
          <w:rFonts w:hint="eastAsia" w:ascii="宋体" w:hAnsi="宋体" w:cs="宋体"/>
          <w:color w:val="auto"/>
          <w:sz w:val="24"/>
        </w:rPr>
        <w:t>7.2.1.1投标人之间协商投标报价等投标文件的实质性内容；</w:t>
      </w:r>
    </w:p>
    <w:p w14:paraId="383BCFFE">
      <w:pPr>
        <w:spacing w:line="360" w:lineRule="auto"/>
        <w:ind w:firstLine="549"/>
        <w:rPr>
          <w:rFonts w:hint="eastAsia" w:ascii="宋体" w:hAnsi="宋体" w:cs="宋体"/>
          <w:color w:val="auto"/>
          <w:sz w:val="24"/>
        </w:rPr>
      </w:pPr>
      <w:r>
        <w:rPr>
          <w:rFonts w:hint="eastAsia" w:ascii="宋体" w:hAnsi="宋体" w:cs="宋体"/>
          <w:color w:val="auto"/>
          <w:sz w:val="24"/>
        </w:rPr>
        <w:t>7.2.1.2投标人之间约定中标人；</w:t>
      </w:r>
    </w:p>
    <w:p w14:paraId="69A7274D">
      <w:pPr>
        <w:spacing w:line="360" w:lineRule="auto"/>
        <w:ind w:firstLine="549"/>
        <w:rPr>
          <w:rFonts w:hint="eastAsia" w:ascii="宋体" w:hAnsi="宋体" w:cs="宋体"/>
          <w:color w:val="auto"/>
          <w:sz w:val="24"/>
        </w:rPr>
      </w:pPr>
      <w:r>
        <w:rPr>
          <w:rFonts w:hint="eastAsia" w:ascii="宋体" w:hAnsi="宋体" w:cs="宋体"/>
          <w:color w:val="auto"/>
          <w:sz w:val="24"/>
        </w:rPr>
        <w:t>7.2.1.3投标人之间约定部分投标人放弃投标或者中标；</w:t>
      </w:r>
    </w:p>
    <w:p w14:paraId="4C9BA19E">
      <w:pPr>
        <w:spacing w:line="360" w:lineRule="auto"/>
        <w:ind w:firstLine="549"/>
        <w:rPr>
          <w:rFonts w:hint="eastAsia" w:ascii="宋体" w:hAnsi="宋体" w:cs="宋体"/>
          <w:color w:val="auto"/>
          <w:sz w:val="24"/>
        </w:rPr>
      </w:pPr>
      <w:r>
        <w:rPr>
          <w:rFonts w:hint="eastAsia" w:ascii="宋体" w:hAnsi="宋体" w:cs="宋体"/>
          <w:color w:val="auto"/>
          <w:sz w:val="24"/>
        </w:rPr>
        <w:t>7.2.1.4属于同一集团、协会、商会等组织成员的投标人按照该组织要求协同投标；</w:t>
      </w:r>
    </w:p>
    <w:p w14:paraId="099412C7">
      <w:pPr>
        <w:spacing w:line="360" w:lineRule="auto"/>
        <w:ind w:firstLine="549"/>
        <w:rPr>
          <w:rFonts w:hint="eastAsia" w:ascii="宋体" w:hAnsi="宋体" w:cs="宋体"/>
          <w:color w:val="auto"/>
          <w:sz w:val="24"/>
        </w:rPr>
      </w:pPr>
      <w:r>
        <w:rPr>
          <w:rFonts w:hint="eastAsia" w:ascii="宋体" w:hAnsi="宋体" w:cs="宋体"/>
          <w:color w:val="auto"/>
          <w:sz w:val="24"/>
        </w:rPr>
        <w:t>7.2.1.5投标人之间为谋取中标或者排斥特定投标人而采取的其他联合行动。</w:t>
      </w:r>
    </w:p>
    <w:p w14:paraId="10A110BF">
      <w:pPr>
        <w:spacing w:line="360" w:lineRule="auto"/>
        <w:ind w:firstLine="549"/>
        <w:rPr>
          <w:rFonts w:hint="eastAsia" w:ascii="宋体" w:hAnsi="宋体" w:cs="宋体"/>
          <w:color w:val="auto"/>
          <w:sz w:val="24"/>
        </w:rPr>
      </w:pPr>
      <w:r>
        <w:rPr>
          <w:rFonts w:hint="eastAsia" w:ascii="宋体" w:hAnsi="宋体" w:cs="宋体"/>
          <w:color w:val="auto"/>
          <w:sz w:val="24"/>
        </w:rPr>
        <w:t>7.2.2 有下列情形之一的，视为投标人相互串通投标：</w:t>
      </w:r>
    </w:p>
    <w:p w14:paraId="0E0C288F">
      <w:pPr>
        <w:spacing w:line="360" w:lineRule="auto"/>
        <w:ind w:firstLine="549"/>
        <w:rPr>
          <w:rFonts w:hint="eastAsia" w:ascii="宋体" w:hAnsi="宋体" w:cs="宋体"/>
          <w:color w:val="auto"/>
          <w:sz w:val="24"/>
        </w:rPr>
      </w:pPr>
      <w:r>
        <w:rPr>
          <w:rFonts w:hint="eastAsia" w:ascii="宋体" w:hAnsi="宋体" w:cs="宋体"/>
          <w:color w:val="auto"/>
          <w:sz w:val="24"/>
        </w:rPr>
        <w:t>7.2.2.1不同投标人的投标文件由同一单位或者个人编制；</w:t>
      </w:r>
    </w:p>
    <w:p w14:paraId="037CC022">
      <w:pPr>
        <w:spacing w:line="360" w:lineRule="auto"/>
        <w:ind w:firstLine="549"/>
        <w:rPr>
          <w:rFonts w:hint="eastAsia" w:ascii="宋体" w:hAnsi="宋体" w:cs="宋体"/>
          <w:color w:val="auto"/>
          <w:sz w:val="24"/>
        </w:rPr>
      </w:pPr>
      <w:r>
        <w:rPr>
          <w:rFonts w:hint="eastAsia" w:ascii="宋体" w:hAnsi="宋体" w:cs="宋体"/>
          <w:color w:val="auto"/>
          <w:sz w:val="24"/>
        </w:rPr>
        <w:t>7.2.2.2不同投标人委托同一单位或者个人办理投标事宜，或提交电子投标文件的网卡地址一致；</w:t>
      </w:r>
    </w:p>
    <w:p w14:paraId="63E38515">
      <w:pPr>
        <w:spacing w:line="360" w:lineRule="auto"/>
        <w:ind w:firstLine="549"/>
        <w:rPr>
          <w:rFonts w:hint="eastAsia" w:ascii="宋体" w:hAnsi="宋体" w:cs="宋体"/>
          <w:color w:val="auto"/>
          <w:sz w:val="24"/>
        </w:rPr>
      </w:pPr>
      <w:r>
        <w:rPr>
          <w:rFonts w:hint="eastAsia" w:ascii="宋体" w:hAnsi="宋体" w:cs="宋体"/>
          <w:color w:val="auto"/>
          <w:sz w:val="24"/>
        </w:rPr>
        <w:t>7.2.2.3不同投标人的投标文件载明的项目管理成员为同一人；</w:t>
      </w:r>
    </w:p>
    <w:p w14:paraId="2A756154">
      <w:pPr>
        <w:spacing w:line="360" w:lineRule="auto"/>
        <w:ind w:firstLine="549"/>
        <w:rPr>
          <w:rFonts w:hint="eastAsia" w:ascii="宋体" w:hAnsi="宋体" w:cs="宋体"/>
          <w:color w:val="auto"/>
          <w:sz w:val="24"/>
        </w:rPr>
      </w:pPr>
      <w:r>
        <w:rPr>
          <w:rFonts w:hint="eastAsia" w:ascii="宋体" w:hAnsi="宋体" w:cs="宋体"/>
          <w:color w:val="auto"/>
          <w:sz w:val="24"/>
        </w:rPr>
        <w:t>7.2.2.4不同投标人的投标文件异常一致或者投标报价呈规律性差异；</w:t>
      </w:r>
    </w:p>
    <w:p w14:paraId="7423A02A">
      <w:pPr>
        <w:spacing w:line="360" w:lineRule="auto"/>
        <w:ind w:firstLine="549"/>
        <w:rPr>
          <w:rFonts w:hint="eastAsia" w:ascii="宋体" w:hAnsi="宋体" w:cs="宋体"/>
          <w:color w:val="auto"/>
          <w:sz w:val="24"/>
        </w:rPr>
      </w:pPr>
      <w:r>
        <w:rPr>
          <w:rFonts w:hint="eastAsia" w:ascii="宋体" w:hAnsi="宋体" w:cs="宋体"/>
          <w:color w:val="auto"/>
          <w:sz w:val="24"/>
        </w:rPr>
        <w:t>7.2.2.5不同投标人的投标文件相互混装；</w:t>
      </w:r>
    </w:p>
    <w:p w14:paraId="15C4647F">
      <w:pPr>
        <w:spacing w:line="360" w:lineRule="auto"/>
        <w:ind w:firstLine="549"/>
        <w:rPr>
          <w:rFonts w:hint="eastAsia" w:ascii="宋体" w:hAnsi="宋体" w:cs="宋体"/>
          <w:color w:val="auto"/>
          <w:sz w:val="24"/>
        </w:rPr>
      </w:pPr>
      <w:r>
        <w:rPr>
          <w:rFonts w:hint="eastAsia" w:ascii="宋体" w:hAnsi="宋体" w:cs="宋体"/>
          <w:color w:val="auto"/>
          <w:sz w:val="24"/>
        </w:rPr>
        <w:t>7.2.2.6不同投标人的投标保证金从同一单位或者个人的账户转出。</w:t>
      </w:r>
    </w:p>
    <w:p w14:paraId="2A500BB8">
      <w:pPr>
        <w:spacing w:line="360" w:lineRule="auto"/>
        <w:ind w:firstLine="549"/>
        <w:rPr>
          <w:rFonts w:hint="eastAsia" w:ascii="宋体" w:hAnsi="宋体" w:cs="宋体"/>
          <w:color w:val="auto"/>
          <w:sz w:val="24"/>
        </w:rPr>
      </w:pPr>
      <w:r>
        <w:rPr>
          <w:rFonts w:hint="eastAsia" w:ascii="宋体" w:hAnsi="宋体" w:cs="宋体"/>
          <w:color w:val="auto"/>
          <w:sz w:val="24"/>
        </w:rPr>
        <w:t>7.3在确定中标人之前，投标人不得与采购人就投标价格、投标方案等实质性内容进行谈判，也不得私下接触评委会成员。</w:t>
      </w:r>
    </w:p>
    <w:p w14:paraId="5BDE526E">
      <w:pPr>
        <w:spacing w:line="360" w:lineRule="auto"/>
        <w:ind w:firstLine="549"/>
        <w:rPr>
          <w:rFonts w:hint="eastAsia" w:ascii="宋体" w:hAnsi="宋体" w:cs="宋体"/>
          <w:color w:val="auto"/>
          <w:sz w:val="24"/>
        </w:rPr>
      </w:pPr>
      <w:r>
        <w:rPr>
          <w:rFonts w:hint="eastAsia" w:ascii="宋体" w:hAnsi="宋体" w:cs="宋体"/>
          <w:color w:val="auto"/>
          <w:sz w:val="24"/>
        </w:rPr>
        <w:t>7.4在确定中标人之前，投标人试图在投标文件审查、澄清、比较和评价时对评委会、采购人和采购中心施加任何影响都可能导致其投标无效。</w:t>
      </w:r>
    </w:p>
    <w:p w14:paraId="7B0D35D3">
      <w:pPr>
        <w:spacing w:line="360" w:lineRule="auto"/>
        <w:ind w:firstLine="549"/>
        <w:rPr>
          <w:rFonts w:hint="eastAsia" w:ascii="宋体" w:hAnsi="宋体" w:cs="宋体"/>
          <w:color w:val="auto"/>
          <w:sz w:val="24"/>
        </w:rPr>
      </w:pPr>
      <w:r>
        <w:rPr>
          <w:rFonts w:hint="eastAsia" w:ascii="宋体" w:hAnsi="宋体" w:cs="宋体"/>
          <w:color w:val="auto"/>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44D6E71F">
      <w:pPr>
        <w:spacing w:line="360" w:lineRule="auto"/>
        <w:ind w:firstLine="549"/>
        <w:rPr>
          <w:rFonts w:hint="eastAsia" w:ascii="宋体" w:hAnsi="宋体" w:cs="宋体"/>
          <w:color w:val="auto"/>
          <w:spacing w:val="-1"/>
          <w:sz w:val="24"/>
          <w:szCs w:val="24"/>
          <w:lang w:val="zh-CN" w:bidi="zh-CN"/>
        </w:rPr>
      </w:pPr>
      <w:r>
        <w:rPr>
          <w:rFonts w:hint="eastAsia" w:ascii="宋体" w:hAnsi="宋体" w:cs="宋体"/>
          <w:color w:val="auto"/>
          <w:spacing w:val="-1"/>
          <w:sz w:val="24"/>
          <w:szCs w:val="24"/>
          <w:lang w:val="zh-CN" w:bidi="zh-CN"/>
        </w:rPr>
        <w:t>7.6参与采购竞标活动的各方应对投标文件的商业和技术等秘密保密，违者应对由此造成的后果承担法律责任。对上述作出书面保证并附投标文件中，否则视为不响应</w:t>
      </w:r>
      <w:r>
        <w:rPr>
          <w:rFonts w:hint="eastAsia" w:ascii="宋体" w:hAnsi="宋体" w:cs="宋体"/>
          <w:color w:val="auto"/>
          <w:spacing w:val="-1"/>
          <w:sz w:val="24"/>
          <w:szCs w:val="24"/>
          <w:lang w:bidi="zh-CN"/>
        </w:rPr>
        <w:t>招标</w:t>
      </w:r>
      <w:r>
        <w:rPr>
          <w:rFonts w:hint="eastAsia" w:ascii="宋体" w:hAnsi="宋体" w:cs="宋体"/>
          <w:color w:val="auto"/>
          <w:spacing w:val="-1"/>
          <w:sz w:val="24"/>
          <w:szCs w:val="24"/>
          <w:lang w:val="zh-CN" w:bidi="zh-CN"/>
        </w:rPr>
        <w:t>文件要求。</w:t>
      </w:r>
    </w:p>
    <w:p w14:paraId="036D79B1">
      <w:pPr>
        <w:spacing w:line="360" w:lineRule="auto"/>
        <w:ind w:firstLine="549"/>
        <w:rPr>
          <w:rFonts w:hint="eastAsia" w:ascii="宋体" w:hAnsi="宋体" w:cs="宋体"/>
          <w:b/>
          <w:color w:val="auto"/>
          <w:sz w:val="24"/>
        </w:rPr>
      </w:pPr>
      <w:r>
        <w:rPr>
          <w:rFonts w:hint="eastAsia" w:ascii="宋体" w:hAnsi="宋体" w:cs="宋体"/>
          <w:b/>
          <w:color w:val="auto"/>
          <w:sz w:val="24"/>
        </w:rPr>
        <w:t>8.联合体投标</w:t>
      </w:r>
    </w:p>
    <w:p w14:paraId="19E21E38">
      <w:pPr>
        <w:spacing w:line="360" w:lineRule="auto"/>
        <w:ind w:firstLine="480" w:firstLineChars="200"/>
        <w:rPr>
          <w:rFonts w:hint="eastAsia" w:ascii="宋体" w:hAnsi="宋体" w:cs="宋体"/>
          <w:color w:val="auto"/>
          <w:sz w:val="24"/>
        </w:rPr>
      </w:pPr>
      <w:r>
        <w:rPr>
          <w:rFonts w:hint="eastAsia" w:ascii="宋体" w:hAnsi="宋体" w:cs="宋体"/>
          <w:color w:val="auto"/>
          <w:sz w:val="24"/>
        </w:rPr>
        <w:t>不接受联合体投标</w:t>
      </w:r>
    </w:p>
    <w:p w14:paraId="12AE168D">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9.投标品牌</w:t>
      </w:r>
    </w:p>
    <w:p w14:paraId="3BA3C849">
      <w:pPr>
        <w:spacing w:line="360" w:lineRule="auto"/>
        <w:ind w:firstLine="523" w:firstLineChars="218"/>
        <w:rPr>
          <w:rFonts w:hint="eastAsia" w:ascii="宋体" w:hAnsi="宋体" w:cs="宋体"/>
          <w:color w:val="auto"/>
          <w:sz w:val="24"/>
        </w:rPr>
      </w:pPr>
      <w:r>
        <w:rPr>
          <w:rFonts w:hint="eastAsia" w:ascii="宋体" w:hAnsi="宋体" w:cs="宋体"/>
          <w:color w:val="auto"/>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154760AE">
      <w:pPr>
        <w:spacing w:line="360" w:lineRule="auto"/>
        <w:ind w:firstLine="525"/>
        <w:rPr>
          <w:rFonts w:hint="eastAsia" w:ascii="宋体" w:hAnsi="宋体" w:cs="宋体"/>
          <w:b/>
          <w:bCs/>
          <w:color w:val="auto"/>
          <w:sz w:val="24"/>
        </w:rPr>
      </w:pPr>
      <w:r>
        <w:rPr>
          <w:rFonts w:hint="eastAsia" w:ascii="宋体" w:hAnsi="宋体" w:cs="宋体"/>
          <w:b/>
          <w:bCs/>
          <w:color w:val="auto"/>
          <w:sz w:val="24"/>
        </w:rPr>
        <w:t>10.投标专用章的效力</w:t>
      </w:r>
    </w:p>
    <w:p w14:paraId="6E54A39D">
      <w:pPr>
        <w:spacing w:line="360" w:lineRule="auto"/>
        <w:ind w:firstLine="525"/>
        <w:rPr>
          <w:rFonts w:hint="eastAsia" w:ascii="宋体" w:hAnsi="宋体" w:cs="宋体"/>
          <w:color w:val="auto"/>
          <w:sz w:val="24"/>
        </w:rPr>
      </w:pPr>
      <w:r>
        <w:rPr>
          <w:rFonts w:hint="eastAsia" w:ascii="宋体" w:hAnsi="宋体" w:cs="宋体"/>
          <w:color w:val="auto"/>
          <w:sz w:val="24"/>
        </w:rPr>
        <w:t>10.1招标文件中明确要求投标人加盖电子签章的，投标人必须加盖投标人电子签章。要求法定代表人签章的须由法定代表人签字和盖章。</w:t>
      </w:r>
    </w:p>
    <w:p w14:paraId="4015A4E9">
      <w:pPr>
        <w:spacing w:line="360" w:lineRule="auto"/>
        <w:ind w:firstLine="550"/>
        <w:rPr>
          <w:rFonts w:hint="eastAsia" w:ascii="宋体" w:hAnsi="宋体" w:cs="宋体"/>
          <w:b/>
          <w:bCs/>
          <w:color w:val="auto"/>
          <w:sz w:val="24"/>
        </w:rPr>
      </w:pPr>
      <w:r>
        <w:rPr>
          <w:rFonts w:hint="eastAsia" w:ascii="宋体" w:hAnsi="宋体" w:cs="宋体"/>
          <w:b/>
          <w:bCs/>
          <w:color w:val="auto"/>
          <w:sz w:val="24"/>
        </w:rPr>
        <w:t>11.合同标的转让</w:t>
      </w:r>
    </w:p>
    <w:p w14:paraId="1964679F">
      <w:pPr>
        <w:spacing w:line="360" w:lineRule="auto"/>
        <w:ind w:firstLine="523" w:firstLineChars="218"/>
        <w:rPr>
          <w:rFonts w:hint="eastAsia" w:ascii="宋体" w:hAnsi="宋体" w:cs="宋体"/>
          <w:color w:val="auto"/>
          <w:sz w:val="24"/>
        </w:rPr>
      </w:pPr>
      <w:r>
        <w:rPr>
          <w:rFonts w:hint="eastAsia" w:ascii="宋体" w:hAnsi="宋体" w:cs="宋体"/>
          <w:color w:val="auto"/>
          <w:sz w:val="24"/>
        </w:rPr>
        <w:t xml:space="preserve">11.1合同未约定或者未经采购人同意，中标人不得向他人转让中标项目，也不得将中标项目肢解后分别向他人转让。 </w:t>
      </w:r>
    </w:p>
    <w:p w14:paraId="3BE80498">
      <w:pPr>
        <w:spacing w:line="360" w:lineRule="auto"/>
        <w:ind w:firstLine="523" w:firstLineChars="218"/>
        <w:rPr>
          <w:rFonts w:hint="eastAsia" w:ascii="宋体" w:hAnsi="宋体" w:cs="宋体"/>
          <w:color w:val="auto"/>
          <w:sz w:val="24"/>
        </w:rPr>
      </w:pPr>
      <w:r>
        <w:rPr>
          <w:rFonts w:hint="eastAsia" w:ascii="宋体" w:hAnsi="宋体" w:cs="宋体"/>
          <w:color w:val="auto"/>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F052026">
      <w:pPr>
        <w:spacing w:line="360" w:lineRule="auto"/>
        <w:ind w:firstLine="523" w:firstLineChars="218"/>
        <w:rPr>
          <w:rFonts w:hint="eastAsia" w:ascii="宋体" w:hAnsi="宋体" w:cs="宋体"/>
          <w:color w:val="auto"/>
          <w:sz w:val="24"/>
        </w:rPr>
      </w:pPr>
      <w:r>
        <w:rPr>
          <w:rFonts w:hint="eastAsia" w:ascii="宋体" w:hAnsi="宋体" w:cs="宋体"/>
          <w:color w:val="auto"/>
          <w:sz w:val="24"/>
        </w:rPr>
        <w:t>11.3中标人应当就分包项目向采购人负责，接受分包的人就分包项目承担连带责任。</w:t>
      </w:r>
    </w:p>
    <w:p w14:paraId="12AF1EFC">
      <w:pPr>
        <w:spacing w:line="360" w:lineRule="auto"/>
        <w:ind w:firstLine="523" w:firstLineChars="218"/>
        <w:rPr>
          <w:rFonts w:hint="eastAsia" w:ascii="宋体" w:hAnsi="宋体" w:cs="宋体"/>
          <w:color w:val="auto"/>
          <w:sz w:val="24"/>
        </w:rPr>
      </w:pPr>
      <w:r>
        <w:rPr>
          <w:rFonts w:hint="eastAsia" w:ascii="宋体" w:hAnsi="宋体" w:cs="宋体"/>
          <w:color w:val="auto"/>
          <w:sz w:val="24"/>
        </w:rPr>
        <w:t>11.4未经政府采购管理部门批准，进口设备不得转包。</w:t>
      </w:r>
    </w:p>
    <w:p w14:paraId="63446078">
      <w:pPr>
        <w:spacing w:line="360" w:lineRule="auto"/>
        <w:ind w:firstLine="525" w:firstLineChars="218"/>
        <w:rPr>
          <w:rFonts w:hint="eastAsia" w:ascii="宋体" w:hAnsi="宋体" w:cs="宋体"/>
          <w:color w:val="auto"/>
          <w:sz w:val="24"/>
        </w:rPr>
      </w:pPr>
      <w:r>
        <w:rPr>
          <w:rFonts w:hint="eastAsia" w:ascii="宋体" w:hAnsi="宋体" w:cs="宋体"/>
          <w:b/>
          <w:bCs/>
          <w:color w:val="auto"/>
          <w:sz w:val="24"/>
        </w:rPr>
        <w:t>12.会员信息库</w:t>
      </w:r>
    </w:p>
    <w:p w14:paraId="5135BAE7">
      <w:pPr>
        <w:spacing w:line="360" w:lineRule="auto"/>
        <w:ind w:firstLine="523" w:firstLineChars="218"/>
        <w:rPr>
          <w:rFonts w:hint="eastAsia" w:ascii="宋体" w:hAnsi="宋体" w:cs="宋体"/>
          <w:color w:val="auto"/>
          <w:sz w:val="24"/>
        </w:rPr>
      </w:pPr>
      <w:r>
        <w:rPr>
          <w:rFonts w:hint="eastAsia" w:ascii="宋体" w:hAnsi="宋体" w:cs="宋体"/>
          <w:color w:val="auto"/>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5500B8F">
      <w:pPr>
        <w:spacing w:line="360" w:lineRule="auto"/>
        <w:ind w:firstLine="523" w:firstLineChars="218"/>
        <w:rPr>
          <w:rFonts w:hint="eastAsia" w:ascii="宋体" w:hAnsi="宋体" w:cs="宋体"/>
          <w:color w:val="auto"/>
          <w:sz w:val="24"/>
        </w:rPr>
      </w:pPr>
      <w:r>
        <w:rPr>
          <w:rFonts w:hint="eastAsia" w:ascii="宋体" w:hAnsi="宋体" w:cs="宋体"/>
          <w:color w:val="auto"/>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3AD8260C">
      <w:pPr>
        <w:spacing w:line="360" w:lineRule="auto"/>
        <w:ind w:firstLine="523" w:firstLineChars="218"/>
        <w:rPr>
          <w:rFonts w:hint="eastAsia" w:ascii="宋体" w:hAnsi="宋体" w:cs="宋体"/>
          <w:color w:val="auto"/>
          <w:sz w:val="24"/>
        </w:rPr>
      </w:pPr>
      <w:r>
        <w:rPr>
          <w:rFonts w:hint="eastAsia" w:ascii="宋体" w:hAnsi="宋体" w:cs="宋体"/>
          <w:color w:val="auto"/>
          <w:sz w:val="24"/>
        </w:rPr>
        <w:t>为确保投标文件通过评审，投标人应及时对入库资料进行补充、更新。</w:t>
      </w:r>
    </w:p>
    <w:p w14:paraId="11385D93">
      <w:pPr>
        <w:spacing w:line="360" w:lineRule="auto"/>
        <w:ind w:firstLine="523" w:firstLineChars="218"/>
        <w:rPr>
          <w:rFonts w:hint="eastAsia" w:ascii="宋体" w:hAnsi="宋体" w:cs="宋体"/>
          <w:color w:val="auto"/>
          <w:sz w:val="24"/>
        </w:rPr>
      </w:pPr>
      <w:r>
        <w:rPr>
          <w:rFonts w:hint="eastAsia" w:ascii="宋体" w:hAnsi="宋体" w:cs="宋体"/>
          <w:color w:val="auto"/>
          <w:sz w:val="24"/>
        </w:rPr>
        <w:t>如因前款原因未通过本项目评委会评审，由投标人承担全部责任。</w:t>
      </w:r>
    </w:p>
    <w:p w14:paraId="3A6A8142">
      <w:pPr>
        <w:spacing w:line="360" w:lineRule="auto"/>
        <w:ind w:firstLine="523" w:firstLineChars="218"/>
        <w:rPr>
          <w:rFonts w:hint="eastAsia" w:ascii="宋体" w:hAnsi="宋体" w:cs="宋体"/>
          <w:color w:val="auto"/>
          <w:sz w:val="24"/>
        </w:rPr>
      </w:pPr>
      <w:r>
        <w:rPr>
          <w:rFonts w:hint="eastAsia" w:ascii="宋体" w:hAnsi="宋体" w:cs="宋体"/>
          <w:color w:val="auto"/>
          <w:sz w:val="24"/>
        </w:rPr>
        <w:t>12.3网上会员库中文字资料与扫描件资料不一致时，以扫描件资料为准。</w:t>
      </w:r>
    </w:p>
    <w:p w14:paraId="22ED84F0">
      <w:pPr>
        <w:spacing w:line="360" w:lineRule="auto"/>
        <w:ind w:firstLine="523" w:firstLineChars="218"/>
        <w:rPr>
          <w:rFonts w:hint="eastAsia" w:ascii="宋体" w:hAnsi="宋体" w:cs="宋体"/>
          <w:color w:val="auto"/>
          <w:sz w:val="24"/>
        </w:rPr>
      </w:pPr>
      <w:r>
        <w:rPr>
          <w:rFonts w:hint="eastAsia" w:ascii="宋体" w:hAnsi="宋体" w:cs="宋体"/>
          <w:color w:val="auto"/>
          <w:sz w:val="24"/>
        </w:rPr>
        <w:t>12.4有关会员库的更多信息，请登陆周口市公共资源交易中心网查询。</w:t>
      </w:r>
    </w:p>
    <w:p w14:paraId="0D11BB5D">
      <w:pPr>
        <w:spacing w:line="360" w:lineRule="auto"/>
        <w:ind w:firstLine="550"/>
        <w:rPr>
          <w:rFonts w:hint="eastAsia" w:ascii="宋体" w:hAnsi="宋体" w:cs="宋体"/>
          <w:b/>
          <w:bCs/>
          <w:color w:val="auto"/>
          <w:sz w:val="24"/>
        </w:rPr>
      </w:pPr>
      <w:r>
        <w:rPr>
          <w:rFonts w:hint="eastAsia" w:ascii="宋体" w:hAnsi="宋体" w:cs="宋体"/>
          <w:b/>
          <w:bCs/>
          <w:color w:val="auto"/>
          <w:sz w:val="24"/>
        </w:rPr>
        <w:t>13.采购信息的发布</w:t>
      </w:r>
    </w:p>
    <w:p w14:paraId="7C4D9FE5">
      <w:pPr>
        <w:spacing w:line="360" w:lineRule="auto"/>
        <w:ind w:firstLine="550"/>
        <w:rPr>
          <w:rFonts w:hint="eastAsia" w:ascii="宋体" w:hAnsi="宋体" w:cs="宋体"/>
          <w:color w:val="auto"/>
          <w:sz w:val="24"/>
        </w:rPr>
      </w:pPr>
      <w:r>
        <w:rPr>
          <w:rFonts w:hint="eastAsia" w:ascii="宋体" w:hAnsi="宋体" w:cs="宋体"/>
          <w:color w:val="auto"/>
          <w:sz w:val="24"/>
        </w:rPr>
        <w:t>13.1与本次采购活动相关的信息，将发布在周口市公共资源交易中心网(</w:t>
      </w:r>
      <w:r>
        <w:rPr>
          <w:color w:val="auto"/>
        </w:rPr>
        <w:fldChar w:fldCharType="begin"/>
      </w:r>
      <w:r>
        <w:rPr>
          <w:color w:val="auto"/>
        </w:rPr>
        <w:instrText xml:space="preserve"> HYPERLINK "http://jyzx.zhoukou.gov.cn" </w:instrText>
      </w:r>
      <w:r>
        <w:rPr>
          <w:color w:val="auto"/>
        </w:rPr>
        <w:fldChar w:fldCharType="separate"/>
      </w:r>
      <w:r>
        <w:rPr>
          <w:rFonts w:hint="eastAsia" w:ascii="宋体" w:hAnsi="宋体" w:cs="宋体"/>
          <w:color w:val="auto"/>
          <w:sz w:val="24"/>
        </w:rPr>
        <w:t>http://jyzx.zhoukou.gov.cn</w:t>
      </w:r>
      <w:r>
        <w:rPr>
          <w:rFonts w:hint="eastAsia" w:ascii="宋体" w:hAnsi="宋体" w:cs="宋体"/>
          <w:color w:val="auto"/>
          <w:sz w:val="24"/>
        </w:rPr>
        <w:fldChar w:fldCharType="end"/>
      </w:r>
      <w:r>
        <w:rPr>
          <w:rFonts w:hint="eastAsia" w:ascii="宋体" w:hAnsi="宋体" w:cs="宋体"/>
          <w:color w:val="auto"/>
          <w:sz w:val="24"/>
        </w:rPr>
        <w:t>)及河南省政府采购网（www.hngp.gov.cn），以下简称“网站”。</w:t>
      </w:r>
    </w:p>
    <w:p w14:paraId="48FC0E79">
      <w:pPr>
        <w:pStyle w:val="5"/>
        <w:spacing w:line="360" w:lineRule="auto"/>
        <w:ind w:firstLine="3418" w:firstLineChars="1216"/>
        <w:rPr>
          <w:rFonts w:hint="eastAsia" w:hAnsi="宋体" w:cs="宋体"/>
          <w:color w:val="auto"/>
        </w:rPr>
      </w:pPr>
      <w:bookmarkStart w:id="68" w:name="_Hlt509650690"/>
      <w:bookmarkEnd w:id="68"/>
      <w:bookmarkStart w:id="69" w:name="_Hlt509650116"/>
      <w:bookmarkEnd w:id="69"/>
      <w:bookmarkStart w:id="70" w:name="_Hlt509649678"/>
      <w:bookmarkEnd w:id="70"/>
      <w:bookmarkStart w:id="71" w:name="_Hlt509650932"/>
      <w:bookmarkEnd w:id="71"/>
      <w:bookmarkStart w:id="72" w:name="_Hlt509650333"/>
      <w:bookmarkEnd w:id="72"/>
      <w:bookmarkStart w:id="73" w:name="_Hlt509650936"/>
      <w:bookmarkEnd w:id="73"/>
      <w:bookmarkStart w:id="74" w:name="_Hlt509649795"/>
      <w:bookmarkEnd w:id="74"/>
      <w:bookmarkStart w:id="75" w:name="_Hlt509649330"/>
      <w:bookmarkEnd w:id="75"/>
      <w:bookmarkStart w:id="76" w:name="_Hlt509650103"/>
      <w:bookmarkEnd w:id="76"/>
      <w:bookmarkStart w:id="77" w:name="_Hlt509649645"/>
      <w:bookmarkEnd w:id="77"/>
      <w:bookmarkStart w:id="78" w:name="_Hlt526418153"/>
      <w:bookmarkEnd w:id="78"/>
      <w:bookmarkStart w:id="79" w:name="_Hlt509650961"/>
      <w:bookmarkEnd w:id="79"/>
      <w:bookmarkStart w:id="80" w:name="_Hlt509649669"/>
      <w:bookmarkEnd w:id="80"/>
      <w:bookmarkStart w:id="81" w:name="_Hlt509650929"/>
      <w:bookmarkEnd w:id="81"/>
      <w:bookmarkStart w:id="82" w:name="_Toc527725923"/>
      <w:bookmarkStart w:id="83" w:name="_Toc40975443"/>
      <w:r>
        <w:rPr>
          <w:rFonts w:hint="eastAsia" w:hAnsi="宋体" w:cs="宋体"/>
          <w:color w:val="auto"/>
        </w:rPr>
        <w:t>二．招标文件</w:t>
      </w:r>
      <w:bookmarkEnd w:id="82"/>
      <w:bookmarkEnd w:id="83"/>
      <w:bookmarkStart w:id="84" w:name="_Hlt509649791"/>
      <w:bookmarkEnd w:id="84"/>
      <w:bookmarkStart w:id="85" w:name="_Hlt509649930"/>
      <w:bookmarkEnd w:id="85"/>
      <w:bookmarkStart w:id="86" w:name="_Hlt509650361"/>
      <w:bookmarkEnd w:id="86"/>
    </w:p>
    <w:p w14:paraId="08C42295">
      <w:pPr>
        <w:spacing w:line="360" w:lineRule="auto"/>
        <w:ind w:firstLine="549"/>
        <w:rPr>
          <w:rFonts w:hint="eastAsia" w:ascii="宋体" w:hAnsi="宋体" w:cs="宋体"/>
          <w:b/>
          <w:color w:val="auto"/>
          <w:sz w:val="24"/>
        </w:rPr>
      </w:pPr>
      <w:bookmarkStart w:id="87" w:name="_Hlt509650734"/>
      <w:bookmarkEnd w:id="87"/>
      <w:r>
        <w:rPr>
          <w:rFonts w:hint="eastAsia" w:ascii="宋体" w:hAnsi="宋体" w:cs="宋体"/>
          <w:b/>
          <w:color w:val="auto"/>
          <w:sz w:val="24"/>
        </w:rPr>
        <w:t>14.招标文件构成</w:t>
      </w:r>
    </w:p>
    <w:p w14:paraId="676F73CF">
      <w:pPr>
        <w:spacing w:line="360" w:lineRule="auto"/>
        <w:ind w:firstLine="549"/>
        <w:rPr>
          <w:rFonts w:hint="eastAsia" w:ascii="宋体" w:hAnsi="宋体" w:cs="宋体"/>
          <w:color w:val="auto"/>
          <w:sz w:val="24"/>
        </w:rPr>
      </w:pPr>
      <w:r>
        <w:rPr>
          <w:rFonts w:hint="eastAsia" w:ascii="宋体" w:hAnsi="宋体" w:cs="宋体"/>
          <w:color w:val="auto"/>
          <w:sz w:val="24"/>
        </w:rPr>
        <w:t>14.1招标文件包括以下部分：</w:t>
      </w:r>
    </w:p>
    <w:p w14:paraId="39BAC98E">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14.1.1第一章：</w:t>
      </w:r>
      <w:r>
        <w:rPr>
          <w:rFonts w:hint="eastAsia" w:ascii="宋体" w:hAnsi="宋体" w:cs="宋体"/>
          <w:bCs/>
          <w:color w:val="auto"/>
          <w:sz w:val="24"/>
        </w:rPr>
        <w:t>投标邀请（招标公告）；</w:t>
      </w:r>
    </w:p>
    <w:p w14:paraId="4DD32201">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14.1.2第二章：</w:t>
      </w:r>
      <w:bookmarkStart w:id="88" w:name="_Hlt509650925"/>
      <w:bookmarkEnd w:id="88"/>
      <w:r>
        <w:rPr>
          <w:rFonts w:hint="eastAsia" w:ascii="宋体" w:hAnsi="宋体" w:cs="宋体"/>
          <w:bCs/>
          <w:color w:val="auto"/>
          <w:sz w:val="24"/>
        </w:rPr>
        <w:t>投标人须知前附表；</w:t>
      </w:r>
    </w:p>
    <w:p w14:paraId="37CC5CE7">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14.1.3第三章：</w:t>
      </w:r>
      <w:r>
        <w:rPr>
          <w:rFonts w:hint="eastAsia" w:ascii="宋体" w:hAnsi="宋体" w:cs="宋体"/>
          <w:bCs/>
          <w:color w:val="auto"/>
          <w:sz w:val="24"/>
        </w:rPr>
        <w:t>货物需求一览表；</w:t>
      </w:r>
    </w:p>
    <w:p w14:paraId="3614C9E8">
      <w:pPr>
        <w:spacing w:line="360" w:lineRule="auto"/>
        <w:ind w:firstLine="523" w:firstLineChars="218"/>
        <w:rPr>
          <w:rFonts w:hint="eastAsia" w:ascii="宋体" w:hAnsi="宋体" w:cs="宋体"/>
          <w:color w:val="auto"/>
          <w:sz w:val="24"/>
        </w:rPr>
      </w:pPr>
      <w:r>
        <w:rPr>
          <w:rFonts w:hint="eastAsia" w:ascii="宋体" w:hAnsi="宋体" w:cs="宋体"/>
          <w:color w:val="auto"/>
          <w:sz w:val="24"/>
        </w:rPr>
        <w:t>14.1.4第四章：</w:t>
      </w:r>
      <w:r>
        <w:rPr>
          <w:rFonts w:hint="eastAsia" w:ascii="宋体" w:hAnsi="宋体" w:cs="宋体"/>
          <w:bCs/>
          <w:color w:val="auto"/>
          <w:sz w:val="24"/>
        </w:rPr>
        <w:t>评标办法；</w:t>
      </w:r>
    </w:p>
    <w:p w14:paraId="5692A7C4">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14.1.5第五章：</w:t>
      </w:r>
      <w:r>
        <w:rPr>
          <w:rFonts w:hint="eastAsia" w:ascii="宋体" w:hAnsi="宋体" w:cs="宋体"/>
          <w:bCs/>
          <w:color w:val="auto"/>
          <w:sz w:val="24"/>
        </w:rPr>
        <w:t>投标人须知；</w:t>
      </w:r>
    </w:p>
    <w:p w14:paraId="533AE5EA">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14.1.6第六章：</w:t>
      </w:r>
      <w:r>
        <w:rPr>
          <w:rFonts w:hint="eastAsia" w:ascii="宋体" w:hAnsi="宋体" w:cs="宋体"/>
          <w:bCs/>
          <w:color w:val="auto"/>
          <w:sz w:val="24"/>
        </w:rPr>
        <w:t>采购合同；</w:t>
      </w:r>
    </w:p>
    <w:p w14:paraId="15932870">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14.1.7第七章：</w:t>
      </w:r>
      <w:r>
        <w:rPr>
          <w:rFonts w:hint="eastAsia" w:ascii="宋体" w:hAnsi="宋体" w:cs="宋体"/>
          <w:bCs/>
          <w:color w:val="auto"/>
          <w:sz w:val="24"/>
        </w:rPr>
        <w:t>投标文件格式；</w:t>
      </w:r>
    </w:p>
    <w:p w14:paraId="49830FC7">
      <w:pPr>
        <w:spacing w:line="360" w:lineRule="auto"/>
        <w:ind w:firstLine="523" w:firstLineChars="218"/>
        <w:rPr>
          <w:rFonts w:hint="eastAsia" w:ascii="宋体" w:hAnsi="宋体" w:cs="宋体"/>
          <w:color w:val="auto"/>
          <w:sz w:val="24"/>
        </w:rPr>
      </w:pPr>
      <w:r>
        <w:rPr>
          <w:rFonts w:hint="eastAsia" w:ascii="宋体" w:hAnsi="宋体" w:cs="宋体"/>
          <w:bCs/>
          <w:color w:val="auto"/>
          <w:sz w:val="24"/>
        </w:rPr>
        <w:t>14.1.8周口市公共资源交易中心政府采购中心发布的</w:t>
      </w:r>
      <w:r>
        <w:rPr>
          <w:rFonts w:hint="eastAsia" w:ascii="宋体" w:hAnsi="宋体" w:cs="宋体"/>
          <w:color w:val="auto"/>
          <w:sz w:val="24"/>
        </w:rPr>
        <w:t>图纸、答疑、补遗、补充通知等。</w:t>
      </w:r>
    </w:p>
    <w:p w14:paraId="44011CE2">
      <w:pPr>
        <w:spacing w:line="360" w:lineRule="auto"/>
        <w:ind w:firstLine="549"/>
        <w:rPr>
          <w:rFonts w:hint="eastAsia" w:ascii="宋体" w:hAnsi="宋体" w:cs="宋体"/>
          <w:color w:val="auto"/>
          <w:sz w:val="24"/>
        </w:rPr>
      </w:pPr>
      <w:r>
        <w:rPr>
          <w:rFonts w:hint="eastAsia" w:ascii="宋体" w:hAnsi="宋体" w:cs="宋体"/>
          <w:color w:val="auto"/>
          <w:sz w:val="24"/>
        </w:rPr>
        <w:t>14.2 投标人应认真阅读招标文件中所有的事项、格式、条件、条款和规范等要求。</w:t>
      </w:r>
      <w:r>
        <w:rPr>
          <w:rFonts w:hint="eastAsia" w:ascii="宋体" w:hAnsi="宋体"/>
          <w:color w:val="auto"/>
          <w:sz w:val="24"/>
        </w:rPr>
        <w:t>如果有异议在规定的时间内提出，没有异议需做出“无异议”承诺书，承诺书作为响应文件的组织部分，否则为无效响应文件。</w:t>
      </w:r>
    </w:p>
    <w:p w14:paraId="79BDF0E6">
      <w:pPr>
        <w:pStyle w:val="57"/>
        <w:tabs>
          <w:tab w:val="left" w:pos="819"/>
        </w:tabs>
        <w:adjustRightInd w:val="0"/>
        <w:snapToGrid w:val="0"/>
        <w:spacing w:line="360" w:lineRule="auto"/>
        <w:ind w:left="0" w:firstLine="480" w:firstLineChars="200"/>
        <w:rPr>
          <w:rFonts w:hint="eastAsia" w:ascii="宋体" w:hAnsi="宋体" w:cs="宋体"/>
          <w:color w:val="auto"/>
          <w:sz w:val="24"/>
        </w:rPr>
      </w:pPr>
      <w:r>
        <w:rPr>
          <w:rFonts w:hint="eastAsia" w:ascii="宋体" w:hAnsi="宋体" w:cs="宋体"/>
          <w:color w:val="auto"/>
          <w:kern w:val="2"/>
          <w:sz w:val="24"/>
          <w:szCs w:val="20"/>
        </w:rPr>
        <w:t>14.3投标人应当按照招标文件的要求编制投标文件。投标文件应对招标文件提出的要求和条件作出实质性响应。供应商应具备完善的管理制度，并根据制度制定合理可行的服务方案。按文件要求和规定顺序编制投标文件，并保证所提供全部资料的真实性，并在投标文件中附承诺书；供应商提交的资料应证明其满足招标文件要求并在材料上面签署“与原件一致”字样，该文件包括资格材料、文字资料、图纸和数据等详细描述的资料,否则视为不响应招标文件。</w:t>
      </w:r>
    </w:p>
    <w:p w14:paraId="06CFAFDA">
      <w:pPr>
        <w:pStyle w:val="57"/>
        <w:tabs>
          <w:tab w:val="left" w:pos="819"/>
        </w:tabs>
        <w:adjustRightInd w:val="0"/>
        <w:snapToGrid w:val="0"/>
        <w:spacing w:line="360" w:lineRule="auto"/>
        <w:ind w:left="420" w:leftChars="200"/>
        <w:jc w:val="both"/>
        <w:rPr>
          <w:rFonts w:hint="eastAsia" w:ascii="宋体" w:hAnsi="宋体" w:cs="宋体"/>
          <w:color w:val="auto"/>
          <w:sz w:val="24"/>
        </w:rPr>
      </w:pPr>
      <w:r>
        <w:rPr>
          <w:rFonts w:hint="eastAsia" w:ascii="宋体" w:hAnsi="宋体" w:cs="宋体"/>
          <w:color w:val="auto"/>
          <w:sz w:val="24"/>
        </w:rPr>
        <w:t>14.4投标人获取招标文件后，应仔细检查招标文件的所有内容，如有残缺等问题应在获得招标文件3日内向</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提出，否则，由此引起的损失由投标人自行承担。</w:t>
      </w:r>
    </w:p>
    <w:p w14:paraId="689A0141">
      <w:pPr>
        <w:spacing w:line="360" w:lineRule="auto"/>
        <w:ind w:firstLine="550"/>
        <w:rPr>
          <w:rFonts w:hint="eastAsia" w:ascii="宋体" w:hAnsi="宋体" w:cs="宋体"/>
          <w:color w:val="auto"/>
          <w:sz w:val="24"/>
        </w:rPr>
      </w:pPr>
      <w:r>
        <w:rPr>
          <w:rFonts w:hint="eastAsia" w:ascii="宋体" w:hAnsi="宋体" w:cs="宋体"/>
          <w:color w:val="auto"/>
          <w:sz w:val="24"/>
        </w:rPr>
        <w:t>15.招标文件的澄清与修改</w:t>
      </w:r>
    </w:p>
    <w:p w14:paraId="772F0A41">
      <w:pPr>
        <w:spacing w:line="360" w:lineRule="auto"/>
        <w:ind w:firstLine="550"/>
        <w:rPr>
          <w:rFonts w:hint="eastAsia" w:ascii="宋体" w:hAnsi="宋体" w:cs="宋体"/>
          <w:color w:val="auto"/>
          <w:sz w:val="24"/>
        </w:rPr>
      </w:pPr>
      <w:r>
        <w:rPr>
          <w:rFonts w:hint="eastAsia" w:ascii="宋体" w:hAnsi="宋体" w:cs="宋体"/>
          <w:color w:val="auto"/>
          <w:sz w:val="24"/>
        </w:rPr>
        <w:t>15.1</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62A9522D">
      <w:pPr>
        <w:spacing w:line="360" w:lineRule="auto"/>
        <w:ind w:firstLine="550"/>
        <w:rPr>
          <w:rFonts w:hint="eastAsia" w:ascii="宋体" w:hAnsi="宋体" w:cs="宋体"/>
          <w:color w:val="auto"/>
          <w:sz w:val="24"/>
        </w:rPr>
      </w:pPr>
      <w:r>
        <w:rPr>
          <w:rFonts w:hint="eastAsia" w:ascii="宋体" w:hAnsi="宋体" w:cs="宋体"/>
          <w:color w:val="auto"/>
          <w:sz w:val="24"/>
        </w:rPr>
        <w:t>15.2在投标截止时间前，</w:t>
      </w:r>
      <w:r>
        <w:rPr>
          <w:rFonts w:hint="eastAsia" w:ascii="宋体" w:hAnsi="宋体" w:cs="宋体"/>
          <w:bCs/>
          <w:color w:val="auto"/>
          <w:sz w:val="24"/>
        </w:rPr>
        <w:t>采购人</w:t>
      </w:r>
      <w:r>
        <w:rPr>
          <w:rFonts w:hint="eastAsia" w:ascii="宋体" w:hAnsi="宋体" w:cs="宋体"/>
          <w:color w:val="auto"/>
          <w:sz w:val="24"/>
        </w:rPr>
        <w:t>可以视采购具体情况，延长投标截止时间和开标时间，在网站上发布变更公告。在上述情况下，</w:t>
      </w:r>
      <w:r>
        <w:rPr>
          <w:rFonts w:hint="eastAsia" w:ascii="宋体" w:hAnsi="宋体" w:cs="宋体"/>
          <w:bCs/>
          <w:color w:val="auto"/>
          <w:sz w:val="24"/>
        </w:rPr>
        <w:t>采购人</w:t>
      </w:r>
      <w:r>
        <w:rPr>
          <w:rFonts w:hint="eastAsia" w:ascii="宋体" w:hAnsi="宋体" w:cs="宋体"/>
          <w:color w:val="auto"/>
          <w:sz w:val="24"/>
        </w:rPr>
        <w:t>和投标人在投标截止期方面的全部权力、责任和义务，将适用于延长后新的投标截止期。</w:t>
      </w:r>
    </w:p>
    <w:p w14:paraId="14C27E36">
      <w:pPr>
        <w:spacing w:line="360" w:lineRule="auto"/>
        <w:ind w:firstLine="550"/>
        <w:rPr>
          <w:rFonts w:hint="eastAsia" w:ascii="宋体" w:hAnsi="宋体" w:cs="宋体"/>
          <w:color w:val="auto"/>
          <w:sz w:val="28"/>
        </w:rPr>
      </w:pPr>
      <w:r>
        <w:rPr>
          <w:rFonts w:hint="eastAsia" w:ascii="宋体" w:hAnsi="宋体" w:cs="宋体"/>
          <w:color w:val="auto"/>
          <w:sz w:val="24"/>
        </w:rPr>
        <w:t>15.3特殊情况下，</w:t>
      </w:r>
      <w:r>
        <w:rPr>
          <w:rFonts w:hint="eastAsia" w:ascii="宋体" w:hAnsi="宋体" w:cs="宋体"/>
          <w:bCs/>
          <w:color w:val="auto"/>
          <w:sz w:val="24"/>
        </w:rPr>
        <w:t>采购人</w:t>
      </w:r>
      <w:r>
        <w:rPr>
          <w:rFonts w:hint="eastAsia" w:ascii="宋体" w:hAnsi="宋体" w:cs="宋体"/>
          <w:color w:val="auto"/>
          <w:sz w:val="24"/>
        </w:rPr>
        <w:t>发布澄清、更正或更改公告后，可不改变投标截止时间和开标时间。</w:t>
      </w:r>
    </w:p>
    <w:p w14:paraId="0470ACBF">
      <w:pPr>
        <w:pStyle w:val="5"/>
        <w:spacing w:line="360" w:lineRule="auto"/>
        <w:ind w:firstLine="2715" w:firstLineChars="966"/>
        <w:rPr>
          <w:rFonts w:hint="eastAsia" w:hAnsi="宋体" w:cs="宋体"/>
          <w:color w:val="auto"/>
        </w:rPr>
      </w:pPr>
      <w:bookmarkStart w:id="89" w:name="_Hlt510342861"/>
      <w:bookmarkEnd w:id="89"/>
      <w:bookmarkStart w:id="90" w:name="_Hlt509650697"/>
      <w:bookmarkEnd w:id="90"/>
      <w:bookmarkStart w:id="91" w:name="_Hlt509649724"/>
      <w:bookmarkEnd w:id="91"/>
      <w:bookmarkStart w:id="92" w:name="_Toc527725924"/>
      <w:bookmarkStart w:id="93" w:name="_Toc40975444"/>
      <w:r>
        <w:rPr>
          <w:rFonts w:hint="eastAsia" w:hAnsi="宋体" w:cs="宋体"/>
          <w:color w:val="auto"/>
        </w:rPr>
        <w:t>三．投标文件的编制</w:t>
      </w:r>
      <w:bookmarkEnd w:id="92"/>
      <w:bookmarkEnd w:id="93"/>
    </w:p>
    <w:p w14:paraId="719FC7AB">
      <w:pPr>
        <w:spacing w:line="360" w:lineRule="auto"/>
        <w:ind w:firstLine="550"/>
        <w:rPr>
          <w:rFonts w:hint="eastAsia" w:ascii="宋体" w:hAnsi="宋体" w:cs="宋体"/>
          <w:b/>
          <w:color w:val="auto"/>
          <w:sz w:val="24"/>
        </w:rPr>
      </w:pPr>
      <w:r>
        <w:rPr>
          <w:rFonts w:hint="eastAsia" w:ascii="宋体" w:hAnsi="宋体" w:cs="宋体"/>
          <w:b/>
          <w:color w:val="auto"/>
          <w:sz w:val="24"/>
        </w:rPr>
        <w:t>16.投标文件构成与格式</w:t>
      </w:r>
    </w:p>
    <w:p w14:paraId="19BBD260">
      <w:pPr>
        <w:spacing w:line="360" w:lineRule="auto"/>
        <w:ind w:firstLine="550"/>
        <w:rPr>
          <w:rFonts w:hint="eastAsia" w:ascii="宋体" w:hAnsi="宋体" w:cs="宋体"/>
          <w:color w:val="auto"/>
          <w:sz w:val="24"/>
        </w:rPr>
      </w:pPr>
      <w:bookmarkStart w:id="94" w:name="_Hlt509650345"/>
      <w:bookmarkEnd w:id="94"/>
      <w:r>
        <w:rPr>
          <w:rFonts w:hint="eastAsia" w:ascii="宋体" w:hAnsi="宋体" w:cs="宋体"/>
          <w:color w:val="auto"/>
          <w:sz w:val="24"/>
        </w:rPr>
        <w:t>16.1投标文件是对招标文件的实质性响应及承诺文件。</w:t>
      </w:r>
    </w:p>
    <w:p w14:paraId="55826C0A">
      <w:pPr>
        <w:spacing w:line="360" w:lineRule="auto"/>
        <w:ind w:firstLine="550"/>
        <w:jc w:val="left"/>
        <w:rPr>
          <w:rFonts w:hint="eastAsia" w:ascii="宋体" w:hAnsi="宋体" w:cs="宋体"/>
          <w:color w:val="auto"/>
          <w:sz w:val="24"/>
        </w:rPr>
      </w:pPr>
      <w:r>
        <w:rPr>
          <w:rFonts w:hint="eastAsia" w:ascii="宋体" w:hAnsi="宋体" w:cs="宋体"/>
          <w:color w:val="auto"/>
          <w:sz w:val="24"/>
        </w:rPr>
        <w:t>16.2</w:t>
      </w:r>
      <w:r>
        <w:rPr>
          <w:rFonts w:hint="eastAsia" w:ascii="宋体" w:hAnsi="宋体" w:cs="宋体"/>
          <w:bCs/>
          <w:color w:val="auto"/>
          <w:sz w:val="24"/>
        </w:rPr>
        <w:t>除非注明“投标人可自行制作格式”，投标文件应使用招标文件提供的格式。</w:t>
      </w:r>
    </w:p>
    <w:p w14:paraId="07779A32">
      <w:pPr>
        <w:spacing w:line="360" w:lineRule="auto"/>
        <w:ind w:firstLine="550"/>
        <w:rPr>
          <w:rFonts w:hint="eastAsia" w:ascii="宋体" w:hAnsi="宋体" w:cs="宋体"/>
          <w:color w:val="auto"/>
          <w:sz w:val="24"/>
        </w:rPr>
      </w:pPr>
      <w:r>
        <w:rPr>
          <w:rFonts w:hint="eastAsia" w:ascii="宋体" w:hAnsi="宋体" w:cs="宋体"/>
          <w:bCs/>
          <w:color w:val="auto"/>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12632C7C">
      <w:pPr>
        <w:spacing w:line="360" w:lineRule="auto"/>
        <w:ind w:firstLine="550"/>
        <w:rPr>
          <w:rFonts w:hint="eastAsia" w:ascii="宋体" w:hAnsi="宋体" w:cs="宋体"/>
          <w:color w:val="auto"/>
          <w:sz w:val="24"/>
        </w:rPr>
      </w:pPr>
      <w:r>
        <w:rPr>
          <w:rFonts w:hint="eastAsia" w:ascii="宋体" w:hAnsi="宋体" w:cs="宋体"/>
          <w:color w:val="auto"/>
          <w:sz w:val="24"/>
        </w:rPr>
        <w:t>16.4除非招标文件另有规定，投标文件应使用中华人民共和国法定计量单位。</w:t>
      </w:r>
    </w:p>
    <w:p w14:paraId="01AE4CFE">
      <w:pPr>
        <w:spacing w:line="360" w:lineRule="auto"/>
        <w:ind w:firstLine="550"/>
        <w:rPr>
          <w:rFonts w:hint="eastAsia" w:ascii="宋体" w:hAnsi="宋体" w:cs="宋体"/>
          <w:color w:val="auto"/>
          <w:sz w:val="24"/>
        </w:rPr>
      </w:pPr>
      <w:r>
        <w:rPr>
          <w:rFonts w:hint="eastAsia" w:ascii="宋体" w:hAnsi="宋体" w:cs="宋体"/>
          <w:color w:val="auto"/>
          <w:sz w:val="24"/>
        </w:rPr>
        <w:t>16.5除非招标文件另有规定，投标文件应使用人民币填报所有报价。允许以多种货币报价的，应当按照中国银行在开标日公布的汇率中间价换算成人民币。</w:t>
      </w:r>
    </w:p>
    <w:p w14:paraId="16CC6BBE">
      <w:pPr>
        <w:spacing w:line="360" w:lineRule="auto"/>
        <w:ind w:firstLine="550"/>
        <w:rPr>
          <w:rFonts w:hint="eastAsia" w:ascii="宋体" w:hAnsi="宋体" w:cs="宋体"/>
          <w:color w:val="auto"/>
          <w:sz w:val="24"/>
          <w:highlight w:val="yellow"/>
        </w:rPr>
      </w:pPr>
      <w:r>
        <w:rPr>
          <w:rFonts w:hint="eastAsia" w:ascii="宋体" w:hAnsi="宋体" w:cs="宋体"/>
          <w:color w:val="auto"/>
          <w:sz w:val="24"/>
        </w:rPr>
        <w:t>16.6</w:t>
      </w:r>
      <w:r>
        <w:rPr>
          <w:rFonts w:hint="eastAsia" w:ascii="宋体" w:hAnsi="宋体" w:cs="宋体"/>
          <w:color w:val="auto"/>
          <w:kern w:val="0"/>
          <w:sz w:val="24"/>
        </w:rPr>
        <w:t>供应商应按文件规定的格式和顺序制作响应文件。除了响应文件封面以外，每个页面应在明显位置编制页码，由法定代表人逐页签字盖章，并加盖单位公章，响应文件的目录应编序。响应文件内容不完整、编排混乱导致被误读、漏读或者查找不到相关内容的，由供应商负责。</w:t>
      </w:r>
    </w:p>
    <w:p w14:paraId="3B4E05BC">
      <w:pPr>
        <w:spacing w:line="360" w:lineRule="auto"/>
        <w:ind w:firstLine="550"/>
        <w:rPr>
          <w:rFonts w:hint="eastAsia" w:ascii="宋体" w:hAnsi="宋体" w:cs="宋体"/>
          <w:color w:val="auto"/>
          <w:sz w:val="24"/>
        </w:rPr>
      </w:pPr>
      <w:r>
        <w:rPr>
          <w:rFonts w:hint="eastAsia" w:ascii="宋体" w:hAnsi="宋体" w:cs="宋体"/>
          <w:color w:val="auto"/>
          <w:sz w:val="24"/>
        </w:rPr>
        <w:t>16.7电报、电话、传真形式的投标概不接受。</w:t>
      </w:r>
    </w:p>
    <w:p w14:paraId="3B3EC022">
      <w:pPr>
        <w:spacing w:line="360" w:lineRule="auto"/>
        <w:ind w:firstLine="550"/>
        <w:rPr>
          <w:color w:val="auto"/>
        </w:rPr>
      </w:pPr>
      <w:r>
        <w:rPr>
          <w:rFonts w:hint="eastAsia" w:ascii="宋体" w:hAnsi="宋体" w:cs="宋体"/>
          <w:color w:val="auto"/>
          <w:sz w:val="24"/>
        </w:rPr>
        <w:t>16.8电子投标文件制作，见周口市公共资源交易中心网站下载中心版块《投标单位-电子投标文件视频制作手册》的相关规定。</w:t>
      </w:r>
    </w:p>
    <w:p w14:paraId="715DB316">
      <w:pPr>
        <w:spacing w:line="360" w:lineRule="auto"/>
        <w:ind w:firstLine="550"/>
        <w:rPr>
          <w:rFonts w:hint="eastAsia" w:ascii="宋体" w:hAnsi="宋体" w:cs="宋体"/>
          <w:color w:val="auto"/>
          <w:sz w:val="24"/>
        </w:rPr>
      </w:pPr>
      <w:r>
        <w:rPr>
          <w:rFonts w:hint="eastAsia" w:ascii="宋体" w:hAnsi="宋体" w:cs="宋体"/>
          <w:b/>
          <w:color w:val="auto"/>
          <w:sz w:val="24"/>
        </w:rPr>
        <w:t>17.报价</w:t>
      </w:r>
    </w:p>
    <w:p w14:paraId="32AC51EC">
      <w:pPr>
        <w:spacing w:line="360" w:lineRule="auto"/>
        <w:ind w:firstLine="550"/>
        <w:rPr>
          <w:rFonts w:hint="eastAsia" w:ascii="宋体" w:hAnsi="宋体" w:cs="宋体"/>
          <w:color w:val="auto"/>
          <w:sz w:val="24"/>
        </w:rPr>
      </w:pPr>
      <w:r>
        <w:rPr>
          <w:rFonts w:hint="eastAsia" w:ascii="宋体" w:hAnsi="宋体" w:cs="宋体"/>
          <w:color w:val="auto"/>
          <w:sz w:val="24"/>
        </w:rPr>
        <w:t>17.1投标人应以“包”为报价的基本单位。若整个需求分为若干包，则投标人可选择其中的部分或所有包报价。包内所有项目均应报价（免费赠送的除外），否则将导致投标无效。</w:t>
      </w:r>
    </w:p>
    <w:p w14:paraId="17CF9930">
      <w:pPr>
        <w:spacing w:line="360" w:lineRule="auto"/>
        <w:ind w:firstLine="550"/>
        <w:rPr>
          <w:rFonts w:hint="eastAsia" w:ascii="宋体" w:hAnsi="宋体" w:cs="宋体"/>
          <w:color w:val="auto"/>
          <w:sz w:val="24"/>
        </w:rPr>
      </w:pPr>
      <w:r>
        <w:rPr>
          <w:rFonts w:hint="eastAsia" w:ascii="宋体" w:hAnsi="宋体" w:cs="宋体"/>
          <w:color w:val="auto"/>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123480BC">
      <w:pPr>
        <w:spacing w:line="360" w:lineRule="auto"/>
        <w:ind w:firstLine="550"/>
        <w:rPr>
          <w:rFonts w:hint="eastAsia" w:ascii="宋体" w:hAnsi="宋体" w:cs="宋体"/>
          <w:color w:val="auto"/>
          <w:sz w:val="24"/>
        </w:rPr>
      </w:pPr>
      <w:r>
        <w:rPr>
          <w:rFonts w:hint="eastAsia" w:ascii="宋体" w:hAnsi="宋体" w:cs="宋体"/>
          <w:color w:val="auto"/>
          <w:sz w:val="24"/>
        </w:rPr>
        <w:t>17.3投标人应在投标文件中注明拟提供货物的单价明细和总价。</w:t>
      </w:r>
    </w:p>
    <w:p w14:paraId="033B6BEA">
      <w:pPr>
        <w:spacing w:line="360" w:lineRule="auto"/>
        <w:ind w:firstLine="550"/>
        <w:rPr>
          <w:rFonts w:hint="eastAsia" w:ascii="宋体" w:hAnsi="宋体" w:cs="宋体"/>
          <w:color w:val="auto"/>
          <w:sz w:val="24"/>
        </w:rPr>
      </w:pPr>
      <w:r>
        <w:rPr>
          <w:rFonts w:hint="eastAsia" w:ascii="宋体" w:hAnsi="宋体" w:cs="宋体"/>
          <w:color w:val="auto"/>
          <w:sz w:val="24"/>
        </w:rPr>
        <w:t>17.4除非招标文件另有规定，每一包只允许有一个最终报价，任何有选择的报价或替代方案将导致投标无效。</w:t>
      </w:r>
    </w:p>
    <w:p w14:paraId="19A7ABA7">
      <w:pPr>
        <w:spacing w:line="360" w:lineRule="auto"/>
        <w:ind w:firstLine="550"/>
        <w:rPr>
          <w:rFonts w:hint="eastAsia" w:ascii="宋体" w:hAnsi="宋体" w:cs="宋体"/>
          <w:color w:val="auto"/>
          <w:sz w:val="24"/>
        </w:rPr>
      </w:pPr>
      <w:r>
        <w:rPr>
          <w:rFonts w:hint="eastAsia" w:ascii="宋体" w:hAnsi="宋体" w:cs="宋体"/>
          <w:color w:val="auto"/>
          <w:sz w:val="24"/>
        </w:rPr>
        <w:t>17.5采购人不建议投标人采用总价优惠或以总价百分比优惠的方式进行投标报价，其优惠可直接计算并体现在各项投标报价的单价中。</w:t>
      </w:r>
    </w:p>
    <w:p w14:paraId="5070EFA0">
      <w:pPr>
        <w:spacing w:line="360" w:lineRule="auto"/>
        <w:ind w:firstLine="550"/>
        <w:rPr>
          <w:rFonts w:hint="eastAsia" w:ascii="宋体" w:hAnsi="宋体" w:cs="宋体"/>
          <w:color w:val="auto"/>
          <w:sz w:val="24"/>
        </w:rPr>
      </w:pPr>
      <w:r>
        <w:rPr>
          <w:rFonts w:hint="eastAsia" w:ascii="宋体" w:hAnsi="宋体" w:cs="宋体"/>
          <w:color w:val="auto"/>
          <w:sz w:val="24"/>
        </w:rPr>
        <w:t>17.6除政策性文件规定以外，投标人所报价格在合同实施期间不因市场变化因素而变动。</w:t>
      </w:r>
    </w:p>
    <w:p w14:paraId="17A5A252">
      <w:pPr>
        <w:spacing w:line="360" w:lineRule="auto"/>
        <w:ind w:firstLine="549"/>
        <w:rPr>
          <w:rFonts w:hint="eastAsia" w:ascii="宋体" w:hAnsi="宋体" w:cs="宋体"/>
          <w:b/>
          <w:bCs/>
          <w:color w:val="auto"/>
          <w:sz w:val="24"/>
        </w:rPr>
      </w:pPr>
      <w:r>
        <w:rPr>
          <w:rFonts w:hint="eastAsia" w:ascii="宋体" w:hAnsi="宋体" w:cs="宋体"/>
          <w:b/>
          <w:bCs/>
          <w:color w:val="auto"/>
          <w:sz w:val="24"/>
        </w:rPr>
        <w:t>18.投标内容填写及说明</w:t>
      </w:r>
    </w:p>
    <w:p w14:paraId="4850EB6C">
      <w:pPr>
        <w:spacing w:line="360" w:lineRule="auto"/>
        <w:ind w:firstLine="549"/>
        <w:rPr>
          <w:rFonts w:hint="eastAsia" w:ascii="宋体" w:hAnsi="宋体" w:cs="宋体"/>
          <w:color w:val="auto"/>
          <w:sz w:val="24"/>
          <w:u w:val="single"/>
        </w:rPr>
      </w:pPr>
      <w:r>
        <w:rPr>
          <w:rFonts w:hint="eastAsia" w:ascii="宋体" w:hAnsi="宋体" w:cs="宋体"/>
          <w:color w:val="auto"/>
          <w:sz w:val="24"/>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63645A96">
      <w:pPr>
        <w:spacing w:line="360" w:lineRule="auto"/>
        <w:ind w:firstLine="549"/>
        <w:rPr>
          <w:rFonts w:hint="eastAsia" w:ascii="宋体" w:hAnsi="宋体" w:cs="宋体"/>
          <w:color w:val="auto"/>
          <w:sz w:val="24"/>
        </w:rPr>
      </w:pPr>
      <w:r>
        <w:rPr>
          <w:rFonts w:hint="eastAsia" w:ascii="宋体" w:hAnsi="宋体" w:cs="宋体"/>
          <w:color w:val="auto"/>
          <w:sz w:val="24"/>
        </w:rPr>
        <w:t>18.2投标人应在投标文件中提交招标文件要求的有关证明文件（扫描或影印件上传），作为其投标文件的一部分。</w:t>
      </w:r>
    </w:p>
    <w:p w14:paraId="1BF409DB">
      <w:pPr>
        <w:spacing w:line="360" w:lineRule="auto"/>
        <w:ind w:firstLine="549"/>
        <w:rPr>
          <w:rFonts w:hint="eastAsia" w:ascii="宋体" w:hAnsi="宋体" w:cs="宋体"/>
          <w:color w:val="auto"/>
          <w:sz w:val="24"/>
        </w:rPr>
      </w:pPr>
      <w:r>
        <w:rPr>
          <w:rFonts w:hint="eastAsia" w:ascii="宋体" w:hAnsi="宋体" w:cs="宋体"/>
          <w:color w:val="auto"/>
          <w:sz w:val="24"/>
        </w:rPr>
        <w:t>18.3投标人应在投标文件中提交（以扫描件或影印件上传）招标文件要求的所有货物的合格性以及符合招标文件规定的证明文件（可以是手册、图纸和资料）等，并作为其投标文件的一部分。包括：</w:t>
      </w:r>
    </w:p>
    <w:p w14:paraId="7C2AD678">
      <w:pPr>
        <w:spacing w:line="360" w:lineRule="auto"/>
        <w:ind w:firstLine="523" w:firstLineChars="218"/>
        <w:rPr>
          <w:rFonts w:hint="eastAsia" w:ascii="宋体" w:hAnsi="宋体" w:cs="宋体"/>
          <w:color w:val="auto"/>
          <w:sz w:val="24"/>
        </w:rPr>
      </w:pPr>
      <w:r>
        <w:rPr>
          <w:rFonts w:hint="eastAsia" w:ascii="宋体" w:hAnsi="宋体" w:cs="宋体"/>
          <w:color w:val="auto"/>
          <w:sz w:val="24"/>
        </w:rPr>
        <w:t>18.3.1货物主要性能（内容）的详细描述；</w:t>
      </w:r>
    </w:p>
    <w:p w14:paraId="1272B77A">
      <w:pPr>
        <w:spacing w:line="360" w:lineRule="auto"/>
        <w:ind w:firstLine="523" w:firstLineChars="218"/>
        <w:rPr>
          <w:rFonts w:hint="eastAsia" w:ascii="宋体" w:hAnsi="宋体" w:cs="宋体"/>
          <w:color w:val="auto"/>
          <w:sz w:val="24"/>
        </w:rPr>
      </w:pPr>
      <w:r>
        <w:rPr>
          <w:rFonts w:hint="eastAsia" w:ascii="宋体" w:hAnsi="宋体" w:cs="宋体"/>
          <w:color w:val="auto"/>
          <w:sz w:val="24"/>
        </w:rPr>
        <w:t>18.3.2保证所投货物正常、安全、连续运行期间所需的所有备品、备件及专用工具的详细清单。</w:t>
      </w:r>
    </w:p>
    <w:p w14:paraId="55F57CCA">
      <w:pPr>
        <w:spacing w:line="360" w:lineRule="auto"/>
        <w:ind w:firstLine="523" w:firstLineChars="218"/>
        <w:rPr>
          <w:rFonts w:hint="eastAsia" w:ascii="宋体" w:hAnsi="宋体" w:cs="宋体"/>
          <w:color w:val="auto"/>
          <w:sz w:val="24"/>
        </w:rPr>
      </w:pPr>
      <w:r>
        <w:rPr>
          <w:rFonts w:hint="eastAsia" w:ascii="宋体" w:hAnsi="宋体" w:cs="宋体"/>
          <w:color w:val="auto"/>
          <w:sz w:val="24"/>
        </w:rPr>
        <w:t>18.4投标文件应编排有序、内容齐全、不得任意涂改或增删。如有错漏处必须修改，应在修改处加盖投标人电子公章。</w:t>
      </w:r>
    </w:p>
    <w:p w14:paraId="45C1376F">
      <w:pPr>
        <w:spacing w:line="360" w:lineRule="auto"/>
        <w:ind w:firstLine="549"/>
        <w:rPr>
          <w:rFonts w:hint="eastAsia" w:ascii="宋体" w:hAnsi="宋体" w:cs="宋体"/>
          <w:b/>
          <w:color w:val="auto"/>
          <w:sz w:val="24"/>
        </w:rPr>
      </w:pPr>
      <w:r>
        <w:rPr>
          <w:rFonts w:hint="eastAsia" w:ascii="宋体" w:hAnsi="宋体" w:cs="宋体"/>
          <w:b/>
          <w:color w:val="auto"/>
          <w:sz w:val="24"/>
        </w:rPr>
        <w:t>19.投标保证金（免收）</w:t>
      </w:r>
    </w:p>
    <w:p w14:paraId="2078864D">
      <w:pPr>
        <w:spacing w:line="360" w:lineRule="auto"/>
        <w:ind w:firstLine="550"/>
        <w:rPr>
          <w:rFonts w:hint="eastAsia" w:ascii="宋体" w:hAnsi="宋体" w:cs="宋体"/>
          <w:b/>
          <w:color w:val="auto"/>
          <w:sz w:val="24"/>
        </w:rPr>
      </w:pPr>
      <w:r>
        <w:rPr>
          <w:rFonts w:hint="eastAsia" w:ascii="宋体" w:hAnsi="宋体" w:cs="宋体"/>
          <w:b/>
          <w:color w:val="auto"/>
          <w:sz w:val="24"/>
        </w:rPr>
        <w:t>20.投标有效期</w:t>
      </w:r>
    </w:p>
    <w:p w14:paraId="4AC4FDCE">
      <w:pPr>
        <w:spacing w:line="360" w:lineRule="auto"/>
        <w:ind w:firstLine="550"/>
        <w:rPr>
          <w:rFonts w:hint="eastAsia" w:ascii="宋体" w:hAnsi="宋体" w:cs="宋体"/>
          <w:color w:val="auto"/>
          <w:sz w:val="24"/>
        </w:rPr>
      </w:pPr>
      <w:r>
        <w:rPr>
          <w:rFonts w:hint="eastAsia" w:ascii="宋体" w:hAnsi="宋体" w:cs="宋体"/>
          <w:color w:val="auto"/>
          <w:sz w:val="24"/>
        </w:rPr>
        <w:t>20.1为保证采购人有足够的时间完成评标和与中标人签订合同，规定投标有效期。投标有效期期限见投标人须知前附表。</w:t>
      </w:r>
    </w:p>
    <w:p w14:paraId="0249ACC5">
      <w:pPr>
        <w:spacing w:line="360" w:lineRule="auto"/>
        <w:ind w:firstLine="550"/>
        <w:rPr>
          <w:rFonts w:hint="eastAsia" w:ascii="宋体" w:hAnsi="宋体" w:cs="宋体"/>
          <w:color w:val="auto"/>
          <w:sz w:val="24"/>
        </w:rPr>
      </w:pPr>
      <w:r>
        <w:rPr>
          <w:rFonts w:hint="eastAsia" w:ascii="宋体" w:hAnsi="宋体" w:cs="宋体"/>
          <w:color w:val="auto"/>
          <w:sz w:val="24"/>
        </w:rPr>
        <w:t>20.2在投标有效期内，投标人的投标保持有效，投标人不得要求撤销或修改其投标文件。</w:t>
      </w:r>
    </w:p>
    <w:p w14:paraId="5F75A861">
      <w:pPr>
        <w:spacing w:line="360" w:lineRule="auto"/>
        <w:ind w:firstLine="550"/>
        <w:rPr>
          <w:rFonts w:hint="eastAsia" w:ascii="宋体" w:hAnsi="宋体" w:cs="宋体"/>
          <w:color w:val="auto"/>
          <w:sz w:val="24"/>
        </w:rPr>
      </w:pPr>
      <w:r>
        <w:rPr>
          <w:rFonts w:hint="eastAsia" w:ascii="宋体" w:hAnsi="宋体" w:cs="宋体"/>
          <w:color w:val="auto"/>
          <w:sz w:val="24"/>
        </w:rPr>
        <w:t>20.3投标有效期从投标截止日起计算。</w:t>
      </w:r>
    </w:p>
    <w:p w14:paraId="3FC96E87">
      <w:pPr>
        <w:spacing w:line="360" w:lineRule="auto"/>
        <w:ind w:firstLine="550"/>
        <w:rPr>
          <w:rFonts w:hint="eastAsia" w:ascii="宋体" w:hAnsi="宋体" w:cs="宋体"/>
          <w:color w:val="auto"/>
          <w:sz w:val="24"/>
        </w:rPr>
      </w:pPr>
      <w:r>
        <w:rPr>
          <w:rFonts w:hint="eastAsia" w:ascii="宋体" w:hAnsi="宋体" w:cs="宋体"/>
          <w:color w:val="auto"/>
          <w:sz w:val="24"/>
        </w:rPr>
        <w:t>20.4在原定投标有效期满之前，如果出现特殊情况，</w:t>
      </w:r>
      <w:r>
        <w:rPr>
          <w:rFonts w:hint="eastAsia" w:ascii="宋体" w:hAnsi="宋体" w:cs="宋体"/>
          <w:bCs/>
          <w:color w:val="auto"/>
          <w:sz w:val="24"/>
        </w:rPr>
        <w:t>采购人</w:t>
      </w:r>
      <w:r>
        <w:rPr>
          <w:rFonts w:hint="eastAsia" w:ascii="宋体" w:hAnsi="宋体" w:cs="宋体"/>
          <w:color w:val="auto"/>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DA200FE">
      <w:pPr>
        <w:spacing w:line="360" w:lineRule="auto"/>
        <w:ind w:firstLine="550"/>
        <w:rPr>
          <w:rFonts w:hint="eastAsia" w:ascii="宋体" w:hAnsi="宋体" w:cs="宋体"/>
          <w:b/>
          <w:color w:val="auto"/>
          <w:sz w:val="24"/>
        </w:rPr>
      </w:pPr>
      <w:r>
        <w:rPr>
          <w:rFonts w:hint="eastAsia" w:ascii="宋体" w:hAnsi="宋体" w:cs="宋体"/>
          <w:b/>
          <w:color w:val="auto"/>
          <w:sz w:val="24"/>
        </w:rPr>
        <w:t>21.投标文件份数和签署</w:t>
      </w:r>
    </w:p>
    <w:p w14:paraId="3B0CE2D8">
      <w:pPr>
        <w:spacing w:line="360" w:lineRule="auto"/>
        <w:ind w:firstLine="550"/>
        <w:rPr>
          <w:rFonts w:hint="eastAsia" w:ascii="宋体" w:hAnsi="宋体" w:cs="宋体"/>
          <w:color w:val="auto"/>
          <w:sz w:val="24"/>
        </w:rPr>
      </w:pPr>
      <w:r>
        <w:rPr>
          <w:rFonts w:hint="eastAsia" w:ascii="宋体" w:hAnsi="宋体" w:cs="宋体"/>
          <w:color w:val="auto"/>
          <w:sz w:val="24"/>
        </w:rPr>
        <w:t>21.1 投标人应按照投标人须知前附表的要求准备投标文件。</w:t>
      </w:r>
    </w:p>
    <w:p w14:paraId="786758C0">
      <w:pPr>
        <w:spacing w:line="360" w:lineRule="auto"/>
        <w:ind w:firstLine="550"/>
        <w:rPr>
          <w:rFonts w:hint="eastAsia" w:ascii="宋体" w:hAnsi="宋体" w:cs="宋体"/>
          <w:b/>
          <w:color w:val="auto"/>
          <w:sz w:val="24"/>
        </w:rPr>
      </w:pPr>
      <w:r>
        <w:rPr>
          <w:rFonts w:hint="eastAsia" w:ascii="宋体" w:hAnsi="宋体" w:cs="宋体"/>
          <w:color w:val="auto"/>
          <w:sz w:val="24"/>
        </w:rPr>
        <w:t>21.2投标文件均应依招标文件要求加盖投标人签章</w:t>
      </w:r>
      <w:r>
        <w:rPr>
          <w:rFonts w:hint="eastAsia" w:ascii="宋体" w:hAnsi="宋体" w:cs="宋体"/>
          <w:b/>
          <w:color w:val="auto"/>
          <w:sz w:val="24"/>
        </w:rPr>
        <w:t>。</w:t>
      </w:r>
    </w:p>
    <w:p w14:paraId="2FC4A740">
      <w:pPr>
        <w:pStyle w:val="5"/>
        <w:spacing w:line="360" w:lineRule="auto"/>
        <w:ind w:firstLine="2715" w:firstLineChars="966"/>
        <w:rPr>
          <w:rFonts w:hint="eastAsia" w:hAnsi="宋体" w:cs="宋体"/>
          <w:color w:val="auto"/>
        </w:rPr>
      </w:pPr>
      <w:bookmarkStart w:id="95" w:name="_Hlt509650572"/>
      <w:bookmarkEnd w:id="95"/>
      <w:bookmarkStart w:id="96" w:name="_Toc40975445"/>
      <w:bookmarkStart w:id="97" w:name="_Toc527725925"/>
      <w:r>
        <w:rPr>
          <w:rFonts w:hint="eastAsia" w:hAnsi="宋体" w:cs="宋体"/>
          <w:color w:val="auto"/>
        </w:rPr>
        <w:t>四．投标文件的递交</w:t>
      </w:r>
      <w:bookmarkEnd w:id="96"/>
      <w:bookmarkEnd w:id="97"/>
      <w:bookmarkStart w:id="98" w:name="_Hlt509649414"/>
      <w:bookmarkEnd w:id="98"/>
    </w:p>
    <w:p w14:paraId="26511280">
      <w:pPr>
        <w:spacing w:line="360" w:lineRule="auto"/>
        <w:ind w:firstLine="550"/>
        <w:rPr>
          <w:rFonts w:hint="eastAsia" w:ascii="宋体" w:hAnsi="宋体" w:cs="宋体"/>
          <w:b/>
          <w:color w:val="auto"/>
          <w:sz w:val="24"/>
        </w:rPr>
      </w:pPr>
      <w:r>
        <w:rPr>
          <w:rFonts w:hint="eastAsia" w:ascii="宋体" w:hAnsi="宋体" w:cs="宋体"/>
          <w:b/>
          <w:color w:val="auto"/>
          <w:sz w:val="24"/>
        </w:rPr>
        <w:t>22.投标文件的密封和标记</w:t>
      </w:r>
    </w:p>
    <w:p w14:paraId="0F3F8096">
      <w:pPr>
        <w:spacing w:line="360" w:lineRule="auto"/>
        <w:ind w:firstLine="550"/>
        <w:rPr>
          <w:rFonts w:hint="eastAsia" w:ascii="宋体" w:hAnsi="宋体" w:cs="宋体"/>
          <w:color w:val="auto"/>
          <w:sz w:val="24"/>
        </w:rPr>
      </w:pPr>
      <w:r>
        <w:rPr>
          <w:rFonts w:hint="eastAsia" w:ascii="宋体" w:hAnsi="宋体" w:cs="宋体"/>
          <w:color w:val="auto"/>
          <w:sz w:val="24"/>
        </w:rPr>
        <w:t>加密的电子投标文件的递交，见周口市公共资源交易中心网站下载中心版块《投标单位-电子投标文件视频制作手册》的相关规定。</w:t>
      </w:r>
    </w:p>
    <w:p w14:paraId="1234A3EE">
      <w:pPr>
        <w:spacing w:line="360" w:lineRule="auto"/>
        <w:ind w:firstLine="550"/>
        <w:rPr>
          <w:rFonts w:hint="eastAsia" w:ascii="宋体" w:hAnsi="宋体" w:cs="宋体"/>
          <w:b/>
          <w:color w:val="auto"/>
          <w:sz w:val="24"/>
        </w:rPr>
      </w:pPr>
      <w:r>
        <w:rPr>
          <w:rFonts w:hint="eastAsia" w:ascii="宋体" w:hAnsi="宋体" w:cs="宋体"/>
          <w:b/>
          <w:color w:val="auto"/>
          <w:sz w:val="24"/>
        </w:rPr>
        <w:t xml:space="preserve">23.投标文件的递交 </w:t>
      </w:r>
    </w:p>
    <w:p w14:paraId="0881A619">
      <w:pPr>
        <w:spacing w:line="360" w:lineRule="auto"/>
        <w:ind w:firstLine="550"/>
        <w:rPr>
          <w:rFonts w:hint="eastAsia" w:ascii="宋体" w:hAnsi="宋体" w:cs="宋体"/>
          <w:color w:val="auto"/>
          <w:sz w:val="24"/>
        </w:rPr>
      </w:pPr>
      <w:r>
        <w:rPr>
          <w:rFonts w:hint="eastAsia" w:ascii="宋体" w:hAnsi="宋体" w:cs="宋体"/>
          <w:color w:val="auto"/>
          <w:sz w:val="24"/>
        </w:rPr>
        <w:t>23.1投标人应当在招标文件要求提交投标文件的截止时间前网上投标。</w:t>
      </w:r>
    </w:p>
    <w:p w14:paraId="70CDCF3E">
      <w:pPr>
        <w:spacing w:line="360" w:lineRule="auto"/>
        <w:ind w:firstLine="550"/>
        <w:rPr>
          <w:rFonts w:hint="eastAsia" w:ascii="宋体" w:hAnsi="宋体" w:cs="宋体"/>
          <w:color w:val="auto"/>
          <w:sz w:val="24"/>
        </w:rPr>
      </w:pPr>
      <w:r>
        <w:rPr>
          <w:rFonts w:hint="eastAsia" w:ascii="宋体" w:hAnsi="宋体" w:cs="宋体"/>
          <w:color w:val="auto"/>
          <w:sz w:val="24"/>
        </w:rPr>
        <w:t>23.2在招标文件要求提交投标文件的截止时间之后制作上传的投标文件为无效投标文件，</w:t>
      </w:r>
      <w:r>
        <w:rPr>
          <w:rFonts w:hint="eastAsia" w:ascii="宋体" w:hAnsi="宋体" w:cs="宋体"/>
          <w:bCs/>
          <w:color w:val="auto"/>
          <w:sz w:val="24"/>
        </w:rPr>
        <w:t>采购人</w:t>
      </w:r>
      <w:r>
        <w:rPr>
          <w:rFonts w:hint="eastAsia" w:ascii="宋体" w:hAnsi="宋体" w:cs="宋体"/>
          <w:color w:val="auto"/>
          <w:sz w:val="24"/>
        </w:rPr>
        <w:t>将拒绝接收。</w:t>
      </w:r>
    </w:p>
    <w:p w14:paraId="22946646">
      <w:pPr>
        <w:spacing w:line="360" w:lineRule="auto"/>
        <w:ind w:firstLine="550"/>
        <w:rPr>
          <w:rFonts w:hint="eastAsia" w:ascii="宋体" w:hAnsi="宋体" w:cs="宋体"/>
          <w:b/>
          <w:color w:val="auto"/>
          <w:sz w:val="24"/>
        </w:rPr>
      </w:pPr>
      <w:r>
        <w:rPr>
          <w:rFonts w:hint="eastAsia" w:ascii="宋体" w:hAnsi="宋体" w:cs="宋体"/>
          <w:b/>
          <w:color w:val="auto"/>
          <w:sz w:val="24"/>
        </w:rPr>
        <w:t>24.投标文件的修改和撤回</w:t>
      </w:r>
    </w:p>
    <w:p w14:paraId="322462DF">
      <w:pPr>
        <w:spacing w:line="360" w:lineRule="auto"/>
        <w:ind w:firstLine="550"/>
        <w:rPr>
          <w:rFonts w:hint="eastAsia" w:ascii="宋体" w:hAnsi="宋体" w:cs="宋体"/>
          <w:color w:val="auto"/>
          <w:sz w:val="24"/>
        </w:rPr>
      </w:pPr>
      <w:r>
        <w:rPr>
          <w:rFonts w:hint="eastAsia" w:ascii="宋体" w:hAnsi="宋体" w:cs="宋体"/>
          <w:color w:val="auto"/>
          <w:sz w:val="24"/>
        </w:rPr>
        <w:t>投标截止日期前，投标人可以修改或撤回其投标文件；在投标截止时间后，投标人不得再要求修改或撤回其投标文件。</w:t>
      </w:r>
    </w:p>
    <w:p w14:paraId="38F1DDE1">
      <w:pPr>
        <w:pStyle w:val="5"/>
        <w:spacing w:line="360" w:lineRule="auto"/>
        <w:ind w:firstLine="2996" w:firstLineChars="1066"/>
        <w:rPr>
          <w:rFonts w:hint="eastAsia" w:hAnsi="宋体" w:cs="宋体"/>
          <w:color w:val="auto"/>
        </w:rPr>
      </w:pPr>
      <w:bookmarkStart w:id="99" w:name="_Hlt509649294"/>
      <w:bookmarkEnd w:id="99"/>
      <w:bookmarkStart w:id="100" w:name="_Toc40975446"/>
      <w:bookmarkStart w:id="101" w:name="_Toc527725926"/>
      <w:r>
        <w:rPr>
          <w:rFonts w:hint="eastAsia" w:hAnsi="宋体" w:cs="宋体"/>
          <w:color w:val="auto"/>
        </w:rPr>
        <w:t>五．开标与评标</w:t>
      </w:r>
      <w:bookmarkEnd w:id="100"/>
      <w:bookmarkEnd w:id="101"/>
    </w:p>
    <w:p w14:paraId="31D9C48D">
      <w:pPr>
        <w:snapToGrid w:val="0"/>
        <w:spacing w:line="300" w:lineRule="auto"/>
        <w:ind w:firstLine="550"/>
        <w:rPr>
          <w:rFonts w:hint="eastAsia" w:ascii="宋体" w:hAnsi="宋体" w:cs="宋体"/>
          <w:b/>
          <w:color w:val="auto"/>
          <w:sz w:val="24"/>
          <w:szCs w:val="24"/>
        </w:rPr>
      </w:pPr>
      <w:r>
        <w:rPr>
          <w:rFonts w:hint="eastAsia" w:ascii="宋体" w:hAnsi="宋体" w:cs="宋体"/>
          <w:b/>
          <w:color w:val="auto"/>
          <w:sz w:val="24"/>
          <w:szCs w:val="24"/>
        </w:rPr>
        <w:t>25.开标</w:t>
      </w:r>
    </w:p>
    <w:p w14:paraId="0A561776">
      <w:pPr>
        <w:spacing w:line="360" w:lineRule="auto"/>
        <w:ind w:firstLine="549"/>
        <w:rPr>
          <w:rFonts w:hint="eastAsia" w:ascii="宋体" w:hAnsi="宋体" w:cs="宋体"/>
          <w:bCs/>
          <w:color w:val="auto"/>
          <w:sz w:val="24"/>
        </w:rPr>
      </w:pPr>
      <w:r>
        <w:rPr>
          <w:rFonts w:hint="eastAsia" w:ascii="宋体" w:hAnsi="宋体" w:cs="宋体"/>
          <w:bCs/>
          <w:color w:val="auto"/>
          <w:sz w:val="24"/>
        </w:rPr>
        <w:t>25.1本项目实行网上远程开标无须到现场提交投标文件。投标文件提交及解密详见周口市公共资源交易中心网</w:t>
      </w:r>
      <w:r>
        <w:rPr>
          <w:rFonts w:hint="eastAsia" w:ascii="宋体" w:hAnsi="宋体" w:cs="宋体"/>
          <w:color w:val="auto"/>
          <w:sz w:val="24"/>
          <w:szCs w:val="24"/>
        </w:rPr>
        <w:t>办事指南《不见面开标远程在线解密会员端操作手册操作指南》</w:t>
      </w:r>
    </w:p>
    <w:p w14:paraId="23CED339">
      <w:pPr>
        <w:spacing w:line="360" w:lineRule="auto"/>
        <w:ind w:firstLine="549"/>
        <w:jc w:val="left"/>
        <w:rPr>
          <w:rFonts w:hint="eastAsia" w:ascii="宋体" w:hAnsi="宋体" w:cs="宋体"/>
          <w:bCs/>
          <w:color w:val="auto"/>
          <w:sz w:val="24"/>
        </w:rPr>
      </w:pPr>
      <w:r>
        <w:rPr>
          <w:rFonts w:hint="eastAsia" w:ascii="宋体" w:hAnsi="宋体" w:cs="宋体"/>
          <w:bCs/>
          <w:color w:val="auto"/>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508A04E0">
      <w:pPr>
        <w:spacing w:line="360" w:lineRule="auto"/>
        <w:ind w:firstLine="549"/>
        <w:rPr>
          <w:rFonts w:hint="eastAsia" w:ascii="宋体" w:hAnsi="宋体" w:cs="宋体"/>
          <w:bCs/>
          <w:color w:val="auto"/>
          <w:sz w:val="24"/>
        </w:rPr>
      </w:pPr>
      <w:r>
        <w:rPr>
          <w:rFonts w:hint="eastAsia" w:ascii="宋体" w:hAnsi="宋体" w:cs="宋体"/>
          <w:bCs/>
          <w:color w:val="auto"/>
          <w:sz w:val="24"/>
        </w:rPr>
        <w:t>25.3投标资格及投标文件的法律文本将由评审委员会在评标前进行审查。资格不符合招标文件要求和相关法律规定的，投标无效。</w:t>
      </w:r>
    </w:p>
    <w:p w14:paraId="59E9F70A">
      <w:pPr>
        <w:spacing w:line="360" w:lineRule="auto"/>
        <w:ind w:firstLine="549"/>
        <w:rPr>
          <w:rFonts w:hint="eastAsia" w:ascii="宋体" w:hAnsi="宋体" w:cs="宋体"/>
          <w:bCs/>
          <w:color w:val="auto"/>
          <w:sz w:val="24"/>
        </w:rPr>
      </w:pPr>
      <w:r>
        <w:rPr>
          <w:rFonts w:hint="eastAsia" w:ascii="宋体" w:hAnsi="宋体" w:cs="宋体"/>
          <w:bCs/>
          <w:color w:val="auto"/>
          <w:sz w:val="24"/>
        </w:rPr>
        <w:t>25.4开标时，周口市公共资源交易中心政府采购中心将通过网上开标系统公布投标人名称、投标价格，以及周口市公共资源交易中心政府采购中心认为合适的其它详细内容。</w:t>
      </w:r>
    </w:p>
    <w:p w14:paraId="7FB72986">
      <w:pPr>
        <w:spacing w:line="360" w:lineRule="auto"/>
        <w:ind w:firstLine="549"/>
        <w:rPr>
          <w:rFonts w:hint="eastAsia" w:ascii="宋体" w:hAnsi="宋体" w:cs="宋体"/>
          <w:b/>
          <w:color w:val="auto"/>
          <w:sz w:val="24"/>
        </w:rPr>
      </w:pPr>
      <w:r>
        <w:rPr>
          <w:rFonts w:hint="eastAsia" w:ascii="宋体" w:hAnsi="宋体" w:cs="宋体"/>
          <w:b/>
          <w:color w:val="auto"/>
          <w:sz w:val="24"/>
        </w:rPr>
        <w:t>26.投标文件的澄清、说明或补正</w:t>
      </w:r>
    </w:p>
    <w:p w14:paraId="30C0F34A">
      <w:pPr>
        <w:spacing w:line="360" w:lineRule="auto"/>
        <w:ind w:firstLine="549"/>
        <w:rPr>
          <w:rFonts w:hint="eastAsia" w:ascii="宋体" w:hAnsi="宋体" w:cs="宋体"/>
          <w:bCs/>
          <w:color w:val="auto"/>
          <w:sz w:val="24"/>
        </w:rPr>
      </w:pPr>
      <w:r>
        <w:rPr>
          <w:rFonts w:hint="eastAsia" w:ascii="宋体" w:hAnsi="宋体" w:cs="宋体"/>
          <w:bCs/>
          <w:color w:val="auto"/>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7542303A">
      <w:pPr>
        <w:spacing w:line="360" w:lineRule="auto"/>
        <w:ind w:firstLine="549"/>
        <w:rPr>
          <w:rFonts w:hint="eastAsia" w:ascii="宋体" w:hAnsi="宋体" w:cs="宋体"/>
          <w:color w:val="auto"/>
          <w:sz w:val="24"/>
        </w:rPr>
      </w:pPr>
      <w:r>
        <w:rPr>
          <w:rFonts w:hint="eastAsia" w:ascii="宋体" w:hAnsi="宋体" w:cs="宋体"/>
          <w:color w:val="auto"/>
          <w:sz w:val="24"/>
        </w:rPr>
        <w:t>26.2投标文件中大写金额和小写金额不一致的，以大写金额为准；总价金额与按单价汇总金额不一致的，以单价金额计算结果为准；单价金额小数点有明显错位的，应以总价为准，并修改单价。</w:t>
      </w:r>
    </w:p>
    <w:p w14:paraId="074112D1">
      <w:pPr>
        <w:spacing w:line="360" w:lineRule="auto"/>
        <w:ind w:firstLine="549"/>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开标一览表内容与投标文件中明细表内容不一致的，以开标一览表为准。</w:t>
      </w:r>
    </w:p>
    <w:p w14:paraId="667B8536">
      <w:pPr>
        <w:spacing w:line="360" w:lineRule="auto"/>
        <w:ind w:firstLine="549"/>
        <w:rPr>
          <w:rFonts w:hint="eastAsia" w:ascii="宋体" w:hAnsi="宋体" w:cs="宋体"/>
          <w:bCs/>
          <w:color w:val="auto"/>
          <w:sz w:val="24"/>
        </w:rPr>
      </w:pPr>
      <w:r>
        <w:rPr>
          <w:rFonts w:hint="eastAsia" w:ascii="宋体" w:hAnsi="宋体" w:cs="宋体"/>
          <w:bCs/>
          <w:color w:val="auto"/>
          <w:sz w:val="24"/>
        </w:rPr>
        <w:t>26.4 如同时出现26.2条和26.3条所述的不一致情况，以开标一览表为准。</w:t>
      </w:r>
    </w:p>
    <w:p w14:paraId="2BB245AE">
      <w:pPr>
        <w:spacing w:line="360" w:lineRule="auto"/>
        <w:ind w:firstLine="549"/>
        <w:rPr>
          <w:rFonts w:hint="eastAsia" w:ascii="宋体" w:hAnsi="宋体" w:cs="宋体"/>
          <w:b/>
          <w:color w:val="auto"/>
          <w:sz w:val="24"/>
        </w:rPr>
      </w:pPr>
      <w:r>
        <w:rPr>
          <w:rFonts w:hint="eastAsia" w:ascii="宋体" w:hAnsi="宋体" w:cs="宋体"/>
          <w:b/>
          <w:color w:val="auto"/>
          <w:sz w:val="24"/>
        </w:rPr>
        <w:t>27.评标</w:t>
      </w:r>
    </w:p>
    <w:p w14:paraId="7127EE9D">
      <w:pPr>
        <w:spacing w:line="360" w:lineRule="auto"/>
        <w:ind w:firstLine="523" w:firstLineChars="218"/>
        <w:rPr>
          <w:rFonts w:hint="eastAsia" w:ascii="宋体" w:hAnsi="宋体" w:cs="宋体"/>
          <w:b/>
          <w:color w:val="auto"/>
          <w:sz w:val="24"/>
        </w:rPr>
      </w:pPr>
      <w:r>
        <w:rPr>
          <w:rFonts w:hint="eastAsia" w:ascii="宋体" w:hAnsi="宋体" w:cs="宋体"/>
          <w:color w:val="auto"/>
          <w:sz w:val="24"/>
        </w:rPr>
        <w:t>27.1 评委会将按照招标文件规定的评标办法对投标人独立进行投标评审。投标评审分为符合性审查和综合评分。</w:t>
      </w:r>
    </w:p>
    <w:p w14:paraId="23F9E50A">
      <w:pPr>
        <w:spacing w:line="360" w:lineRule="auto"/>
        <w:ind w:firstLine="549"/>
        <w:rPr>
          <w:rFonts w:hint="eastAsia" w:ascii="宋体" w:hAnsi="宋体" w:cs="宋体"/>
          <w:color w:val="auto"/>
          <w:sz w:val="24"/>
        </w:rPr>
      </w:pPr>
      <w:r>
        <w:rPr>
          <w:rFonts w:hint="eastAsia" w:ascii="宋体" w:hAnsi="宋体" w:cs="宋体"/>
          <w:color w:val="auto"/>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4D4689B">
      <w:pPr>
        <w:spacing w:line="360" w:lineRule="auto"/>
        <w:ind w:firstLine="549"/>
        <w:rPr>
          <w:rFonts w:hint="eastAsia" w:ascii="宋体" w:hAnsi="宋体" w:cs="宋体"/>
          <w:color w:val="auto"/>
          <w:sz w:val="24"/>
        </w:rPr>
      </w:pPr>
      <w:r>
        <w:rPr>
          <w:rFonts w:hint="eastAsia" w:ascii="宋体" w:hAnsi="宋体" w:cs="宋体"/>
          <w:color w:val="auto"/>
          <w:sz w:val="24"/>
        </w:rPr>
        <w:t>有下列情形之一的，评标委员会应当否决其投标：</w:t>
      </w:r>
    </w:p>
    <w:p w14:paraId="23BDD016">
      <w:pPr>
        <w:spacing w:line="360" w:lineRule="auto"/>
        <w:ind w:firstLine="549"/>
        <w:rPr>
          <w:rFonts w:hint="eastAsia" w:ascii="宋体" w:hAnsi="宋体" w:cs="宋体"/>
          <w:color w:val="auto"/>
          <w:sz w:val="24"/>
        </w:rPr>
      </w:pPr>
      <w:r>
        <w:rPr>
          <w:rFonts w:hint="eastAsia" w:ascii="宋体" w:hAnsi="宋体" w:cs="宋体"/>
          <w:color w:val="auto"/>
          <w:sz w:val="24"/>
        </w:rPr>
        <w:t>27.2.1投标文件未经投标单位电子签章的；</w:t>
      </w:r>
    </w:p>
    <w:p w14:paraId="43E4A44C">
      <w:pPr>
        <w:spacing w:line="360" w:lineRule="auto"/>
        <w:ind w:firstLine="549"/>
        <w:rPr>
          <w:rFonts w:hint="eastAsia" w:ascii="宋体" w:hAnsi="宋体" w:cs="宋体"/>
          <w:color w:val="auto"/>
          <w:sz w:val="24"/>
        </w:rPr>
      </w:pPr>
      <w:r>
        <w:rPr>
          <w:rFonts w:hint="eastAsia" w:ascii="宋体" w:hAnsi="宋体" w:cs="宋体"/>
          <w:color w:val="auto"/>
          <w:sz w:val="24"/>
        </w:rPr>
        <w:t>27.2.2投标联合体没有提交共同投标协议；</w:t>
      </w:r>
    </w:p>
    <w:p w14:paraId="357FDC50">
      <w:pPr>
        <w:spacing w:line="360" w:lineRule="auto"/>
        <w:ind w:firstLine="549"/>
        <w:rPr>
          <w:rFonts w:hint="eastAsia" w:ascii="宋体" w:hAnsi="宋体" w:cs="宋体"/>
          <w:color w:val="auto"/>
          <w:sz w:val="24"/>
        </w:rPr>
      </w:pPr>
      <w:r>
        <w:rPr>
          <w:rFonts w:hint="eastAsia" w:ascii="宋体" w:hAnsi="宋体" w:cs="宋体"/>
          <w:color w:val="auto"/>
          <w:sz w:val="24"/>
        </w:rPr>
        <w:t>27.2.3投标人不符合国家或者招标文件规定的资格条件；</w:t>
      </w:r>
    </w:p>
    <w:p w14:paraId="0533C7B3">
      <w:pPr>
        <w:spacing w:line="360" w:lineRule="auto"/>
        <w:ind w:firstLine="549"/>
        <w:rPr>
          <w:rFonts w:hint="eastAsia" w:ascii="宋体" w:hAnsi="宋体" w:cs="宋体"/>
          <w:color w:val="auto"/>
          <w:sz w:val="24"/>
        </w:rPr>
      </w:pPr>
      <w:r>
        <w:rPr>
          <w:rFonts w:hint="eastAsia" w:ascii="宋体" w:hAnsi="宋体" w:cs="宋体"/>
          <w:color w:val="auto"/>
          <w:sz w:val="24"/>
        </w:rPr>
        <w:t>27.2.4同一投标人提交两个以上不同的投标文件或者投标报价，但招标文件要求提交备选投标的除外；</w:t>
      </w:r>
    </w:p>
    <w:p w14:paraId="2E80E150">
      <w:pPr>
        <w:spacing w:line="360" w:lineRule="auto"/>
        <w:ind w:firstLine="549"/>
        <w:rPr>
          <w:rFonts w:hint="eastAsia" w:ascii="宋体" w:hAnsi="宋体" w:cs="宋体"/>
          <w:color w:val="auto"/>
          <w:sz w:val="24"/>
        </w:rPr>
      </w:pPr>
      <w:r>
        <w:rPr>
          <w:rFonts w:hint="eastAsia" w:ascii="宋体" w:hAnsi="宋体" w:cs="宋体"/>
          <w:color w:val="auto"/>
          <w:sz w:val="24"/>
        </w:rPr>
        <w:t>27.2.5投标报价或者某些分项报价明显不合理或者低于成本，有可能影响商品质量和不能诚信履约；</w:t>
      </w:r>
    </w:p>
    <w:p w14:paraId="21509840">
      <w:pPr>
        <w:spacing w:line="360" w:lineRule="auto"/>
        <w:ind w:firstLine="549"/>
        <w:rPr>
          <w:rFonts w:hint="eastAsia" w:ascii="宋体" w:hAnsi="宋体" w:cs="宋体"/>
          <w:color w:val="auto"/>
          <w:sz w:val="24"/>
        </w:rPr>
      </w:pPr>
      <w:r>
        <w:rPr>
          <w:rFonts w:hint="eastAsia" w:ascii="宋体" w:hAnsi="宋体" w:cs="宋体"/>
          <w:color w:val="auto"/>
          <w:sz w:val="24"/>
        </w:rPr>
        <w:t>27.2.6投标报价高于招标文件设定的最高投标限价；</w:t>
      </w:r>
    </w:p>
    <w:p w14:paraId="2BED8F17">
      <w:pPr>
        <w:spacing w:line="360" w:lineRule="auto"/>
        <w:ind w:firstLine="549"/>
        <w:rPr>
          <w:rFonts w:hint="eastAsia" w:ascii="宋体" w:hAnsi="宋体" w:cs="宋体"/>
          <w:color w:val="auto"/>
          <w:sz w:val="24"/>
        </w:rPr>
      </w:pPr>
      <w:r>
        <w:rPr>
          <w:rFonts w:hint="eastAsia" w:ascii="宋体" w:hAnsi="宋体" w:cs="宋体"/>
          <w:color w:val="auto"/>
          <w:sz w:val="24"/>
        </w:rPr>
        <w:t>27.2.7投标文件没有对招标文件的实质性要求和条件作出响应；</w:t>
      </w:r>
    </w:p>
    <w:p w14:paraId="539735E7">
      <w:pPr>
        <w:pStyle w:val="45"/>
        <w:ind w:firstLine="480" w:firstLineChars="200"/>
        <w:rPr>
          <w:rFonts w:hint="eastAsia" w:ascii="宋体" w:hAnsi="宋体" w:cs="宋体"/>
          <w:color w:val="auto"/>
          <w:sz w:val="24"/>
        </w:rPr>
      </w:pPr>
      <w:r>
        <w:rPr>
          <w:rFonts w:hint="eastAsia" w:ascii="宋体" w:hAnsi="宋体" w:cs="宋体"/>
          <w:color w:val="auto"/>
          <w:sz w:val="24"/>
        </w:rPr>
        <w:t>27.2.8供应商没有在投标（响应）文件附“廉洁自律承诺书”。</w:t>
      </w:r>
    </w:p>
    <w:p w14:paraId="6AFBC2DF">
      <w:pPr>
        <w:spacing w:line="360" w:lineRule="auto"/>
        <w:ind w:firstLine="549"/>
        <w:rPr>
          <w:rFonts w:hint="eastAsia" w:ascii="宋体" w:hAnsi="宋体" w:cs="宋体"/>
          <w:color w:val="auto"/>
          <w:sz w:val="24"/>
        </w:rPr>
      </w:pPr>
      <w:r>
        <w:rPr>
          <w:rFonts w:hint="eastAsia" w:ascii="宋体" w:hAnsi="宋体" w:cs="宋体"/>
          <w:color w:val="auto"/>
          <w:sz w:val="24"/>
        </w:rPr>
        <w:t>27.2.9投标人有串通投标、弄虚作假、行贿等违法行为。</w:t>
      </w:r>
    </w:p>
    <w:p w14:paraId="576FCAB0">
      <w:pPr>
        <w:spacing w:line="360" w:lineRule="auto"/>
        <w:ind w:firstLine="549"/>
        <w:rPr>
          <w:rFonts w:hint="eastAsia" w:ascii="宋体" w:hAnsi="宋体" w:cs="宋体"/>
          <w:color w:val="auto"/>
          <w:sz w:val="24"/>
        </w:rPr>
      </w:pPr>
      <w:r>
        <w:rPr>
          <w:rFonts w:hint="eastAsia" w:ascii="宋体" w:hAnsi="宋体" w:cs="宋体"/>
          <w:color w:val="auto"/>
          <w:sz w:val="24"/>
        </w:rPr>
        <w:t>27.3如果投标文件未通过投标符合性审查，投标无效。</w:t>
      </w:r>
    </w:p>
    <w:p w14:paraId="76BFAE81">
      <w:pPr>
        <w:spacing w:line="360" w:lineRule="auto"/>
        <w:ind w:firstLine="549"/>
        <w:rPr>
          <w:rFonts w:hint="eastAsia" w:ascii="宋体" w:hAnsi="宋体" w:cs="宋体"/>
          <w:color w:val="auto"/>
          <w:sz w:val="24"/>
        </w:rPr>
      </w:pPr>
      <w:r>
        <w:rPr>
          <w:rFonts w:hint="eastAsia" w:ascii="宋体" w:hAnsi="宋体" w:cs="宋体"/>
          <w:color w:val="auto"/>
          <w:sz w:val="24"/>
        </w:rPr>
        <w:t>27.4评委会决定投标文件的响应性及符合性只根据投标文件本身的内容，不寻求其他外部证据。</w:t>
      </w:r>
    </w:p>
    <w:p w14:paraId="329692A2">
      <w:pPr>
        <w:spacing w:line="360" w:lineRule="auto"/>
        <w:ind w:firstLine="549"/>
        <w:rPr>
          <w:rFonts w:hint="eastAsia" w:ascii="宋体" w:hAnsi="宋体" w:cs="宋体"/>
          <w:color w:val="auto"/>
          <w:sz w:val="24"/>
        </w:rPr>
      </w:pPr>
      <w:r>
        <w:rPr>
          <w:rFonts w:hint="eastAsia" w:ascii="宋体" w:hAnsi="宋体" w:cs="宋体"/>
          <w:color w:val="auto"/>
          <w:sz w:val="24"/>
        </w:rPr>
        <w:t>27.4.1投标人有串通投标、弄虚作假、行贿等违法行为；</w:t>
      </w:r>
    </w:p>
    <w:p w14:paraId="55842FC9">
      <w:pPr>
        <w:spacing w:line="360" w:lineRule="auto"/>
        <w:ind w:firstLine="549"/>
        <w:rPr>
          <w:rFonts w:hint="eastAsia" w:ascii="宋体" w:hAnsi="宋体" w:cs="宋体"/>
          <w:color w:val="auto"/>
          <w:sz w:val="24"/>
        </w:rPr>
      </w:pPr>
      <w:r>
        <w:rPr>
          <w:rFonts w:hint="eastAsia" w:ascii="宋体" w:hAnsi="宋体" w:cs="宋体"/>
          <w:color w:val="auto"/>
          <w:sz w:val="24"/>
        </w:rPr>
        <w:t>27.4.2投标文件未编制目录及索引的；</w:t>
      </w:r>
    </w:p>
    <w:p w14:paraId="4B2A112E">
      <w:pPr>
        <w:spacing w:line="360" w:lineRule="auto"/>
        <w:ind w:firstLine="549"/>
        <w:rPr>
          <w:rFonts w:hint="eastAsia" w:ascii="宋体" w:hAnsi="宋体" w:cs="宋体"/>
          <w:color w:val="auto"/>
          <w:sz w:val="24"/>
        </w:rPr>
      </w:pPr>
      <w:r>
        <w:rPr>
          <w:rFonts w:hint="eastAsia" w:ascii="宋体" w:hAnsi="宋体" w:cs="宋体"/>
          <w:color w:val="auto"/>
          <w:sz w:val="24"/>
        </w:rPr>
        <w:t>27.4.3授权委托书中法定代表人和委托代理人未在身份证扫描件正面签字的；</w:t>
      </w:r>
    </w:p>
    <w:p w14:paraId="27E1DF6A">
      <w:pPr>
        <w:spacing w:line="360" w:lineRule="auto"/>
        <w:ind w:firstLine="549"/>
        <w:rPr>
          <w:rFonts w:hint="eastAsia" w:ascii="宋体" w:hAnsi="宋体" w:cs="宋体"/>
          <w:color w:val="auto"/>
          <w:sz w:val="24"/>
        </w:rPr>
      </w:pPr>
      <w:r>
        <w:rPr>
          <w:rFonts w:hint="eastAsia" w:ascii="宋体" w:hAnsi="宋体" w:cs="宋体"/>
          <w:color w:val="auto"/>
          <w:sz w:val="24"/>
        </w:rPr>
        <w:t>27.4.4如果投标文件未通过投标符合性审查，投标无效。</w:t>
      </w:r>
    </w:p>
    <w:p w14:paraId="1F44A6D9">
      <w:pPr>
        <w:spacing w:line="360" w:lineRule="auto"/>
        <w:ind w:firstLine="549"/>
        <w:rPr>
          <w:rFonts w:hint="eastAsia" w:ascii="宋体" w:hAnsi="宋体" w:cs="宋体"/>
          <w:color w:val="auto"/>
          <w:sz w:val="24"/>
        </w:rPr>
      </w:pPr>
      <w:r>
        <w:rPr>
          <w:rFonts w:hint="eastAsia" w:ascii="宋体" w:hAnsi="宋体" w:cs="宋体"/>
          <w:color w:val="auto"/>
          <w:sz w:val="24"/>
        </w:rPr>
        <w:t>27.4.5评委会决定投标文件的响应性及符合性只根据投标文件本身的内容，不寻求其他外部证据。</w:t>
      </w:r>
    </w:p>
    <w:p w14:paraId="27C1954C">
      <w:pPr>
        <w:spacing w:line="360" w:lineRule="auto"/>
        <w:ind w:firstLine="549"/>
        <w:rPr>
          <w:rFonts w:hint="eastAsia" w:ascii="宋体" w:hAnsi="宋体" w:cs="宋体"/>
          <w:b/>
          <w:bCs/>
          <w:color w:val="auto"/>
          <w:sz w:val="24"/>
        </w:rPr>
      </w:pPr>
      <w:r>
        <w:rPr>
          <w:rFonts w:hint="eastAsia" w:ascii="宋体" w:hAnsi="宋体" w:cs="宋体"/>
          <w:b/>
          <w:bCs/>
          <w:color w:val="auto"/>
          <w:sz w:val="24"/>
        </w:rPr>
        <w:t>28</w:t>
      </w:r>
      <w:r>
        <w:rPr>
          <w:rFonts w:hint="eastAsia" w:ascii="宋体" w:hAnsi="宋体" w:cs="宋体"/>
          <w:b/>
          <w:color w:val="auto"/>
          <w:sz w:val="24"/>
        </w:rPr>
        <w:t>.</w:t>
      </w:r>
      <w:r>
        <w:rPr>
          <w:rFonts w:hint="eastAsia" w:ascii="宋体" w:hAnsi="宋体" w:cs="宋体"/>
          <w:b/>
          <w:bCs/>
          <w:color w:val="auto"/>
          <w:sz w:val="24"/>
        </w:rPr>
        <w:t>废标处理</w:t>
      </w:r>
    </w:p>
    <w:p w14:paraId="48893C81">
      <w:pPr>
        <w:spacing w:line="360" w:lineRule="auto"/>
        <w:ind w:firstLine="549"/>
        <w:rPr>
          <w:rFonts w:hint="eastAsia" w:ascii="宋体" w:hAnsi="宋体" w:cs="宋体"/>
          <w:color w:val="auto"/>
          <w:sz w:val="24"/>
        </w:rPr>
      </w:pPr>
      <w:r>
        <w:rPr>
          <w:rFonts w:hint="eastAsia" w:ascii="宋体" w:hAnsi="宋体" w:cs="宋体"/>
          <w:color w:val="auto"/>
          <w:sz w:val="24"/>
        </w:rPr>
        <w:t>28.1在招标采购中，出现下列情形之一的，周口市公共资源交易中心政府采购中心有权宣布废标：</w:t>
      </w:r>
    </w:p>
    <w:p w14:paraId="53E30E08">
      <w:pPr>
        <w:spacing w:line="360" w:lineRule="auto"/>
        <w:ind w:firstLine="523" w:firstLineChars="218"/>
        <w:rPr>
          <w:rFonts w:hint="eastAsia" w:ascii="宋体" w:hAnsi="宋体" w:cs="宋体"/>
          <w:color w:val="auto"/>
          <w:sz w:val="24"/>
        </w:rPr>
      </w:pPr>
      <w:r>
        <w:rPr>
          <w:rFonts w:hint="eastAsia" w:ascii="宋体" w:hAnsi="宋体" w:cs="宋体"/>
          <w:color w:val="auto"/>
          <w:sz w:val="24"/>
        </w:rPr>
        <w:t>28.1.1符合专业条件的投标人或对招标文件作实质响应的投标人不足三家的；</w:t>
      </w:r>
    </w:p>
    <w:p w14:paraId="489E3BB2">
      <w:pPr>
        <w:spacing w:line="360" w:lineRule="auto"/>
        <w:ind w:firstLine="523" w:firstLineChars="218"/>
        <w:rPr>
          <w:rFonts w:hint="eastAsia" w:ascii="宋体" w:hAnsi="宋体" w:cs="宋体"/>
          <w:color w:val="auto"/>
          <w:sz w:val="24"/>
        </w:rPr>
      </w:pPr>
      <w:r>
        <w:rPr>
          <w:rFonts w:hint="eastAsia" w:ascii="宋体" w:hAnsi="宋体" w:cs="宋体"/>
          <w:color w:val="auto"/>
          <w:sz w:val="24"/>
        </w:rPr>
        <w:t>28.1.2投标人的报价均超过采购预算，采购人不能支付的；</w:t>
      </w:r>
    </w:p>
    <w:p w14:paraId="7964FFFD">
      <w:pPr>
        <w:spacing w:line="360" w:lineRule="auto"/>
        <w:ind w:firstLine="523" w:firstLineChars="218"/>
        <w:rPr>
          <w:rFonts w:hint="eastAsia" w:ascii="宋体" w:hAnsi="宋体" w:cs="宋体"/>
          <w:color w:val="auto"/>
          <w:sz w:val="24"/>
        </w:rPr>
      </w:pPr>
      <w:r>
        <w:rPr>
          <w:rFonts w:hint="eastAsia" w:ascii="宋体" w:hAnsi="宋体" w:cs="宋体"/>
          <w:color w:val="auto"/>
          <w:sz w:val="24"/>
        </w:rPr>
        <w:t>28.1.3出现影响采购公正的违法、违规行为的；</w:t>
      </w:r>
    </w:p>
    <w:p w14:paraId="32BD956E">
      <w:pPr>
        <w:spacing w:line="360" w:lineRule="auto"/>
        <w:ind w:firstLine="523" w:firstLineChars="218"/>
        <w:rPr>
          <w:rFonts w:hint="eastAsia" w:ascii="宋体" w:hAnsi="宋体" w:cs="宋体"/>
          <w:color w:val="auto"/>
          <w:sz w:val="24"/>
        </w:rPr>
      </w:pPr>
      <w:r>
        <w:rPr>
          <w:rFonts w:hint="eastAsia" w:ascii="宋体" w:hAnsi="宋体" w:cs="宋体"/>
          <w:color w:val="auto"/>
          <w:sz w:val="24"/>
        </w:rPr>
        <w:t>28.1.4因重大变故，采购任务取消的。</w:t>
      </w:r>
    </w:p>
    <w:p w14:paraId="2E1A7501">
      <w:pPr>
        <w:spacing w:line="360" w:lineRule="auto"/>
        <w:ind w:firstLine="549"/>
        <w:rPr>
          <w:rFonts w:hint="eastAsia" w:ascii="宋体" w:hAnsi="宋体" w:cs="宋体"/>
          <w:color w:val="auto"/>
          <w:sz w:val="24"/>
        </w:rPr>
      </w:pPr>
      <w:r>
        <w:rPr>
          <w:rFonts w:hint="eastAsia" w:ascii="宋体" w:hAnsi="宋体" w:cs="宋体"/>
          <w:color w:val="auto"/>
          <w:sz w:val="24"/>
        </w:rPr>
        <w:t>废标后，周口市公共资源交易中心政府采购中心会把废标理由通知所有投标人。</w:t>
      </w:r>
    </w:p>
    <w:p w14:paraId="48076B40">
      <w:pPr>
        <w:spacing w:line="360" w:lineRule="auto"/>
        <w:ind w:firstLine="549"/>
        <w:rPr>
          <w:rFonts w:hint="eastAsia" w:ascii="宋体" w:hAnsi="宋体" w:cs="宋体"/>
          <w:color w:val="auto"/>
          <w:sz w:val="24"/>
        </w:rPr>
      </w:pPr>
      <w:r>
        <w:rPr>
          <w:rFonts w:hint="eastAsia" w:ascii="宋体" w:hAnsi="宋体" w:cs="宋体"/>
          <w:color w:val="auto"/>
          <w:sz w:val="24"/>
        </w:rPr>
        <w:t>28.2 因上条第一款、第二款规定情形导致废标的，若采购人提出申请，报经政府采购监督管理部门批准，可现场改为竞争性谈判，投标人有下列情形之一的，不得参加谈判：</w:t>
      </w:r>
    </w:p>
    <w:p w14:paraId="5FAA3F74">
      <w:pPr>
        <w:spacing w:line="360" w:lineRule="auto"/>
        <w:ind w:firstLine="523" w:firstLineChars="218"/>
        <w:rPr>
          <w:rFonts w:hint="eastAsia" w:ascii="宋体" w:hAnsi="宋体" w:cs="宋体"/>
          <w:color w:val="auto"/>
          <w:sz w:val="24"/>
        </w:rPr>
      </w:pPr>
      <w:r>
        <w:rPr>
          <w:rFonts w:hint="eastAsia" w:ascii="宋体" w:hAnsi="宋体" w:cs="宋体"/>
          <w:color w:val="auto"/>
          <w:sz w:val="24"/>
        </w:rPr>
        <w:t>28.2.1放弃参加投标的；</w:t>
      </w:r>
    </w:p>
    <w:p w14:paraId="215130BD">
      <w:pPr>
        <w:spacing w:line="360" w:lineRule="auto"/>
        <w:ind w:firstLine="523" w:firstLineChars="218"/>
        <w:rPr>
          <w:rFonts w:hint="eastAsia" w:ascii="宋体" w:hAnsi="宋体" w:cs="宋体"/>
          <w:color w:val="auto"/>
          <w:sz w:val="24"/>
        </w:rPr>
      </w:pPr>
      <w:r>
        <w:rPr>
          <w:rFonts w:hint="eastAsia" w:ascii="宋体" w:hAnsi="宋体" w:cs="宋体"/>
          <w:color w:val="auto"/>
          <w:sz w:val="24"/>
        </w:rPr>
        <w:t>28.2.2未经周口市公共资源交易中心政府采购中心允许，离开开标现场通知不上的；</w:t>
      </w:r>
    </w:p>
    <w:p w14:paraId="42C79635">
      <w:pPr>
        <w:spacing w:line="360" w:lineRule="auto"/>
        <w:ind w:firstLine="523" w:firstLineChars="218"/>
        <w:rPr>
          <w:rFonts w:hint="eastAsia" w:ascii="宋体" w:hAnsi="宋体" w:cs="宋体"/>
          <w:color w:val="auto"/>
          <w:sz w:val="24"/>
        </w:rPr>
      </w:pPr>
      <w:r>
        <w:rPr>
          <w:rFonts w:hint="eastAsia" w:ascii="宋体" w:hAnsi="宋体" w:cs="宋体"/>
          <w:color w:val="auto"/>
          <w:sz w:val="24"/>
        </w:rPr>
        <w:t>28.2.3不符合招标文件列明的专业条件的；</w:t>
      </w:r>
    </w:p>
    <w:p w14:paraId="7DDA3708">
      <w:pPr>
        <w:spacing w:line="360" w:lineRule="auto"/>
        <w:ind w:firstLine="523" w:firstLineChars="218"/>
        <w:rPr>
          <w:rFonts w:hint="eastAsia" w:ascii="宋体" w:hAnsi="宋体" w:cs="宋体"/>
          <w:color w:val="auto"/>
          <w:sz w:val="24"/>
        </w:rPr>
      </w:pPr>
      <w:r>
        <w:rPr>
          <w:rFonts w:hint="eastAsia" w:ascii="宋体" w:hAnsi="宋体" w:cs="宋体"/>
          <w:color w:val="auto"/>
          <w:sz w:val="24"/>
        </w:rPr>
        <w:t>28.2.4未按规定交纳谈判保证金的；</w:t>
      </w:r>
    </w:p>
    <w:p w14:paraId="377E2E8F">
      <w:pPr>
        <w:spacing w:line="360" w:lineRule="auto"/>
        <w:ind w:firstLine="523" w:firstLineChars="218"/>
        <w:rPr>
          <w:rFonts w:hint="eastAsia" w:ascii="宋体" w:hAnsi="宋体" w:cs="宋体"/>
          <w:color w:val="auto"/>
          <w:sz w:val="24"/>
        </w:rPr>
      </w:pPr>
      <w:r>
        <w:rPr>
          <w:rFonts w:hint="eastAsia" w:ascii="宋体" w:hAnsi="宋体" w:cs="宋体"/>
          <w:color w:val="auto"/>
          <w:sz w:val="24"/>
        </w:rPr>
        <w:t>28.2.5有影响采购公正的违法、违规行为造成项目废标的；</w:t>
      </w:r>
    </w:p>
    <w:p w14:paraId="7ECCF924">
      <w:pPr>
        <w:spacing w:line="360" w:lineRule="auto"/>
        <w:ind w:firstLine="523" w:firstLineChars="218"/>
        <w:rPr>
          <w:rFonts w:hint="eastAsia" w:ascii="宋体" w:hAnsi="宋体" w:cs="宋体"/>
          <w:color w:val="auto"/>
          <w:sz w:val="24"/>
        </w:rPr>
      </w:pPr>
      <w:r>
        <w:rPr>
          <w:rFonts w:hint="eastAsia" w:ascii="宋体" w:hAnsi="宋体" w:cs="宋体"/>
          <w:color w:val="auto"/>
          <w:sz w:val="24"/>
        </w:rPr>
        <w:t>28.2.6其他不符合竞争性谈判条件的情况。</w:t>
      </w:r>
    </w:p>
    <w:p w14:paraId="187EC813">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28.3采购方式现场改为竞争性谈判时，</w:t>
      </w:r>
      <w:r>
        <w:rPr>
          <w:rFonts w:hint="eastAsia" w:ascii="宋体" w:hAnsi="宋体" w:cs="宋体"/>
          <w:color w:val="auto"/>
          <w:sz w:val="24"/>
        </w:rPr>
        <w:t>周口市公共资源交易中心政府采购中心</w:t>
      </w:r>
      <w:r>
        <w:rPr>
          <w:rFonts w:hint="eastAsia" w:ascii="宋体" w:hAnsi="宋体" w:cs="宋体"/>
          <w:color w:val="auto"/>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52CE4D41">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4F7693F9">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28.3.2投标文件的报价视为谈判时的首次报价，未唱标转谈判的，谈判时不公开投标人各轮报价。已经唱标而转谈判的，谈判前公布各参与谈判的投标人首轮报价。</w:t>
      </w:r>
    </w:p>
    <w:p w14:paraId="13179DBD">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28.3.3在谈判内容不作实质性变更及重大调整的前提下，投标人次轮报价不得高于上一轮报价。</w:t>
      </w:r>
    </w:p>
    <w:p w14:paraId="0C0B0CD1">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29</w:t>
      </w:r>
      <w:r>
        <w:rPr>
          <w:rFonts w:hint="eastAsia" w:ascii="宋体" w:hAnsi="宋体" w:cs="宋体"/>
          <w:b/>
          <w:color w:val="auto"/>
          <w:sz w:val="24"/>
        </w:rPr>
        <w:t>.</w:t>
      </w:r>
      <w:r>
        <w:rPr>
          <w:rFonts w:hint="eastAsia" w:ascii="宋体" w:hAnsi="宋体" w:cs="宋体"/>
          <w:b/>
          <w:bCs/>
          <w:color w:val="auto"/>
          <w:sz w:val="24"/>
        </w:rPr>
        <w:t>二次采购</w:t>
      </w:r>
    </w:p>
    <w:p w14:paraId="1EF76766">
      <w:pPr>
        <w:spacing w:line="360" w:lineRule="auto"/>
        <w:ind w:firstLine="480" w:firstLineChars="200"/>
        <w:rPr>
          <w:rFonts w:hint="eastAsia" w:ascii="宋体" w:hAnsi="宋体" w:cs="宋体"/>
          <w:color w:val="auto"/>
          <w:sz w:val="24"/>
        </w:rPr>
      </w:pPr>
      <w:r>
        <w:rPr>
          <w:rFonts w:hint="eastAsia" w:ascii="宋体" w:hAnsi="宋体" w:cs="宋体"/>
          <w:color w:val="auto"/>
          <w:sz w:val="24"/>
        </w:rPr>
        <w:t>项目废标后，周口市公共资源交易中心政府采购中心可能发布二次公告（投标邀请），进行二次采购。</w:t>
      </w:r>
    </w:p>
    <w:p w14:paraId="144673BF">
      <w:pPr>
        <w:spacing w:line="360" w:lineRule="auto"/>
        <w:ind w:firstLine="480" w:firstLineChars="200"/>
        <w:rPr>
          <w:rFonts w:hint="eastAsia" w:ascii="宋体" w:hAnsi="宋体" w:cs="宋体"/>
          <w:color w:val="auto"/>
          <w:sz w:val="24"/>
        </w:rPr>
      </w:pPr>
      <w:r>
        <w:rPr>
          <w:rFonts w:hint="eastAsia" w:ascii="宋体" w:hAnsi="宋体" w:cs="宋体"/>
          <w:color w:val="auto"/>
          <w:sz w:val="24"/>
        </w:rPr>
        <w:t>前款所述“二次”，系指项目废标后的重新公告及采购，并不仅限于项目的第二次公告及采购。</w:t>
      </w:r>
    </w:p>
    <w:p w14:paraId="6DD328FF">
      <w:pPr>
        <w:pStyle w:val="5"/>
        <w:spacing w:line="360" w:lineRule="auto"/>
        <w:ind w:firstLine="2715" w:firstLineChars="966"/>
        <w:rPr>
          <w:rFonts w:hint="eastAsia" w:hAnsi="宋体" w:cs="宋体"/>
          <w:color w:val="auto"/>
        </w:rPr>
      </w:pPr>
      <w:bookmarkStart w:id="102" w:name="_Toc40975447"/>
      <w:bookmarkStart w:id="103" w:name="_Toc527725927"/>
      <w:bookmarkStart w:id="104" w:name="_Toc516969091"/>
      <w:r>
        <w:rPr>
          <w:rFonts w:hint="eastAsia" w:hAnsi="宋体" w:cs="宋体"/>
          <w:color w:val="auto"/>
        </w:rPr>
        <w:t>六．定标与签订合同</w:t>
      </w:r>
      <w:bookmarkEnd w:id="102"/>
      <w:bookmarkEnd w:id="103"/>
      <w:bookmarkEnd w:id="104"/>
    </w:p>
    <w:p w14:paraId="58D8AAD5">
      <w:pPr>
        <w:spacing w:line="360" w:lineRule="auto"/>
        <w:ind w:firstLine="549"/>
        <w:rPr>
          <w:rFonts w:hint="eastAsia" w:ascii="宋体" w:hAnsi="宋体" w:cs="宋体"/>
          <w:b/>
          <w:color w:val="auto"/>
          <w:sz w:val="24"/>
        </w:rPr>
      </w:pPr>
      <w:r>
        <w:rPr>
          <w:rFonts w:hint="eastAsia" w:ascii="宋体" w:hAnsi="宋体" w:cs="宋体"/>
          <w:b/>
          <w:color w:val="auto"/>
          <w:sz w:val="24"/>
        </w:rPr>
        <w:t>30.定标</w:t>
      </w:r>
    </w:p>
    <w:p w14:paraId="0B1E9250">
      <w:pPr>
        <w:spacing w:line="360" w:lineRule="auto"/>
        <w:ind w:firstLine="549"/>
        <w:rPr>
          <w:rFonts w:hint="eastAsia" w:ascii="宋体" w:hAnsi="宋体" w:cs="宋体"/>
          <w:color w:val="auto"/>
          <w:sz w:val="24"/>
        </w:rPr>
      </w:pPr>
      <w:r>
        <w:rPr>
          <w:rFonts w:hint="eastAsia" w:ascii="宋体" w:hAnsi="宋体" w:cs="宋体"/>
          <w:color w:val="auto"/>
          <w:sz w:val="24"/>
        </w:rPr>
        <w:t>30.1 投标符合性审查后，评委会应当按招标文件规定的综合评分办法提出独立评审意见，推荐中标候选人。</w:t>
      </w:r>
    </w:p>
    <w:p w14:paraId="2EDFADE0">
      <w:pPr>
        <w:pStyle w:val="27"/>
        <w:ind w:right="-21" w:firstLine="540"/>
        <w:rPr>
          <w:rFonts w:hint="eastAsia" w:ascii="宋体" w:hAnsi="宋体" w:eastAsia="宋体" w:cs="宋体"/>
          <w:color w:val="auto"/>
          <w:kern w:val="2"/>
          <w:szCs w:val="20"/>
        </w:rPr>
      </w:pPr>
      <w:r>
        <w:rPr>
          <w:rFonts w:hint="eastAsia" w:ascii="宋体" w:hAnsi="宋体" w:eastAsia="宋体" w:cs="宋体"/>
          <w:color w:val="auto"/>
          <w:kern w:val="2"/>
          <w:szCs w:val="20"/>
        </w:rPr>
        <w:t>30.2采购人应当自收到评审报告之日起5个工作日内在评审报告推荐的中标或者成交候选人中按顺序确定中标或者成交供应商。</w:t>
      </w:r>
    </w:p>
    <w:p w14:paraId="561E47A9">
      <w:pPr>
        <w:spacing w:line="360" w:lineRule="auto"/>
        <w:ind w:firstLine="549"/>
        <w:rPr>
          <w:rFonts w:hint="eastAsia" w:ascii="宋体" w:hAnsi="宋体" w:cs="宋体"/>
          <w:color w:val="auto"/>
          <w:sz w:val="24"/>
        </w:rPr>
      </w:pPr>
      <w:r>
        <w:rPr>
          <w:rFonts w:hint="eastAsia" w:ascii="宋体" w:hAnsi="宋体" w:cs="宋体"/>
          <w:color w:val="auto"/>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2AFFDB4">
      <w:pPr>
        <w:spacing w:line="360" w:lineRule="auto"/>
        <w:ind w:firstLine="549"/>
        <w:rPr>
          <w:rFonts w:hint="eastAsia" w:ascii="宋体" w:hAnsi="宋体" w:cs="宋体"/>
          <w:color w:val="auto"/>
          <w:sz w:val="24"/>
        </w:rPr>
      </w:pPr>
      <w:r>
        <w:rPr>
          <w:rFonts w:hint="eastAsia" w:ascii="宋体" w:hAnsi="宋体" w:cs="宋体"/>
          <w:color w:val="auto"/>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14A4BE08">
      <w:pPr>
        <w:spacing w:line="360" w:lineRule="auto"/>
        <w:ind w:firstLine="549"/>
        <w:rPr>
          <w:rFonts w:hint="eastAsia" w:ascii="宋体" w:hAnsi="宋体" w:cs="宋体"/>
          <w:color w:val="auto"/>
          <w:sz w:val="24"/>
        </w:rPr>
      </w:pPr>
      <w:r>
        <w:rPr>
          <w:rFonts w:hint="eastAsia" w:ascii="宋体" w:hAnsi="宋体" w:cs="宋体"/>
          <w:color w:val="auto"/>
          <w:sz w:val="24"/>
        </w:rPr>
        <w:t>30.4原则上把合同授予实质上响应招标文件要求的排名最前的中标候选人或通过上条资格审查的中标候选人。</w:t>
      </w:r>
    </w:p>
    <w:p w14:paraId="0F1AF201">
      <w:pPr>
        <w:spacing w:line="360" w:lineRule="auto"/>
        <w:ind w:firstLine="549"/>
        <w:rPr>
          <w:rFonts w:hint="eastAsia" w:ascii="宋体" w:hAnsi="宋体" w:cs="宋体"/>
          <w:color w:val="auto"/>
          <w:sz w:val="24"/>
        </w:rPr>
      </w:pPr>
      <w:r>
        <w:rPr>
          <w:rFonts w:hint="eastAsia" w:ascii="宋体" w:hAnsi="宋体" w:cs="宋体"/>
          <w:color w:val="auto"/>
          <w:sz w:val="24"/>
        </w:rPr>
        <w:t>30.5 最低报价并不是中标的保证。</w:t>
      </w:r>
    </w:p>
    <w:p w14:paraId="17C2D394">
      <w:pPr>
        <w:spacing w:line="360" w:lineRule="auto"/>
        <w:ind w:firstLine="549"/>
        <w:rPr>
          <w:rFonts w:hint="eastAsia" w:ascii="宋体" w:hAnsi="宋体" w:cs="宋体"/>
          <w:color w:val="auto"/>
          <w:sz w:val="24"/>
        </w:rPr>
      </w:pPr>
      <w:r>
        <w:rPr>
          <w:rFonts w:hint="eastAsia" w:ascii="宋体" w:hAnsi="宋体" w:cs="宋体"/>
          <w:color w:val="auto"/>
          <w:sz w:val="24"/>
        </w:rPr>
        <w:t>30.6凡发现中标候选人有下列行为之一的，其中标无效，并移交政府采购监督管理部门依法处理：</w:t>
      </w:r>
    </w:p>
    <w:p w14:paraId="283B859F">
      <w:pPr>
        <w:spacing w:line="360" w:lineRule="auto"/>
        <w:ind w:left="549"/>
        <w:rPr>
          <w:rFonts w:hint="eastAsia" w:ascii="宋体" w:hAnsi="宋体" w:cs="宋体"/>
          <w:color w:val="auto"/>
          <w:sz w:val="24"/>
        </w:rPr>
      </w:pPr>
      <w:r>
        <w:rPr>
          <w:rFonts w:hint="eastAsia" w:ascii="宋体" w:hAnsi="宋体" w:cs="宋体"/>
          <w:color w:val="auto"/>
          <w:sz w:val="24"/>
        </w:rPr>
        <w:t>30.6.1 以他人名义投标、或提供虚假材料弄虚作假谋取中标的；</w:t>
      </w:r>
    </w:p>
    <w:p w14:paraId="0E81E8BA">
      <w:pPr>
        <w:spacing w:line="360" w:lineRule="auto"/>
        <w:ind w:left="549"/>
        <w:rPr>
          <w:rFonts w:hint="eastAsia" w:ascii="宋体" w:hAnsi="宋体" w:cs="宋体"/>
          <w:color w:val="auto"/>
          <w:sz w:val="24"/>
        </w:rPr>
      </w:pPr>
      <w:r>
        <w:rPr>
          <w:rFonts w:hint="eastAsia" w:ascii="宋体" w:hAnsi="宋体" w:cs="宋体"/>
          <w:color w:val="auto"/>
          <w:sz w:val="24"/>
        </w:rPr>
        <w:t>30.6.1.1以他人名义投标，是指使用通过受让或者租借等方式获取的资格、资质证书投标。</w:t>
      </w:r>
    </w:p>
    <w:p w14:paraId="28C9D162">
      <w:pPr>
        <w:spacing w:line="360" w:lineRule="auto"/>
        <w:ind w:left="549"/>
        <w:rPr>
          <w:rFonts w:hint="eastAsia" w:ascii="宋体" w:hAnsi="宋体" w:cs="宋体"/>
          <w:color w:val="auto"/>
          <w:sz w:val="24"/>
        </w:rPr>
      </w:pPr>
      <w:r>
        <w:rPr>
          <w:rFonts w:hint="eastAsia" w:ascii="宋体" w:hAnsi="宋体" w:cs="宋体"/>
          <w:color w:val="auto"/>
          <w:sz w:val="24"/>
        </w:rPr>
        <w:t>30.6.1.2有投标人有下列情形之一的，属于弄虚作假的行为：</w:t>
      </w:r>
    </w:p>
    <w:p w14:paraId="61725DB6">
      <w:pPr>
        <w:spacing w:line="360" w:lineRule="auto"/>
        <w:ind w:left="549"/>
        <w:rPr>
          <w:rFonts w:hint="eastAsia" w:ascii="宋体" w:hAnsi="宋体" w:cs="宋体"/>
          <w:color w:val="auto"/>
          <w:sz w:val="24"/>
        </w:rPr>
      </w:pPr>
      <w:r>
        <w:rPr>
          <w:rFonts w:hint="eastAsia" w:ascii="宋体" w:hAnsi="宋体" w:cs="宋体"/>
          <w:color w:val="auto"/>
          <w:sz w:val="24"/>
        </w:rPr>
        <w:t>30.6.1.2.1使用伪造、变造的许可证件；</w:t>
      </w:r>
    </w:p>
    <w:p w14:paraId="7B820966">
      <w:pPr>
        <w:spacing w:line="360" w:lineRule="auto"/>
        <w:ind w:left="549"/>
        <w:rPr>
          <w:rFonts w:hint="eastAsia" w:ascii="宋体" w:hAnsi="宋体" w:cs="宋体"/>
          <w:color w:val="auto"/>
          <w:sz w:val="24"/>
        </w:rPr>
      </w:pPr>
      <w:r>
        <w:rPr>
          <w:rFonts w:hint="eastAsia" w:ascii="宋体" w:hAnsi="宋体" w:cs="宋体"/>
          <w:color w:val="auto"/>
          <w:sz w:val="24"/>
        </w:rPr>
        <w:t>30.6.1.2.2提供虚假的财务状况或者业绩；</w:t>
      </w:r>
    </w:p>
    <w:p w14:paraId="46AF78AD">
      <w:pPr>
        <w:spacing w:line="360" w:lineRule="auto"/>
        <w:ind w:left="549"/>
        <w:rPr>
          <w:rFonts w:hint="eastAsia" w:ascii="宋体" w:hAnsi="宋体" w:cs="宋体"/>
          <w:color w:val="auto"/>
          <w:sz w:val="24"/>
        </w:rPr>
      </w:pPr>
      <w:r>
        <w:rPr>
          <w:rFonts w:hint="eastAsia" w:ascii="宋体" w:hAnsi="宋体" w:cs="宋体"/>
          <w:color w:val="auto"/>
          <w:sz w:val="24"/>
        </w:rPr>
        <w:t>30.6.1.2.3提供虚假的项目负责人或者主要技术人员简历、劳动关系证明；</w:t>
      </w:r>
    </w:p>
    <w:p w14:paraId="54B570F8">
      <w:pPr>
        <w:spacing w:line="360" w:lineRule="auto"/>
        <w:ind w:left="549"/>
        <w:rPr>
          <w:rFonts w:hint="eastAsia" w:ascii="宋体" w:hAnsi="宋体" w:cs="宋体"/>
          <w:color w:val="auto"/>
          <w:sz w:val="24"/>
        </w:rPr>
      </w:pPr>
      <w:r>
        <w:rPr>
          <w:rFonts w:hint="eastAsia" w:ascii="宋体" w:hAnsi="宋体" w:cs="宋体"/>
          <w:color w:val="auto"/>
          <w:sz w:val="24"/>
        </w:rPr>
        <w:t>30.6.1.2.4提供虚假的信用状况；</w:t>
      </w:r>
    </w:p>
    <w:p w14:paraId="4FBBB80E">
      <w:pPr>
        <w:spacing w:line="360" w:lineRule="auto"/>
        <w:ind w:left="549"/>
        <w:rPr>
          <w:rFonts w:hint="eastAsia" w:ascii="宋体" w:hAnsi="宋体" w:cs="宋体"/>
          <w:color w:val="auto"/>
          <w:sz w:val="24"/>
        </w:rPr>
      </w:pPr>
      <w:r>
        <w:rPr>
          <w:rFonts w:hint="eastAsia" w:ascii="宋体" w:hAnsi="宋体" w:cs="宋体"/>
          <w:color w:val="auto"/>
          <w:sz w:val="24"/>
        </w:rPr>
        <w:t>30.6.1.2.5其他弄虚作假的行为。</w:t>
      </w:r>
    </w:p>
    <w:p w14:paraId="6F90C261">
      <w:pPr>
        <w:spacing w:line="360" w:lineRule="auto"/>
        <w:ind w:left="549"/>
        <w:rPr>
          <w:rFonts w:hint="eastAsia" w:ascii="宋体" w:hAnsi="宋体" w:cs="宋体"/>
          <w:color w:val="auto"/>
          <w:sz w:val="24"/>
        </w:rPr>
      </w:pPr>
      <w:r>
        <w:rPr>
          <w:rFonts w:hint="eastAsia" w:ascii="宋体" w:hAnsi="宋体" w:cs="宋体"/>
          <w:color w:val="auto"/>
          <w:sz w:val="24"/>
        </w:rPr>
        <w:t>30.6.2与采购人、其他供应商或者采购代理机构名称工作人员恶意串通的；</w:t>
      </w:r>
    </w:p>
    <w:p w14:paraId="1F7E0684">
      <w:pPr>
        <w:spacing w:line="360" w:lineRule="auto"/>
        <w:ind w:left="549"/>
        <w:rPr>
          <w:rFonts w:hint="eastAsia" w:ascii="宋体" w:hAnsi="宋体" w:cs="宋体"/>
          <w:color w:val="auto"/>
          <w:sz w:val="24"/>
        </w:rPr>
      </w:pPr>
      <w:r>
        <w:rPr>
          <w:rFonts w:hint="eastAsia" w:ascii="宋体" w:hAnsi="宋体" w:cs="宋体"/>
          <w:color w:val="auto"/>
          <w:sz w:val="24"/>
        </w:rPr>
        <w:t>30.6.3向采购人、评审专家、采购代理机构工作人员行贿或者提供其他不正当利益的；</w:t>
      </w:r>
    </w:p>
    <w:p w14:paraId="40CCB26C">
      <w:pPr>
        <w:spacing w:line="360" w:lineRule="auto"/>
        <w:ind w:firstLine="549"/>
        <w:rPr>
          <w:rFonts w:hint="eastAsia" w:ascii="宋体" w:hAnsi="宋体" w:cs="宋体"/>
          <w:color w:val="auto"/>
          <w:sz w:val="24"/>
        </w:rPr>
      </w:pPr>
      <w:r>
        <w:rPr>
          <w:rFonts w:hint="eastAsia" w:ascii="宋体" w:hAnsi="宋体" w:cs="宋体"/>
          <w:color w:val="auto"/>
          <w:sz w:val="24"/>
        </w:rPr>
        <w:t>30.6.4有法律、法规规定的其他损害采购人利益和社会公共利益情形的；</w:t>
      </w:r>
    </w:p>
    <w:p w14:paraId="07E5A31E">
      <w:pPr>
        <w:spacing w:line="360" w:lineRule="auto"/>
        <w:ind w:firstLine="549"/>
        <w:rPr>
          <w:rFonts w:hint="eastAsia" w:ascii="宋体" w:hAnsi="宋体" w:cs="宋体"/>
          <w:color w:val="auto"/>
          <w:sz w:val="24"/>
        </w:rPr>
      </w:pPr>
      <w:r>
        <w:rPr>
          <w:rFonts w:hint="eastAsia" w:ascii="宋体" w:hAnsi="宋体" w:cs="宋体"/>
          <w:color w:val="auto"/>
          <w:sz w:val="24"/>
        </w:rPr>
        <w:t>30.6.5其他违反招投标法律、法规和规章强制性规定的行为。</w:t>
      </w:r>
    </w:p>
    <w:p w14:paraId="0FAF6D20">
      <w:pPr>
        <w:spacing w:line="360" w:lineRule="auto"/>
        <w:ind w:firstLine="549"/>
        <w:rPr>
          <w:rFonts w:hint="eastAsia" w:ascii="宋体" w:hAnsi="宋体" w:cs="宋体"/>
          <w:color w:val="auto"/>
          <w:sz w:val="24"/>
        </w:rPr>
      </w:pPr>
      <w:r>
        <w:rPr>
          <w:rFonts w:hint="eastAsia" w:ascii="宋体" w:hAnsi="宋体" w:cs="宋体"/>
          <w:color w:val="auto"/>
          <w:sz w:val="24"/>
        </w:rPr>
        <w:t>30.7周口市公共资源交易中心政府采购中心将在政府采购相关网站上发布评审结果公告。</w:t>
      </w:r>
    </w:p>
    <w:p w14:paraId="57FA1314">
      <w:pPr>
        <w:spacing w:line="360" w:lineRule="auto"/>
        <w:ind w:firstLine="549"/>
        <w:rPr>
          <w:rFonts w:hint="eastAsia" w:ascii="宋体" w:hAnsi="宋体" w:cs="宋体"/>
          <w:b/>
          <w:color w:val="auto"/>
          <w:sz w:val="24"/>
        </w:rPr>
      </w:pPr>
      <w:r>
        <w:rPr>
          <w:rFonts w:hint="eastAsia" w:ascii="宋体" w:hAnsi="宋体" w:cs="宋体"/>
          <w:b/>
          <w:color w:val="auto"/>
          <w:sz w:val="24"/>
        </w:rPr>
        <w:t>31.中标通知书</w:t>
      </w:r>
    </w:p>
    <w:p w14:paraId="2FBAD7C9">
      <w:pPr>
        <w:spacing w:line="360" w:lineRule="auto"/>
        <w:ind w:firstLine="549"/>
        <w:rPr>
          <w:rFonts w:hint="eastAsia" w:ascii="宋体" w:hAnsi="宋体" w:cs="宋体"/>
          <w:color w:val="auto"/>
          <w:sz w:val="24"/>
        </w:rPr>
      </w:pPr>
      <w:r>
        <w:rPr>
          <w:rFonts w:hint="eastAsia" w:ascii="宋体" w:hAnsi="宋体" w:cs="宋体"/>
          <w:color w:val="auto"/>
          <w:sz w:val="24"/>
        </w:rPr>
        <w:t>31.1在发出中标公告后请采购人、中标人登录周口市公共资源</w:t>
      </w:r>
      <w:r>
        <w:rPr>
          <w:rFonts w:hint="eastAsia" w:ascii="宋体" w:hAnsi="宋体" w:cs="宋体"/>
          <w:color w:val="auto"/>
          <w:sz w:val="24"/>
          <w:szCs w:val="24"/>
        </w:rPr>
        <w:t>交易</w:t>
      </w:r>
      <w:r>
        <w:rPr>
          <w:rFonts w:hint="eastAsia" w:ascii="宋体" w:hAnsi="宋体" w:cs="宋体"/>
          <w:color w:val="auto"/>
          <w:sz w:val="24"/>
        </w:rPr>
        <w:t>中心网</w:t>
      </w:r>
      <w:r>
        <w:rPr>
          <w:rFonts w:hint="eastAsia" w:ascii="宋体" w:hAnsi="宋体" w:cs="宋体"/>
          <w:color w:val="auto"/>
          <w:sz w:val="24"/>
          <w:szCs w:val="24"/>
        </w:rPr>
        <w:t>（http://jyzx.zhoukou.gov.cn）自行下载</w:t>
      </w:r>
      <w:r>
        <w:rPr>
          <w:rFonts w:hint="eastAsia" w:ascii="宋体" w:hAnsi="宋体" w:cs="宋体"/>
          <w:color w:val="auto"/>
          <w:sz w:val="24"/>
        </w:rPr>
        <w:t>中标通知书。</w:t>
      </w:r>
    </w:p>
    <w:p w14:paraId="2DF4F49D">
      <w:pPr>
        <w:spacing w:line="360" w:lineRule="auto"/>
        <w:ind w:firstLine="549"/>
        <w:rPr>
          <w:rFonts w:hint="eastAsia" w:ascii="宋体" w:hAnsi="宋体" w:cs="宋体"/>
          <w:color w:val="auto"/>
          <w:sz w:val="24"/>
        </w:rPr>
      </w:pPr>
      <w:r>
        <w:rPr>
          <w:rFonts w:hint="eastAsia" w:ascii="宋体" w:hAnsi="宋体" w:cs="宋体"/>
          <w:color w:val="auto"/>
          <w:sz w:val="24"/>
        </w:rPr>
        <w:t>31.2周口市公共资源交易中心政府采购中心对未中标的投标人不做未中标原因的解释。</w:t>
      </w:r>
    </w:p>
    <w:p w14:paraId="29590686">
      <w:pPr>
        <w:spacing w:line="360" w:lineRule="auto"/>
        <w:ind w:firstLine="549"/>
        <w:rPr>
          <w:rFonts w:hint="eastAsia" w:ascii="宋体" w:hAnsi="宋体" w:cs="宋体"/>
          <w:color w:val="auto"/>
          <w:sz w:val="24"/>
        </w:rPr>
      </w:pPr>
      <w:r>
        <w:rPr>
          <w:rFonts w:hint="eastAsia" w:ascii="宋体" w:hAnsi="宋体" w:cs="宋体"/>
          <w:color w:val="auto"/>
          <w:sz w:val="24"/>
        </w:rPr>
        <w:t>31.3评审结果确定后，中标人请及时到周口市公共资源交易中心政府采购中心领取中标通知书。</w:t>
      </w:r>
    </w:p>
    <w:p w14:paraId="575C1433">
      <w:pPr>
        <w:spacing w:line="360" w:lineRule="auto"/>
        <w:ind w:firstLine="549"/>
        <w:rPr>
          <w:rFonts w:hint="eastAsia" w:ascii="宋体" w:hAnsi="宋体" w:cs="宋体"/>
          <w:color w:val="auto"/>
          <w:sz w:val="24"/>
          <w:szCs w:val="22"/>
        </w:rPr>
      </w:pPr>
      <w:r>
        <w:rPr>
          <w:rFonts w:hint="eastAsia" w:ascii="宋体" w:hAnsi="宋体" w:cs="宋体"/>
          <w:color w:val="auto"/>
          <w:sz w:val="24"/>
          <w:szCs w:val="22"/>
        </w:rPr>
        <w:t>32.中标服务费</w:t>
      </w:r>
    </w:p>
    <w:p w14:paraId="027FDA59">
      <w:pPr>
        <w:spacing w:line="360" w:lineRule="auto"/>
        <w:rPr>
          <w:rFonts w:hint="eastAsia" w:ascii="宋体" w:hAnsi="宋体" w:cs="宋体"/>
          <w:bCs/>
          <w:color w:val="auto"/>
          <w:sz w:val="24"/>
        </w:rPr>
      </w:pPr>
      <w:r>
        <w:rPr>
          <w:rFonts w:hint="eastAsia" w:ascii="宋体" w:hAnsi="宋体" w:cs="宋体"/>
          <w:b/>
          <w:color w:val="auto"/>
          <w:sz w:val="24"/>
        </w:rPr>
        <w:t xml:space="preserve">    </w:t>
      </w:r>
      <w:r>
        <w:rPr>
          <w:rFonts w:hint="eastAsia" w:ascii="宋体" w:hAnsi="宋体" w:cs="宋体"/>
          <w:bCs/>
          <w:color w:val="auto"/>
          <w:sz w:val="24"/>
        </w:rPr>
        <w:t>本项目免收中标服务费</w:t>
      </w:r>
    </w:p>
    <w:p w14:paraId="7DE8386F">
      <w:pPr>
        <w:spacing w:line="360" w:lineRule="auto"/>
        <w:ind w:firstLine="549"/>
        <w:rPr>
          <w:rFonts w:hint="eastAsia" w:ascii="宋体" w:hAnsi="宋体" w:cs="宋体"/>
          <w:b/>
          <w:color w:val="auto"/>
          <w:sz w:val="24"/>
        </w:rPr>
      </w:pPr>
      <w:r>
        <w:rPr>
          <w:rFonts w:hint="eastAsia" w:ascii="宋体" w:hAnsi="宋体" w:cs="宋体"/>
          <w:b/>
          <w:color w:val="auto"/>
          <w:sz w:val="24"/>
        </w:rPr>
        <w:t>33.履约保证金</w:t>
      </w:r>
    </w:p>
    <w:p w14:paraId="50C9EBB1">
      <w:pPr>
        <w:spacing w:line="360" w:lineRule="auto"/>
        <w:ind w:firstLine="549"/>
        <w:rPr>
          <w:rFonts w:hint="eastAsia" w:ascii="宋体" w:hAnsi="宋体" w:cs="宋体"/>
          <w:color w:val="auto"/>
          <w:sz w:val="24"/>
        </w:rPr>
      </w:pPr>
      <w:r>
        <w:rPr>
          <w:rFonts w:hint="eastAsia" w:ascii="宋体" w:hAnsi="宋体" w:cs="宋体"/>
          <w:color w:val="auto"/>
          <w:sz w:val="24"/>
        </w:rPr>
        <w:t>无</w:t>
      </w:r>
    </w:p>
    <w:p w14:paraId="6D63CF52">
      <w:pPr>
        <w:spacing w:line="360" w:lineRule="auto"/>
        <w:ind w:firstLine="549"/>
        <w:rPr>
          <w:rFonts w:hint="eastAsia" w:ascii="宋体" w:hAnsi="宋体" w:cs="宋体"/>
          <w:b/>
          <w:color w:val="auto"/>
          <w:sz w:val="24"/>
        </w:rPr>
      </w:pPr>
      <w:r>
        <w:rPr>
          <w:rFonts w:hint="eastAsia" w:ascii="宋体" w:hAnsi="宋体" w:cs="宋体"/>
          <w:b/>
          <w:color w:val="auto"/>
          <w:sz w:val="24"/>
        </w:rPr>
        <w:t>34.签订合同</w:t>
      </w:r>
    </w:p>
    <w:p w14:paraId="29157DD1">
      <w:pPr>
        <w:pStyle w:val="47"/>
        <w:spacing w:line="360" w:lineRule="auto"/>
        <w:ind w:firstLine="480" w:firstLineChars="200"/>
        <w:rPr>
          <w:rFonts w:hint="eastAsia" w:ascii="宋体" w:hAnsi="宋体" w:cs="宋体"/>
          <w:color w:val="auto"/>
          <w:sz w:val="24"/>
        </w:rPr>
      </w:pPr>
      <w:r>
        <w:rPr>
          <w:rFonts w:hint="eastAsia" w:ascii="宋体" w:hAnsi="宋体" w:cs="宋体"/>
          <w:color w:val="auto"/>
          <w:sz w:val="24"/>
        </w:rPr>
        <w:t>34.1中标人应在中标通知书发出之日起七日历日内（具体时间、地点见中标通知书）与采购人签订合同。招标文件、中标人的投标文件及澄清文件等，均作为合同的附件。</w:t>
      </w:r>
    </w:p>
    <w:p w14:paraId="38888CAC">
      <w:pPr>
        <w:spacing w:line="360" w:lineRule="auto"/>
        <w:ind w:firstLine="549"/>
        <w:rPr>
          <w:rFonts w:hint="eastAsia" w:ascii="宋体" w:hAnsi="宋体" w:cs="宋体"/>
          <w:color w:val="auto"/>
          <w:sz w:val="24"/>
        </w:rPr>
      </w:pPr>
      <w:r>
        <w:rPr>
          <w:rFonts w:hint="eastAsia" w:ascii="宋体" w:hAnsi="宋体" w:cs="宋体"/>
          <w:color w:val="auto"/>
          <w:sz w:val="24"/>
        </w:rPr>
        <w:t>34.2 采购双方必须严格按照招标文件、投标文件及有关承诺签订采购合同，不得擅自变更。招标人和中标人不得再行订立背离合同实质性内容的其他协议。对任何因双方擅自变更合同引起的问题周口市公共资源交易中心政府采购中心概不负责，合同风险由双方自行承担。</w:t>
      </w:r>
    </w:p>
    <w:p w14:paraId="698982D7">
      <w:pPr>
        <w:spacing w:line="360" w:lineRule="auto"/>
        <w:ind w:firstLine="523" w:firstLineChars="218"/>
        <w:rPr>
          <w:rFonts w:hint="eastAsia" w:ascii="宋体" w:hAnsi="宋体" w:cs="宋体"/>
          <w:color w:val="auto"/>
          <w:sz w:val="24"/>
        </w:rPr>
      </w:pPr>
      <w:r>
        <w:rPr>
          <w:rFonts w:hint="eastAsia" w:ascii="宋体" w:hAnsi="宋体" w:cs="宋体"/>
          <w:color w:val="auto"/>
          <w:sz w:val="24"/>
        </w:rPr>
        <w:t>34.3采购人保留以书面形式要求合同的卖方对其所投货物的装运方式、交货地点及服务细则等作适当调整的权利。</w:t>
      </w:r>
    </w:p>
    <w:p w14:paraId="5B6D6292">
      <w:pPr>
        <w:spacing w:line="360" w:lineRule="auto"/>
        <w:ind w:firstLine="549"/>
        <w:rPr>
          <w:rFonts w:hint="eastAsia" w:ascii="宋体" w:hAnsi="宋体" w:cs="宋体"/>
          <w:color w:val="auto"/>
          <w:sz w:val="24"/>
        </w:rPr>
      </w:pPr>
      <w:r>
        <w:rPr>
          <w:rFonts w:hint="eastAsia" w:ascii="宋体" w:hAnsi="宋体" w:cs="宋体"/>
          <w:b/>
          <w:color w:val="auto"/>
          <w:sz w:val="24"/>
        </w:rPr>
        <w:t>35.验收</w:t>
      </w:r>
    </w:p>
    <w:p w14:paraId="0E6B6D88">
      <w:pPr>
        <w:spacing w:line="360" w:lineRule="auto"/>
        <w:ind w:firstLine="549"/>
        <w:rPr>
          <w:rFonts w:hint="eastAsia" w:ascii="宋体" w:hAnsi="宋体" w:cs="宋体"/>
          <w:color w:val="auto"/>
          <w:sz w:val="24"/>
        </w:rPr>
      </w:pPr>
      <w:r>
        <w:rPr>
          <w:rFonts w:hint="eastAsia" w:ascii="宋体" w:hAnsi="宋体" w:cs="宋体"/>
          <w:color w:val="auto"/>
          <w:sz w:val="24"/>
        </w:rPr>
        <w:t>由采购人自行组织对供应商的履约验收。</w:t>
      </w:r>
    </w:p>
    <w:p w14:paraId="4A55C2DD">
      <w:pPr>
        <w:spacing w:line="360" w:lineRule="auto"/>
        <w:ind w:firstLine="549"/>
        <w:rPr>
          <w:rFonts w:hint="eastAsia" w:ascii="宋体" w:hAnsi="宋体" w:cs="宋体"/>
          <w:b/>
          <w:bCs/>
          <w:color w:val="auto"/>
          <w:sz w:val="24"/>
        </w:rPr>
      </w:pPr>
      <w:r>
        <w:rPr>
          <w:rFonts w:hint="eastAsia" w:ascii="宋体" w:hAnsi="宋体" w:cs="宋体"/>
          <w:b/>
          <w:bCs/>
          <w:color w:val="auto"/>
          <w:sz w:val="24"/>
        </w:rPr>
        <w:t>36</w:t>
      </w:r>
      <w:r>
        <w:rPr>
          <w:rFonts w:hint="eastAsia" w:ascii="宋体" w:hAnsi="宋体" w:cs="宋体"/>
          <w:b/>
          <w:color w:val="auto"/>
          <w:sz w:val="24"/>
        </w:rPr>
        <w:t>.</w:t>
      </w:r>
      <w:r>
        <w:rPr>
          <w:rFonts w:hint="eastAsia" w:ascii="宋体" w:hAnsi="宋体" w:cs="宋体"/>
          <w:b/>
          <w:bCs/>
          <w:color w:val="auto"/>
          <w:sz w:val="24"/>
        </w:rPr>
        <w:t>质疑</w:t>
      </w:r>
    </w:p>
    <w:p w14:paraId="57216490">
      <w:pPr>
        <w:spacing w:line="360" w:lineRule="auto"/>
        <w:ind w:firstLine="549"/>
        <w:rPr>
          <w:rFonts w:hint="eastAsia" w:ascii="宋体" w:hAnsi="宋体" w:cs="宋体"/>
          <w:bCs/>
          <w:color w:val="auto"/>
          <w:sz w:val="24"/>
        </w:rPr>
      </w:pPr>
      <w:r>
        <w:rPr>
          <w:rFonts w:hint="eastAsia" w:ascii="宋体" w:hAnsi="宋体" w:cs="宋体"/>
          <w:bCs/>
          <w:color w:val="auto"/>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371BBEB5">
      <w:pPr>
        <w:spacing w:line="360" w:lineRule="auto"/>
        <w:ind w:firstLine="549"/>
        <w:rPr>
          <w:rFonts w:hint="eastAsia" w:ascii="宋体" w:hAnsi="宋体" w:cs="宋体"/>
          <w:bCs/>
          <w:color w:val="auto"/>
          <w:sz w:val="24"/>
        </w:rPr>
      </w:pPr>
      <w:r>
        <w:rPr>
          <w:rFonts w:hint="eastAsia" w:ascii="宋体" w:hAnsi="宋体" w:cs="宋体"/>
          <w:bCs/>
          <w:color w:val="auto"/>
          <w:sz w:val="24"/>
        </w:rPr>
        <w:t>36.2质疑书内容应包括质疑的详细理由和依据，并提供有关证明资料。</w:t>
      </w:r>
    </w:p>
    <w:p w14:paraId="3E6FE9CA">
      <w:pPr>
        <w:spacing w:line="360" w:lineRule="auto"/>
        <w:ind w:firstLine="549"/>
        <w:rPr>
          <w:rFonts w:hint="eastAsia" w:ascii="宋体" w:hAnsi="宋体" w:cs="宋体"/>
          <w:bCs/>
          <w:color w:val="auto"/>
          <w:sz w:val="24"/>
        </w:rPr>
      </w:pPr>
      <w:r>
        <w:rPr>
          <w:rFonts w:hint="eastAsia" w:ascii="宋体" w:hAnsi="宋体" w:cs="宋体"/>
          <w:bCs/>
          <w:color w:val="auto"/>
          <w:sz w:val="24"/>
        </w:rPr>
        <w:t>36.3 有以下情形之一的，视为无效质疑：</w:t>
      </w:r>
    </w:p>
    <w:p w14:paraId="6668C186">
      <w:pPr>
        <w:spacing w:line="360" w:lineRule="auto"/>
        <w:ind w:firstLine="549"/>
        <w:rPr>
          <w:rFonts w:hint="eastAsia" w:ascii="宋体" w:hAnsi="宋体" w:cs="宋体"/>
          <w:bCs/>
          <w:color w:val="auto"/>
          <w:sz w:val="24"/>
        </w:rPr>
      </w:pPr>
      <w:r>
        <w:rPr>
          <w:rFonts w:hint="eastAsia" w:ascii="宋体" w:hAnsi="宋体" w:cs="宋体"/>
          <w:bCs/>
          <w:color w:val="auto"/>
          <w:sz w:val="24"/>
        </w:rPr>
        <w:t>36.3.1 未按规定时间或规定手续提交质疑的；</w:t>
      </w:r>
    </w:p>
    <w:p w14:paraId="5BD51509">
      <w:pPr>
        <w:spacing w:line="360" w:lineRule="auto"/>
        <w:ind w:firstLine="549"/>
        <w:rPr>
          <w:rFonts w:hint="eastAsia" w:ascii="宋体" w:hAnsi="宋体" w:cs="宋体"/>
          <w:bCs/>
          <w:color w:val="auto"/>
          <w:sz w:val="24"/>
        </w:rPr>
      </w:pPr>
      <w:r>
        <w:rPr>
          <w:rFonts w:hint="eastAsia" w:ascii="宋体" w:hAnsi="宋体" w:cs="宋体"/>
          <w:bCs/>
          <w:color w:val="auto"/>
          <w:sz w:val="24"/>
        </w:rPr>
        <w:t>36.3.2 质疑内容含糊不清、没有提供详细理由和依据，无法进行核查的；</w:t>
      </w:r>
    </w:p>
    <w:p w14:paraId="1894CE91">
      <w:pPr>
        <w:spacing w:line="360" w:lineRule="auto"/>
        <w:ind w:firstLine="549"/>
        <w:rPr>
          <w:rFonts w:hint="eastAsia" w:ascii="宋体" w:hAnsi="宋体" w:cs="宋体"/>
          <w:bCs/>
          <w:color w:val="auto"/>
          <w:sz w:val="24"/>
        </w:rPr>
      </w:pPr>
      <w:r>
        <w:rPr>
          <w:rFonts w:hint="eastAsia" w:ascii="宋体" w:hAnsi="宋体" w:cs="宋体"/>
          <w:bCs/>
          <w:color w:val="auto"/>
          <w:sz w:val="24"/>
        </w:rPr>
        <w:t>36.3.3 其他不符合质疑程序和有关规定的。</w:t>
      </w:r>
    </w:p>
    <w:p w14:paraId="1FC5516B">
      <w:pPr>
        <w:spacing w:line="360" w:lineRule="auto"/>
        <w:ind w:firstLine="549"/>
        <w:rPr>
          <w:rFonts w:hint="eastAsia" w:ascii="宋体" w:hAnsi="宋体" w:cs="宋体"/>
          <w:bCs/>
          <w:color w:val="auto"/>
          <w:sz w:val="24"/>
        </w:rPr>
      </w:pPr>
      <w:r>
        <w:rPr>
          <w:rFonts w:hint="eastAsia" w:ascii="宋体" w:hAnsi="宋体" w:cs="宋体"/>
          <w:bCs/>
          <w:color w:val="auto"/>
          <w:sz w:val="24"/>
        </w:rPr>
        <w:t>被判定无效质疑的，采购人将书面回复投标单位其质疑无效的理由，并记录无效质疑一次。</w:t>
      </w:r>
    </w:p>
    <w:p w14:paraId="6FD126F2">
      <w:pPr>
        <w:spacing w:line="360" w:lineRule="auto"/>
        <w:ind w:firstLine="549"/>
        <w:rPr>
          <w:rFonts w:hint="eastAsia" w:ascii="宋体" w:hAnsi="宋体" w:cs="宋体"/>
          <w:bCs/>
          <w:color w:val="auto"/>
          <w:sz w:val="24"/>
        </w:rPr>
      </w:pPr>
      <w:r>
        <w:rPr>
          <w:rFonts w:hint="eastAsia" w:ascii="宋体" w:hAnsi="宋体" w:cs="宋体"/>
          <w:bCs/>
          <w:color w:val="auto"/>
          <w:sz w:val="24"/>
        </w:rPr>
        <w:t>36.4</w:t>
      </w:r>
      <w:r>
        <w:rPr>
          <w:rFonts w:hint="eastAsia" w:ascii="宋体" w:hAnsi="宋体" w:cs="宋体"/>
          <w:color w:val="auto"/>
          <w:sz w:val="24"/>
        </w:rPr>
        <w:t>采购人</w:t>
      </w:r>
      <w:r>
        <w:rPr>
          <w:rFonts w:hint="eastAsia" w:ascii="宋体" w:hAnsi="宋体" w:cs="宋体"/>
          <w:bCs/>
          <w:color w:val="auto"/>
          <w:sz w:val="24"/>
        </w:rPr>
        <w:t>将在受到书面质疑后7个工作日内审查质疑事项，作出答复或相关处理决定，并以书面形式通知质疑人，但答复的内容不涉及商业秘密。</w:t>
      </w:r>
    </w:p>
    <w:p w14:paraId="45D01124">
      <w:pPr>
        <w:spacing w:line="360" w:lineRule="auto"/>
        <w:ind w:firstLine="549"/>
        <w:rPr>
          <w:rFonts w:hint="eastAsia" w:ascii="宋体" w:hAnsi="宋体" w:cs="宋体"/>
          <w:bCs/>
          <w:color w:val="auto"/>
          <w:sz w:val="24"/>
        </w:rPr>
      </w:pPr>
      <w:r>
        <w:rPr>
          <w:rFonts w:hint="eastAsia" w:ascii="宋体" w:hAnsi="宋体" w:cs="宋体"/>
          <w:color w:val="auto"/>
          <w:sz w:val="24"/>
        </w:rPr>
        <w:t>36.5</w:t>
      </w:r>
      <w:r>
        <w:rPr>
          <w:rFonts w:hint="eastAsia" w:ascii="宋体" w:hAnsi="宋体" w:cs="宋体"/>
          <w:bCs/>
          <w:color w:val="auto"/>
          <w:sz w:val="24"/>
        </w:rPr>
        <w:t>投诉人有下列情形之一的，属于虚假、恶意投诉，</w:t>
      </w:r>
      <w:r>
        <w:rPr>
          <w:rFonts w:hint="eastAsia" w:ascii="宋体" w:hAnsi="宋体" w:cs="宋体"/>
          <w:color w:val="auto"/>
          <w:sz w:val="24"/>
        </w:rPr>
        <w:t>政府采购监督管理部门</w:t>
      </w:r>
      <w:r>
        <w:rPr>
          <w:rFonts w:hint="eastAsia" w:ascii="宋体" w:hAnsi="宋体" w:cs="宋体"/>
          <w:bCs/>
          <w:color w:val="auto"/>
          <w:sz w:val="24"/>
        </w:rPr>
        <w:t>将驳回投诉，将其列入不良行为记录名单，并依法予以处罚：</w:t>
      </w:r>
    </w:p>
    <w:p w14:paraId="5A2E7C66">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36.5.1一年内三次以上投诉均查无实据的；</w:t>
      </w:r>
    </w:p>
    <w:p w14:paraId="44674B97">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36.5.2捏造事实、提供虚假投诉材料或提供以非法手段取得的证明材料质疑的；</w:t>
      </w:r>
    </w:p>
    <w:p w14:paraId="49CBC755">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36.5.3其他经认定属于虚假、恶意投诉的行为</w:t>
      </w:r>
      <w:r>
        <w:rPr>
          <w:rFonts w:hint="eastAsia" w:ascii="宋体" w:hAnsi="宋体" w:cs="宋体"/>
          <w:bCs/>
          <w:color w:val="auto"/>
          <w:sz w:val="24"/>
        </w:rPr>
        <w:t>。</w:t>
      </w:r>
    </w:p>
    <w:p w14:paraId="29AADBCD">
      <w:pPr>
        <w:spacing w:line="360" w:lineRule="auto"/>
        <w:ind w:firstLine="549"/>
        <w:rPr>
          <w:rFonts w:hint="eastAsia" w:ascii="宋体" w:hAnsi="宋体" w:cs="宋体"/>
          <w:b/>
          <w:color w:val="auto"/>
          <w:sz w:val="24"/>
        </w:rPr>
      </w:pPr>
      <w:r>
        <w:rPr>
          <w:rFonts w:hint="eastAsia" w:ascii="宋体" w:hAnsi="宋体" w:cs="宋体"/>
          <w:b/>
          <w:color w:val="auto"/>
          <w:sz w:val="24"/>
        </w:rPr>
        <w:t>37.未尽事宜</w:t>
      </w:r>
    </w:p>
    <w:p w14:paraId="1ABF0BBC">
      <w:pPr>
        <w:spacing w:line="360" w:lineRule="auto"/>
        <w:ind w:firstLine="549"/>
        <w:rPr>
          <w:rFonts w:hint="eastAsia" w:ascii="宋体" w:hAnsi="宋体" w:cs="宋体"/>
          <w:color w:val="auto"/>
          <w:sz w:val="24"/>
        </w:rPr>
      </w:pPr>
      <w:r>
        <w:rPr>
          <w:rFonts w:hint="eastAsia" w:ascii="宋体" w:hAnsi="宋体" w:cs="宋体"/>
          <w:color w:val="auto"/>
          <w:sz w:val="24"/>
        </w:rPr>
        <w:t>37.1按《中华人民共和国政府采购法》及其他有关法律法规的规定执行。</w:t>
      </w:r>
    </w:p>
    <w:p w14:paraId="2E31F0FB">
      <w:pPr>
        <w:spacing w:line="360" w:lineRule="auto"/>
        <w:ind w:firstLine="549"/>
        <w:rPr>
          <w:rFonts w:hint="eastAsia" w:ascii="宋体" w:hAnsi="宋体" w:cs="宋体"/>
          <w:bCs/>
          <w:color w:val="auto"/>
          <w:sz w:val="24"/>
        </w:rPr>
      </w:pPr>
      <w:r>
        <w:rPr>
          <w:rFonts w:hint="eastAsia" w:ascii="宋体" w:hAnsi="宋体" w:cs="宋体"/>
          <w:b/>
          <w:color w:val="auto"/>
          <w:sz w:val="24"/>
        </w:rPr>
        <w:t>38.解释权</w:t>
      </w:r>
    </w:p>
    <w:p w14:paraId="4CF6A42D">
      <w:pPr>
        <w:spacing w:line="360" w:lineRule="auto"/>
        <w:ind w:firstLine="549"/>
        <w:rPr>
          <w:rFonts w:hint="eastAsia" w:ascii="宋体" w:hAnsi="宋体" w:cs="宋体"/>
          <w:bCs/>
          <w:color w:val="auto"/>
          <w:sz w:val="24"/>
        </w:rPr>
      </w:pPr>
      <w:r>
        <w:rPr>
          <w:rFonts w:hint="eastAsia" w:ascii="宋体" w:hAnsi="宋体" w:cs="宋体"/>
          <w:bCs/>
          <w:color w:val="auto"/>
          <w:sz w:val="24"/>
        </w:rPr>
        <w:t>38.1本招标文件的解释权属于采购人。</w:t>
      </w:r>
    </w:p>
    <w:p w14:paraId="2D0527C4">
      <w:pPr>
        <w:spacing w:line="360" w:lineRule="auto"/>
        <w:rPr>
          <w:rFonts w:hint="eastAsia" w:ascii="宋体" w:hAnsi="宋体" w:cs="宋体"/>
          <w:bCs/>
          <w:color w:val="auto"/>
          <w:sz w:val="24"/>
        </w:rPr>
      </w:pPr>
    </w:p>
    <w:p w14:paraId="39D366BE">
      <w:pPr>
        <w:pStyle w:val="3"/>
        <w:spacing w:before="0" w:after="0" w:line="500" w:lineRule="exact"/>
        <w:ind w:firstLine="0"/>
        <w:rPr>
          <w:rFonts w:hint="eastAsia" w:ascii="方正小标宋简体" w:hAnsi="黑体" w:eastAsia="方正小标宋简体" w:cs="黑体"/>
          <w:b w:val="0"/>
          <w:color w:val="auto"/>
          <w:sz w:val="28"/>
          <w:szCs w:val="28"/>
        </w:rPr>
      </w:pPr>
      <w:bookmarkStart w:id="105" w:name="_Toc220232391"/>
      <w:bookmarkStart w:id="106" w:name="_Toc26087_WPSOffice_Level1"/>
      <w:r>
        <w:rPr>
          <w:rFonts w:ascii="宋体" w:hAnsi="宋体" w:eastAsia="宋体" w:cs="宋体"/>
          <w:color w:val="auto"/>
        </w:rPr>
        <w:br w:type="page"/>
      </w:r>
      <w:bookmarkStart w:id="107" w:name="_Toc40975448"/>
      <w:r>
        <w:rPr>
          <w:rFonts w:hint="eastAsia" w:ascii="宋体" w:hAnsi="宋体" w:eastAsia="宋体" w:cs="宋体"/>
          <w:color w:val="auto"/>
        </w:rPr>
        <w:t>第六章</w:t>
      </w:r>
      <w:bookmarkEnd w:id="105"/>
      <w:bookmarkStart w:id="108" w:name="_Toc220232392"/>
      <w:r>
        <w:rPr>
          <w:rFonts w:hint="eastAsia" w:ascii="宋体" w:hAnsi="宋体" w:eastAsia="宋体" w:cs="宋体"/>
          <w:color w:val="auto"/>
        </w:rPr>
        <w:t xml:space="preserve"> </w:t>
      </w:r>
      <w:bookmarkEnd w:id="106"/>
      <w:bookmarkEnd w:id="107"/>
      <w:bookmarkEnd w:id="108"/>
      <w:r>
        <w:rPr>
          <w:rFonts w:hint="eastAsia" w:ascii="方正小标宋简体" w:hAnsi="黑体" w:eastAsia="方正小标宋简体" w:cs="黑体"/>
          <w:b w:val="0"/>
          <w:color w:val="auto"/>
          <w:w w:val="92"/>
          <w:sz w:val="28"/>
          <w:szCs w:val="28"/>
        </w:rPr>
        <w:t>周口市</w:t>
      </w:r>
      <w:r>
        <w:rPr>
          <w:rFonts w:hint="eastAsia" w:ascii="方正小标宋简体" w:hAnsi="黑体" w:eastAsia="方正小标宋简体" w:cs="黑体"/>
          <w:b w:val="0"/>
          <w:color w:val="auto"/>
          <w:sz w:val="28"/>
          <w:szCs w:val="28"/>
        </w:rPr>
        <w:t>政府采购合同（货物类）标准文本</w:t>
      </w:r>
    </w:p>
    <w:p w14:paraId="7E194702">
      <w:pPr>
        <w:rPr>
          <w:rFonts w:hint="eastAsia" w:ascii="黑体" w:hAnsi="黑体" w:eastAsia="黑体" w:cs="黑体"/>
          <w:color w:val="auto"/>
          <w:sz w:val="28"/>
          <w:szCs w:val="28"/>
        </w:rPr>
      </w:pPr>
    </w:p>
    <w:p w14:paraId="2AC61C93">
      <w:pPr>
        <w:pStyle w:val="52"/>
        <w:spacing w:beforeLines="0" w:afterLines="0"/>
        <w:ind w:left="0"/>
        <w:rPr>
          <w:rFonts w:hint="eastAsia" w:ascii="黑体" w:hAnsi="黑体" w:eastAsia="黑体" w:cs="黑体"/>
          <w:color w:val="auto"/>
          <w:sz w:val="32"/>
          <w:szCs w:val="32"/>
        </w:rPr>
      </w:pPr>
    </w:p>
    <w:p w14:paraId="0D430F31">
      <w:pPr>
        <w:pStyle w:val="52"/>
        <w:spacing w:beforeLines="0" w:afterLines="0"/>
        <w:ind w:left="0"/>
        <w:rPr>
          <w:rFonts w:hint="eastAsia" w:ascii="黑体" w:hAnsi="黑体" w:eastAsia="黑体" w:cs="黑体"/>
          <w:color w:val="auto"/>
          <w:sz w:val="32"/>
          <w:szCs w:val="32"/>
        </w:rPr>
      </w:pPr>
    </w:p>
    <w:p w14:paraId="60AA91D5">
      <w:pPr>
        <w:pStyle w:val="52"/>
        <w:spacing w:beforeLines="0" w:afterLines="0"/>
        <w:ind w:left="0"/>
        <w:rPr>
          <w:rFonts w:hint="eastAsia" w:ascii="黑体" w:hAnsi="黑体" w:eastAsia="黑体" w:cs="黑体"/>
          <w:color w:val="auto"/>
          <w:sz w:val="30"/>
          <w:szCs w:val="30"/>
        </w:rPr>
      </w:pPr>
    </w:p>
    <w:p w14:paraId="0AA979B7">
      <w:pPr>
        <w:pStyle w:val="52"/>
        <w:spacing w:beforeLines="0" w:afterLines="0"/>
        <w:ind w:left="0"/>
        <w:rPr>
          <w:rFonts w:hint="eastAsia" w:ascii="黑体" w:hAnsi="黑体" w:eastAsia="黑体" w:cs="黑体"/>
          <w:color w:val="auto"/>
          <w:sz w:val="30"/>
          <w:szCs w:val="30"/>
        </w:rPr>
      </w:pPr>
    </w:p>
    <w:p w14:paraId="22AF1316">
      <w:pPr>
        <w:pStyle w:val="52"/>
        <w:spacing w:beforeLines="0" w:afterLines="0"/>
        <w:ind w:left="0"/>
        <w:rPr>
          <w:rFonts w:hint="eastAsia" w:ascii="黑体" w:hAnsi="黑体" w:eastAsia="黑体" w:cs="黑体"/>
          <w:color w:val="auto"/>
          <w:sz w:val="30"/>
          <w:szCs w:val="30"/>
        </w:rPr>
      </w:pPr>
    </w:p>
    <w:p w14:paraId="317BEFE9">
      <w:pPr>
        <w:pStyle w:val="52"/>
        <w:spacing w:beforeLines="0" w:afterLines="0"/>
        <w:ind w:left="0"/>
        <w:rPr>
          <w:rFonts w:hint="eastAsia" w:ascii="黑体" w:hAnsi="黑体" w:eastAsia="黑体" w:cs="黑体"/>
          <w:color w:val="auto"/>
          <w:sz w:val="30"/>
          <w:szCs w:val="30"/>
        </w:rPr>
      </w:pPr>
    </w:p>
    <w:p w14:paraId="7AAF8AF8">
      <w:pPr>
        <w:pStyle w:val="52"/>
        <w:spacing w:beforeLines="0" w:afterLines="0"/>
        <w:ind w:left="0"/>
        <w:rPr>
          <w:rFonts w:hint="eastAsia" w:ascii="黑体" w:hAnsi="黑体" w:eastAsia="黑体" w:cs="黑体"/>
          <w:color w:val="auto"/>
          <w:sz w:val="30"/>
          <w:szCs w:val="30"/>
        </w:rPr>
      </w:pPr>
    </w:p>
    <w:p w14:paraId="3B733751">
      <w:pPr>
        <w:pStyle w:val="52"/>
        <w:spacing w:beforeLines="0" w:afterLines="0"/>
        <w:ind w:left="0"/>
        <w:rPr>
          <w:rFonts w:hint="eastAsia" w:ascii="黑体" w:hAnsi="黑体" w:eastAsia="黑体" w:cs="黑体"/>
          <w:color w:val="auto"/>
          <w:sz w:val="30"/>
          <w:szCs w:val="30"/>
        </w:rPr>
      </w:pPr>
    </w:p>
    <w:p w14:paraId="4E1DF591">
      <w:pPr>
        <w:pStyle w:val="52"/>
        <w:spacing w:beforeLines="0" w:afterLines="0"/>
        <w:ind w:left="0"/>
        <w:rPr>
          <w:rFonts w:hint="eastAsia" w:ascii="黑体" w:hAnsi="黑体" w:eastAsia="黑体" w:cs="黑体"/>
          <w:color w:val="auto"/>
          <w:sz w:val="30"/>
          <w:szCs w:val="30"/>
        </w:rPr>
      </w:pPr>
      <w:r>
        <w:rPr>
          <w:rFonts w:hint="eastAsia" w:ascii="黑体" w:hAnsi="黑体" w:eastAsia="黑体" w:cs="黑体"/>
          <w:color w:val="auto"/>
          <w:sz w:val="30"/>
          <w:szCs w:val="30"/>
        </w:rPr>
        <w:t>政府采购项目名称：</w:t>
      </w:r>
    </w:p>
    <w:p w14:paraId="6E629F07">
      <w:pPr>
        <w:pStyle w:val="52"/>
        <w:spacing w:beforeLines="0" w:afterLines="0"/>
        <w:ind w:left="0"/>
        <w:rPr>
          <w:rFonts w:hint="eastAsia" w:ascii="黑体" w:hAnsi="黑体" w:eastAsia="黑体" w:cs="黑体"/>
          <w:color w:val="auto"/>
          <w:sz w:val="30"/>
          <w:szCs w:val="30"/>
        </w:rPr>
      </w:pPr>
      <w:r>
        <w:rPr>
          <w:rFonts w:hint="eastAsia" w:ascii="黑体" w:hAnsi="黑体" w:eastAsia="黑体" w:cs="黑体"/>
          <w:color w:val="auto"/>
          <w:sz w:val="30"/>
          <w:szCs w:val="30"/>
        </w:rPr>
        <w:t>政府采购项目编号：</w:t>
      </w:r>
    </w:p>
    <w:p w14:paraId="587BCA33">
      <w:pPr>
        <w:pStyle w:val="52"/>
        <w:spacing w:beforeLines="0" w:afterLines="0"/>
        <w:ind w:left="0"/>
        <w:rPr>
          <w:rFonts w:hint="eastAsia" w:ascii="黑体" w:hAnsi="黑体" w:eastAsia="黑体" w:cs="黑体"/>
          <w:color w:val="auto"/>
          <w:sz w:val="30"/>
          <w:szCs w:val="30"/>
        </w:rPr>
      </w:pPr>
      <w:r>
        <w:rPr>
          <w:rFonts w:hint="eastAsia" w:ascii="黑体" w:hAnsi="黑体" w:eastAsia="黑体" w:cs="黑体"/>
          <w:color w:val="auto"/>
          <w:sz w:val="30"/>
          <w:szCs w:val="30"/>
        </w:rPr>
        <w:t>采      购    人：</w:t>
      </w:r>
    </w:p>
    <w:p w14:paraId="2008EDB5">
      <w:pPr>
        <w:pStyle w:val="52"/>
        <w:spacing w:beforeLines="0" w:afterLines="0"/>
        <w:ind w:left="0"/>
        <w:rPr>
          <w:rFonts w:hint="eastAsia" w:ascii="黑体" w:hAnsi="黑体" w:eastAsia="黑体" w:cs="黑体"/>
          <w:color w:val="auto"/>
          <w:sz w:val="30"/>
          <w:szCs w:val="30"/>
        </w:rPr>
      </w:pPr>
      <w:r>
        <w:rPr>
          <w:rFonts w:hint="eastAsia" w:ascii="黑体" w:hAnsi="黑体" w:eastAsia="黑体" w:cs="黑体"/>
          <w:color w:val="auto"/>
          <w:sz w:val="30"/>
          <w:szCs w:val="30"/>
        </w:rPr>
        <w:t>供      应    商：</w:t>
      </w:r>
    </w:p>
    <w:p w14:paraId="1193F0CE">
      <w:pPr>
        <w:pStyle w:val="52"/>
        <w:spacing w:beforeLines="0" w:afterLines="0"/>
        <w:ind w:left="0"/>
        <w:rPr>
          <w:rFonts w:hint="eastAsia" w:ascii="黑体" w:hAnsi="黑体" w:eastAsia="黑体" w:cs="黑体"/>
          <w:color w:val="auto"/>
          <w:sz w:val="30"/>
          <w:szCs w:val="30"/>
        </w:rPr>
      </w:pPr>
      <w:r>
        <w:rPr>
          <w:rFonts w:hint="eastAsia" w:ascii="黑体" w:hAnsi="黑体" w:eastAsia="黑体" w:cs="黑体"/>
          <w:color w:val="auto"/>
          <w:sz w:val="30"/>
          <w:szCs w:val="30"/>
        </w:rPr>
        <w:t>合  同  签 订 地：</w:t>
      </w:r>
    </w:p>
    <w:p w14:paraId="7389BD37">
      <w:pPr>
        <w:pStyle w:val="52"/>
        <w:spacing w:beforeLines="0" w:afterLines="0"/>
        <w:ind w:left="0"/>
        <w:rPr>
          <w:rFonts w:hint="eastAsia" w:ascii="黑体" w:hAnsi="黑体" w:eastAsia="黑体" w:cs="黑体"/>
          <w:color w:val="auto"/>
          <w:sz w:val="30"/>
          <w:szCs w:val="30"/>
        </w:rPr>
      </w:pPr>
      <w:r>
        <w:rPr>
          <w:rFonts w:hint="eastAsia" w:ascii="黑体" w:hAnsi="黑体" w:eastAsia="黑体" w:cs="黑体"/>
          <w:color w:val="auto"/>
          <w:sz w:val="30"/>
          <w:szCs w:val="30"/>
        </w:rPr>
        <w:t>合 同 签订 时 间：</w:t>
      </w:r>
    </w:p>
    <w:p w14:paraId="062CD188">
      <w:pPr>
        <w:pStyle w:val="52"/>
        <w:spacing w:beforeLines="0" w:afterLines="0"/>
        <w:ind w:left="0"/>
        <w:rPr>
          <w:rFonts w:hint="eastAsia" w:ascii="黑体" w:hAnsi="黑体" w:eastAsia="黑体" w:cs="黑体"/>
          <w:color w:val="auto"/>
          <w:sz w:val="30"/>
          <w:szCs w:val="30"/>
        </w:rPr>
      </w:pPr>
    </w:p>
    <w:p w14:paraId="006F0D46">
      <w:pPr>
        <w:pStyle w:val="52"/>
        <w:spacing w:beforeLines="0" w:afterLines="0"/>
        <w:ind w:left="0"/>
        <w:rPr>
          <w:rFonts w:hint="eastAsia" w:ascii="黑体" w:hAnsi="黑体" w:eastAsia="黑体" w:cs="黑体"/>
          <w:color w:val="auto"/>
          <w:sz w:val="30"/>
          <w:szCs w:val="30"/>
        </w:rPr>
      </w:pPr>
    </w:p>
    <w:p w14:paraId="3F5CF91E">
      <w:pPr>
        <w:pStyle w:val="52"/>
        <w:spacing w:beforeLines="0" w:afterLines="0"/>
        <w:ind w:left="0"/>
        <w:rPr>
          <w:rFonts w:hint="eastAsia" w:ascii="黑体" w:hAnsi="黑体" w:eastAsia="黑体" w:cs="黑体"/>
          <w:color w:val="auto"/>
          <w:sz w:val="30"/>
          <w:szCs w:val="30"/>
        </w:rPr>
      </w:pPr>
    </w:p>
    <w:p w14:paraId="6CCDC0B3">
      <w:pPr>
        <w:pStyle w:val="52"/>
        <w:spacing w:beforeLines="0" w:afterLines="0"/>
        <w:ind w:left="0"/>
        <w:rPr>
          <w:rFonts w:hint="eastAsia" w:ascii="黑体" w:hAnsi="黑体" w:eastAsia="黑体" w:cs="黑体"/>
          <w:color w:val="auto"/>
          <w:sz w:val="30"/>
          <w:szCs w:val="30"/>
        </w:rPr>
      </w:pPr>
    </w:p>
    <w:p w14:paraId="2C667F4D">
      <w:pPr>
        <w:pStyle w:val="52"/>
        <w:spacing w:beforeLines="0" w:afterLines="0"/>
        <w:ind w:left="0"/>
        <w:rPr>
          <w:rFonts w:hint="eastAsia" w:ascii="黑体" w:hAnsi="黑体" w:eastAsia="黑体" w:cs="黑体"/>
          <w:color w:val="auto"/>
          <w:sz w:val="30"/>
          <w:szCs w:val="30"/>
        </w:rPr>
      </w:pPr>
    </w:p>
    <w:p w14:paraId="732E7294">
      <w:pPr>
        <w:pStyle w:val="52"/>
        <w:spacing w:beforeLines="0" w:afterLines="0"/>
        <w:ind w:left="0"/>
        <w:jc w:val="center"/>
        <w:rPr>
          <w:rFonts w:ascii="方正小标宋简体" w:eastAsia="方正小标宋简体"/>
          <w:color w:val="auto"/>
          <w:sz w:val="32"/>
          <w:szCs w:val="32"/>
        </w:rPr>
      </w:pPr>
    </w:p>
    <w:p w14:paraId="57EE8E27">
      <w:pPr>
        <w:pStyle w:val="52"/>
        <w:spacing w:beforeLines="0" w:afterLines="0" w:line="46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75D047B4">
      <w:pPr>
        <w:pStyle w:val="52"/>
        <w:spacing w:beforeLines="0" w:afterLines="0" w:line="460" w:lineRule="exact"/>
        <w:ind w:left="0" w:firstLine="420" w:firstLineChars="200"/>
        <w:rPr>
          <w:color w:val="auto"/>
          <w:szCs w:val="21"/>
        </w:rPr>
      </w:pPr>
    </w:p>
    <w:p w14:paraId="525BC6EA">
      <w:pPr>
        <w:pStyle w:val="52"/>
        <w:spacing w:beforeLines="0" w:afterLines="0" w:line="460" w:lineRule="exact"/>
        <w:ind w:left="0" w:firstLine="420" w:firstLineChars="200"/>
        <w:rPr>
          <w:color w:val="auto"/>
          <w:szCs w:val="21"/>
        </w:rPr>
      </w:pPr>
      <w:r>
        <w:rPr>
          <w:rFonts w:hint="eastAsia"/>
          <w:color w:val="auto"/>
          <w:szCs w:val="21"/>
        </w:rPr>
        <w:t>一、采购人在签订合同时应提供的资料：</w:t>
      </w:r>
    </w:p>
    <w:p w14:paraId="25EAE909">
      <w:pPr>
        <w:pStyle w:val="52"/>
        <w:spacing w:beforeLines="0" w:afterLines="0" w:line="460" w:lineRule="exact"/>
        <w:ind w:left="0" w:firstLine="420" w:firstLineChars="200"/>
        <w:rPr>
          <w:color w:val="auto"/>
          <w:szCs w:val="21"/>
        </w:rPr>
      </w:pPr>
      <w:r>
        <w:rPr>
          <w:rFonts w:hint="eastAsia"/>
          <w:color w:val="auto"/>
          <w:szCs w:val="21"/>
        </w:rPr>
        <w:t>1、该政府采购项目的招标采购文件（以网上发布内容为准）；</w:t>
      </w:r>
    </w:p>
    <w:p w14:paraId="3FFAB292">
      <w:pPr>
        <w:pStyle w:val="52"/>
        <w:spacing w:beforeLines="0" w:afterLines="0" w:line="460" w:lineRule="exact"/>
        <w:ind w:left="0" w:firstLine="420" w:firstLineChars="200"/>
        <w:rPr>
          <w:color w:val="auto"/>
          <w:szCs w:val="21"/>
        </w:rPr>
      </w:pPr>
      <w:r>
        <w:rPr>
          <w:rFonts w:hint="eastAsia"/>
          <w:color w:val="auto"/>
          <w:szCs w:val="21"/>
        </w:rPr>
        <w:t>2、该政府采购项目招标文件的澄清和修改内容（公告内容）；</w:t>
      </w:r>
    </w:p>
    <w:p w14:paraId="0FA15CA4">
      <w:pPr>
        <w:pStyle w:val="52"/>
        <w:spacing w:beforeLines="0" w:afterLines="0" w:line="460" w:lineRule="exact"/>
        <w:ind w:left="0" w:firstLine="420" w:firstLineChars="200"/>
        <w:rPr>
          <w:color w:val="auto"/>
          <w:szCs w:val="21"/>
        </w:rPr>
      </w:pPr>
      <w:r>
        <w:rPr>
          <w:rFonts w:hint="eastAsia"/>
          <w:color w:val="auto"/>
          <w:szCs w:val="21"/>
        </w:rPr>
        <w:t>3、该政府采购项目评审报告；</w:t>
      </w:r>
    </w:p>
    <w:p w14:paraId="3C6BABA3">
      <w:pPr>
        <w:pStyle w:val="52"/>
        <w:spacing w:beforeLines="0" w:afterLines="0" w:line="460" w:lineRule="exact"/>
        <w:ind w:left="0" w:firstLine="420" w:firstLineChars="200"/>
        <w:rPr>
          <w:color w:val="auto"/>
          <w:szCs w:val="21"/>
        </w:rPr>
      </w:pPr>
      <w:r>
        <w:rPr>
          <w:rFonts w:hint="eastAsia"/>
          <w:color w:val="auto"/>
          <w:szCs w:val="21"/>
        </w:rPr>
        <w:t>4、采购单位法人授权委托书（法人到场并签字的除外）；</w:t>
      </w:r>
    </w:p>
    <w:p w14:paraId="09A45E91">
      <w:pPr>
        <w:pStyle w:val="52"/>
        <w:spacing w:beforeLines="0" w:afterLines="0" w:line="460" w:lineRule="exact"/>
        <w:ind w:left="0" w:firstLine="420" w:firstLineChars="200"/>
        <w:rPr>
          <w:color w:val="auto"/>
          <w:szCs w:val="21"/>
        </w:rPr>
      </w:pPr>
      <w:r>
        <w:rPr>
          <w:rFonts w:hint="eastAsia"/>
          <w:color w:val="auto"/>
          <w:szCs w:val="21"/>
        </w:rPr>
        <w:t>5、采购单位被授权人身份证件（法人到场并签字的除外）；</w:t>
      </w:r>
    </w:p>
    <w:p w14:paraId="01CC85B2">
      <w:pPr>
        <w:pStyle w:val="52"/>
        <w:spacing w:beforeLines="0" w:afterLines="0" w:line="460" w:lineRule="exact"/>
        <w:ind w:left="0" w:firstLine="420" w:firstLineChars="200"/>
        <w:rPr>
          <w:color w:val="auto"/>
          <w:szCs w:val="21"/>
        </w:rPr>
      </w:pPr>
      <w:r>
        <w:rPr>
          <w:rFonts w:hint="eastAsia"/>
          <w:color w:val="auto"/>
          <w:szCs w:val="21"/>
        </w:rPr>
        <w:t>6、采购人和中标供应商约定的其它内容（不得超出招标采购文件实质性内容）。</w:t>
      </w:r>
    </w:p>
    <w:p w14:paraId="1E31A6CD">
      <w:pPr>
        <w:pStyle w:val="52"/>
        <w:spacing w:beforeLines="0" w:afterLines="0" w:line="460" w:lineRule="exact"/>
        <w:ind w:left="0" w:firstLine="420" w:firstLineChars="200"/>
        <w:rPr>
          <w:color w:val="auto"/>
          <w:szCs w:val="21"/>
        </w:rPr>
      </w:pPr>
      <w:r>
        <w:rPr>
          <w:rFonts w:hint="eastAsia"/>
          <w:color w:val="auto"/>
          <w:szCs w:val="21"/>
        </w:rPr>
        <w:t>二、供应商在签订合同时应提供的资料：</w:t>
      </w:r>
    </w:p>
    <w:p w14:paraId="71D8D599">
      <w:pPr>
        <w:pStyle w:val="52"/>
        <w:spacing w:beforeLines="0" w:afterLines="0" w:line="460" w:lineRule="exact"/>
        <w:ind w:left="0" w:firstLine="420" w:firstLineChars="200"/>
        <w:rPr>
          <w:color w:val="auto"/>
          <w:szCs w:val="21"/>
        </w:rPr>
      </w:pPr>
      <w:r>
        <w:rPr>
          <w:rFonts w:hint="eastAsia"/>
          <w:color w:val="auto"/>
          <w:szCs w:val="21"/>
        </w:rPr>
        <w:t>1、该政府采购项目的投标文件（纸质或DPF格式的电子投标文件）；</w:t>
      </w:r>
    </w:p>
    <w:p w14:paraId="2687383C">
      <w:pPr>
        <w:pStyle w:val="52"/>
        <w:spacing w:beforeLines="0" w:afterLines="0" w:line="460" w:lineRule="exact"/>
        <w:ind w:left="0" w:firstLine="420" w:firstLineChars="200"/>
        <w:rPr>
          <w:color w:val="auto"/>
          <w:szCs w:val="21"/>
        </w:rPr>
      </w:pPr>
      <w:r>
        <w:rPr>
          <w:rFonts w:hint="eastAsia"/>
          <w:color w:val="auto"/>
          <w:szCs w:val="21"/>
        </w:rPr>
        <w:t>2、针对该项目评审时评审委员会提出的质询答复（纸质并签章）；</w:t>
      </w:r>
    </w:p>
    <w:p w14:paraId="2C850DC5">
      <w:pPr>
        <w:pStyle w:val="52"/>
        <w:spacing w:beforeLines="0" w:afterLines="0" w:line="460" w:lineRule="exact"/>
        <w:ind w:left="0" w:firstLine="420" w:firstLineChars="200"/>
        <w:rPr>
          <w:color w:val="auto"/>
          <w:szCs w:val="21"/>
        </w:rPr>
      </w:pPr>
      <w:r>
        <w:rPr>
          <w:rFonts w:hint="eastAsia"/>
          <w:color w:val="auto"/>
          <w:szCs w:val="21"/>
        </w:rPr>
        <w:t>3、该政府采购项目中标通知书；</w:t>
      </w:r>
    </w:p>
    <w:p w14:paraId="076E0C59">
      <w:pPr>
        <w:pStyle w:val="52"/>
        <w:spacing w:beforeLines="0" w:afterLines="0" w:line="460" w:lineRule="exact"/>
        <w:ind w:left="0" w:firstLine="420" w:firstLineChars="200"/>
        <w:rPr>
          <w:color w:val="auto"/>
          <w:szCs w:val="21"/>
        </w:rPr>
      </w:pPr>
      <w:r>
        <w:rPr>
          <w:rFonts w:hint="eastAsia"/>
          <w:color w:val="auto"/>
          <w:szCs w:val="21"/>
        </w:rPr>
        <w:t>4、供应商法人授权委托书（法人到场并签字的除外）；</w:t>
      </w:r>
    </w:p>
    <w:p w14:paraId="23DC5447">
      <w:pPr>
        <w:pStyle w:val="52"/>
        <w:spacing w:beforeLines="0" w:afterLines="0" w:line="460" w:lineRule="exact"/>
        <w:ind w:left="0" w:firstLine="420" w:firstLineChars="200"/>
        <w:rPr>
          <w:color w:val="auto"/>
          <w:szCs w:val="21"/>
        </w:rPr>
      </w:pPr>
      <w:r>
        <w:rPr>
          <w:rFonts w:hint="eastAsia"/>
          <w:color w:val="auto"/>
          <w:szCs w:val="21"/>
        </w:rPr>
        <w:t>5、供应商被授权人身份证件（法人到场并签字的除外）；</w:t>
      </w:r>
    </w:p>
    <w:p w14:paraId="5699E622">
      <w:pPr>
        <w:pStyle w:val="52"/>
        <w:spacing w:beforeLines="0" w:afterLines="0" w:line="460" w:lineRule="exact"/>
        <w:ind w:left="0" w:firstLine="420" w:firstLineChars="200"/>
        <w:rPr>
          <w:color w:val="auto"/>
          <w:szCs w:val="21"/>
        </w:rPr>
      </w:pPr>
      <w:r>
        <w:rPr>
          <w:rFonts w:hint="eastAsia"/>
          <w:color w:val="auto"/>
          <w:szCs w:val="21"/>
        </w:rPr>
        <w:t>6、供应商和采购人约定的其它内容（不得超出招标采购文件实质性内容）。</w:t>
      </w:r>
    </w:p>
    <w:p w14:paraId="691E84FC">
      <w:pPr>
        <w:pStyle w:val="52"/>
        <w:spacing w:beforeLines="0" w:afterLines="0" w:line="46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14:paraId="52E0A132">
      <w:pPr>
        <w:pStyle w:val="52"/>
        <w:spacing w:beforeLines="0" w:afterLines="0" w:line="460" w:lineRule="exact"/>
        <w:ind w:left="0" w:firstLine="640" w:firstLineChars="200"/>
        <w:jc w:val="center"/>
        <w:rPr>
          <w:rFonts w:ascii="方正小标宋简体" w:eastAsia="方正小标宋简体"/>
          <w:bCs/>
          <w:color w:val="auto"/>
          <w:sz w:val="32"/>
          <w:szCs w:val="32"/>
        </w:rPr>
      </w:pPr>
    </w:p>
    <w:p w14:paraId="0E94D95A">
      <w:pPr>
        <w:pStyle w:val="52"/>
        <w:spacing w:beforeLines="0" w:afterLines="0" w:line="460" w:lineRule="exact"/>
        <w:ind w:left="0" w:firstLine="640" w:firstLineChars="200"/>
        <w:jc w:val="center"/>
        <w:rPr>
          <w:rFonts w:ascii="方正小标宋简体" w:eastAsia="方正小标宋简体"/>
          <w:color w:val="auto"/>
          <w:sz w:val="32"/>
          <w:szCs w:val="32"/>
        </w:rPr>
      </w:pPr>
      <w:r>
        <w:rPr>
          <w:rFonts w:hint="eastAsia" w:ascii="方正小标宋简体" w:eastAsia="方正小标宋简体"/>
          <w:bCs/>
          <w:color w:val="auto"/>
          <w:sz w:val="32"/>
          <w:szCs w:val="32"/>
        </w:rPr>
        <w:t>供应商履约验收指引</w:t>
      </w:r>
    </w:p>
    <w:p w14:paraId="7F631188">
      <w:pPr>
        <w:pStyle w:val="52"/>
        <w:numPr>
          <w:ilvl w:val="0"/>
          <w:numId w:val="6"/>
        </w:numPr>
        <w:spacing w:beforeLines="0" w:afterLines="0" w:line="460" w:lineRule="exact"/>
        <w:ind w:left="0" w:firstLine="420" w:firstLineChars="200"/>
        <w:rPr>
          <w:color w:val="auto"/>
          <w:szCs w:val="27"/>
        </w:rPr>
      </w:pPr>
      <w:r>
        <w:rPr>
          <w:rFonts w:hint="eastAsia" w:ascii="宋体"/>
          <w:color w:val="auto"/>
          <w:szCs w:val="21"/>
        </w:rPr>
        <w:t>供应商不得擅自变更合同标的物内容；</w:t>
      </w:r>
    </w:p>
    <w:p w14:paraId="16A48552">
      <w:pPr>
        <w:pStyle w:val="52"/>
        <w:spacing w:beforeLines="0" w:afterLines="0" w:line="460" w:lineRule="exact"/>
        <w:ind w:left="0" w:firstLine="420" w:firstLineChars="200"/>
        <w:rPr>
          <w:rFonts w:ascii="宋体"/>
          <w:color w:val="auto"/>
          <w:szCs w:val="21"/>
        </w:rPr>
      </w:pPr>
      <w:r>
        <w:rPr>
          <w:rFonts w:hint="eastAsia" w:ascii="宋体"/>
          <w:color w:val="auto"/>
          <w:szCs w:val="21"/>
        </w:rPr>
        <w:t>2、不得以次充好、高投低配，确因在合同执行中不可抗力因素造成的，应提供相关依据；</w:t>
      </w:r>
    </w:p>
    <w:p w14:paraId="409B5875">
      <w:pPr>
        <w:pStyle w:val="52"/>
        <w:spacing w:beforeLines="0" w:afterLines="0" w:line="46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14:paraId="229D46CA">
      <w:pPr>
        <w:pStyle w:val="52"/>
        <w:spacing w:beforeLines="0" w:afterLines="0" w:line="460" w:lineRule="exact"/>
        <w:ind w:left="0" w:firstLine="420" w:firstLineChars="200"/>
        <w:rPr>
          <w:color w:val="auto"/>
          <w:szCs w:val="21"/>
        </w:rPr>
      </w:pPr>
      <w:r>
        <w:rPr>
          <w:rFonts w:hint="eastAsia"/>
          <w:color w:val="auto"/>
          <w:szCs w:val="21"/>
        </w:rPr>
        <w:t>4、在满足验收条件5个工作日内通知采购人组织验收；</w:t>
      </w:r>
    </w:p>
    <w:p w14:paraId="06B17566">
      <w:pPr>
        <w:pStyle w:val="52"/>
        <w:spacing w:beforeLines="0" w:afterLines="0" w:line="46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供应商应提供需验收物品的清单、参数、使用手册、人员培训情况等资料；</w:t>
      </w:r>
    </w:p>
    <w:p w14:paraId="60F17E81">
      <w:pPr>
        <w:pStyle w:val="52"/>
        <w:spacing w:beforeLines="0" w:afterLines="0" w:line="46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14:paraId="2B8EFA66">
      <w:pPr>
        <w:pStyle w:val="52"/>
        <w:spacing w:beforeLines="0" w:afterLines="0" w:line="460" w:lineRule="exact"/>
        <w:ind w:left="0" w:firstLine="420" w:firstLineChars="200"/>
        <w:rPr>
          <w:color w:val="auto"/>
          <w:szCs w:val="27"/>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14:paraId="2728E53C">
      <w:pPr>
        <w:rPr>
          <w:rFonts w:hint="eastAsia" w:ascii="方正小标宋简体" w:hAnsi="宋体" w:eastAsia="方正小标宋简体"/>
          <w:color w:val="auto"/>
        </w:rPr>
      </w:pPr>
      <w:r>
        <w:rPr>
          <w:rFonts w:hint="eastAsia" w:ascii="方正小标宋简体" w:hAnsi="宋体" w:eastAsia="方正小标宋简体"/>
          <w:color w:val="auto"/>
        </w:rPr>
        <w:br w:type="page"/>
      </w:r>
    </w:p>
    <w:p w14:paraId="66EF01E4">
      <w:pPr>
        <w:pStyle w:val="3"/>
        <w:spacing w:before="0" w:after="0" w:line="520" w:lineRule="exact"/>
        <w:ind w:firstLine="0"/>
        <w:rPr>
          <w:rFonts w:hint="eastAsia" w:ascii="方正小标宋简体" w:hAnsi="宋体" w:eastAsia="方正小标宋简体"/>
          <w:b w:val="0"/>
          <w:color w:val="auto"/>
          <w:szCs w:val="36"/>
        </w:rPr>
      </w:pPr>
      <w:r>
        <w:rPr>
          <w:rFonts w:hint="eastAsia" w:ascii="方正小标宋简体" w:hAnsi="宋体" w:eastAsia="方正小标宋简体"/>
          <w:b w:val="0"/>
          <w:color w:val="auto"/>
        </w:rPr>
        <w:t>采购合同内容</w:t>
      </w:r>
    </w:p>
    <w:p w14:paraId="7A287286">
      <w:pPr>
        <w:spacing w:line="520" w:lineRule="exact"/>
        <w:ind w:firstLine="420" w:firstLineChars="200"/>
        <w:rPr>
          <w:color w:val="auto"/>
          <w:szCs w:val="27"/>
        </w:rPr>
      </w:pPr>
    </w:p>
    <w:p w14:paraId="7CBE71B1">
      <w:pPr>
        <w:spacing w:line="360" w:lineRule="auto"/>
        <w:ind w:firstLine="420" w:firstLineChars="200"/>
        <w:rPr>
          <w:color w:val="auto"/>
          <w:szCs w:val="27"/>
          <w:u w:val="single"/>
        </w:rPr>
      </w:pPr>
      <w:r>
        <w:rPr>
          <w:rFonts w:hint="eastAsia"/>
          <w:color w:val="auto"/>
          <w:szCs w:val="27"/>
        </w:rPr>
        <w:t>采购人</w:t>
      </w:r>
      <w:r>
        <w:rPr>
          <w:color w:val="auto"/>
          <w:szCs w:val="27"/>
        </w:rPr>
        <w:t>（甲方）：</w:t>
      </w:r>
      <w:r>
        <w:rPr>
          <w:rFonts w:hint="eastAsia"/>
          <w:color w:val="auto"/>
          <w:szCs w:val="27"/>
        </w:rPr>
        <w:t xml:space="preserve"> </w:t>
      </w:r>
    </w:p>
    <w:p w14:paraId="311C8C9C">
      <w:pPr>
        <w:spacing w:line="360" w:lineRule="auto"/>
        <w:ind w:firstLine="420" w:firstLineChars="200"/>
        <w:rPr>
          <w:color w:val="auto"/>
          <w:szCs w:val="27"/>
        </w:rPr>
      </w:pPr>
      <w:r>
        <w:rPr>
          <w:rFonts w:hint="eastAsia"/>
          <w:color w:val="auto"/>
          <w:szCs w:val="27"/>
        </w:rPr>
        <w:t>供应商</w:t>
      </w:r>
      <w:r>
        <w:rPr>
          <w:color w:val="auto"/>
          <w:szCs w:val="27"/>
        </w:rPr>
        <w:t>（乙方）</w:t>
      </w:r>
      <w:r>
        <w:rPr>
          <w:rFonts w:hint="eastAsia"/>
          <w:color w:val="auto"/>
          <w:szCs w:val="27"/>
        </w:rPr>
        <w:t>：</w:t>
      </w:r>
    </w:p>
    <w:p w14:paraId="2F4B1982">
      <w:pPr>
        <w:spacing w:line="360" w:lineRule="auto"/>
        <w:ind w:firstLine="420" w:firstLineChars="200"/>
        <w:rPr>
          <w:color w:val="auto"/>
          <w:szCs w:val="27"/>
          <w:u w:val="single"/>
        </w:rPr>
      </w:pPr>
      <w:r>
        <w:rPr>
          <w:rFonts w:hint="eastAsia"/>
          <w:color w:val="auto"/>
          <w:szCs w:val="27"/>
        </w:rPr>
        <w:t>签订地点：</w:t>
      </w:r>
    </w:p>
    <w:p w14:paraId="6F1E6C16">
      <w:pPr>
        <w:spacing w:line="360" w:lineRule="auto"/>
        <w:ind w:firstLine="420" w:firstLineChars="200"/>
        <w:rPr>
          <w:color w:val="auto"/>
          <w:szCs w:val="27"/>
          <w:u w:val="single"/>
        </w:rPr>
      </w:pPr>
      <w:r>
        <w:rPr>
          <w:rFonts w:hint="eastAsia"/>
          <w:color w:val="auto"/>
          <w:szCs w:val="27"/>
        </w:rPr>
        <w:t>项目名称：</w:t>
      </w:r>
    </w:p>
    <w:p w14:paraId="7D257C5A">
      <w:pPr>
        <w:spacing w:line="360" w:lineRule="auto"/>
        <w:ind w:firstLine="420" w:firstLineChars="200"/>
        <w:rPr>
          <w:color w:val="auto"/>
          <w:szCs w:val="27"/>
          <w:u w:val="single"/>
        </w:rPr>
      </w:pPr>
      <w:r>
        <w:rPr>
          <w:rFonts w:hint="eastAsia"/>
          <w:color w:val="auto"/>
          <w:szCs w:val="27"/>
        </w:rPr>
        <w:t>项目编号：</w:t>
      </w:r>
    </w:p>
    <w:p w14:paraId="22208C59">
      <w:pPr>
        <w:spacing w:line="360" w:lineRule="auto"/>
        <w:ind w:firstLine="420" w:firstLineChars="200"/>
        <w:rPr>
          <w:color w:val="auto"/>
        </w:rPr>
      </w:pPr>
      <w:r>
        <w:rPr>
          <w:rFonts w:hint="eastAsia"/>
          <w:color w:val="auto"/>
          <w:szCs w:val="27"/>
        </w:rPr>
        <w:t>财政委托号：</w:t>
      </w:r>
      <w:r>
        <w:rPr>
          <w:rFonts w:hint="eastAsia"/>
          <w:color w:val="auto"/>
          <w:szCs w:val="27"/>
          <w:u w:val="single"/>
        </w:rPr>
        <w:t xml:space="preserve">      </w:t>
      </w:r>
      <w:r>
        <w:rPr>
          <w:rFonts w:hint="eastAsia"/>
          <w:color w:val="auto"/>
          <w:szCs w:val="27"/>
        </w:rPr>
        <w:t>(财政资金项目必须填写)</w:t>
      </w:r>
    </w:p>
    <w:p w14:paraId="55B4EB5A">
      <w:pPr>
        <w:spacing w:line="360" w:lineRule="auto"/>
        <w:ind w:firstLine="420" w:firstLineChars="200"/>
        <w:rPr>
          <w:color w:val="auto"/>
        </w:rPr>
      </w:pPr>
      <w:r>
        <w:rPr>
          <w:rFonts w:hint="eastAsia"/>
          <w:color w:val="auto"/>
          <w:szCs w:val="27"/>
        </w:rPr>
        <w:t>本项目经批准采用</w:t>
      </w:r>
      <w:r>
        <w:rPr>
          <w:rFonts w:hint="eastAsia"/>
          <w:color w:val="auto"/>
          <w:szCs w:val="27"/>
          <w:u w:val="single"/>
        </w:rPr>
        <w:t xml:space="preserve">           </w:t>
      </w:r>
      <w:r>
        <w:rPr>
          <w:rFonts w:hint="eastAsia"/>
          <w:color w:val="auto"/>
          <w:szCs w:val="27"/>
        </w:rPr>
        <w:t>采购方式，经本项目评审委员会认真评审，决定将采购合同授予乙方。为进一步明确双方的责任，确保合同的顺利履行，</w:t>
      </w:r>
      <w:r>
        <w:rPr>
          <w:color w:val="auto"/>
          <w:szCs w:val="27"/>
        </w:rPr>
        <w:t>根据《中华人民共和</w:t>
      </w:r>
      <w:r>
        <w:rPr>
          <w:rFonts w:hint="eastAsia"/>
          <w:color w:val="auto"/>
          <w:szCs w:val="27"/>
        </w:rPr>
        <w:t>国采购法</w:t>
      </w:r>
      <w:r>
        <w:rPr>
          <w:color w:val="auto"/>
          <w:szCs w:val="27"/>
        </w:rPr>
        <w:t>法》</w:t>
      </w:r>
      <w:r>
        <w:rPr>
          <w:rFonts w:hint="eastAsia"/>
          <w:color w:val="auto"/>
          <w:szCs w:val="27"/>
        </w:rPr>
        <w:t>、</w:t>
      </w:r>
      <w:r>
        <w:rPr>
          <w:color w:val="auto"/>
          <w:szCs w:val="27"/>
        </w:rPr>
        <w:t>《中华人民共和国合同法》之规定，经甲乙双方充分协商，特订立</w:t>
      </w:r>
      <w:r>
        <w:rPr>
          <w:rFonts w:hint="eastAsia"/>
          <w:color w:val="auto"/>
          <w:szCs w:val="27"/>
        </w:rPr>
        <w:t>本</w:t>
      </w:r>
      <w:r>
        <w:rPr>
          <w:color w:val="auto"/>
          <w:szCs w:val="27"/>
        </w:rPr>
        <w:t>合同，以便共同遵守。</w:t>
      </w:r>
    </w:p>
    <w:p w14:paraId="18B5BE4E">
      <w:pPr>
        <w:spacing w:line="360" w:lineRule="auto"/>
        <w:ind w:firstLine="422" w:firstLineChars="200"/>
        <w:rPr>
          <w:color w:val="auto"/>
          <w:u w:val="single"/>
        </w:rPr>
      </w:pPr>
      <w:r>
        <w:rPr>
          <w:b/>
          <w:bCs/>
          <w:color w:val="auto"/>
          <w:szCs w:val="27"/>
        </w:rPr>
        <w:t>第一条</w:t>
      </w:r>
      <w:r>
        <w:rPr>
          <w:color w:val="auto"/>
          <w:szCs w:val="27"/>
        </w:rPr>
        <w:t> </w:t>
      </w:r>
      <w:r>
        <w:rPr>
          <w:rFonts w:hint="eastAsia"/>
          <w:color w:val="auto"/>
          <w:szCs w:val="27"/>
        </w:rPr>
        <w:t xml:space="preserve">  </w:t>
      </w:r>
      <w:r>
        <w:rPr>
          <w:color w:val="auto"/>
          <w:szCs w:val="27"/>
        </w:rPr>
        <w:t>产品的名称、品种、规格</w:t>
      </w:r>
      <w:r>
        <w:rPr>
          <w:rFonts w:hint="eastAsia"/>
          <w:color w:val="auto"/>
          <w:szCs w:val="27"/>
        </w:rPr>
        <w:t>、数量和价格：（若产品过多则见附表，如有附表则必须加盖印章）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F994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F526B50">
            <w:pPr>
              <w:spacing w:line="360" w:lineRule="auto"/>
              <w:ind w:firstLine="420" w:firstLineChars="200"/>
              <w:rPr>
                <w:color w:val="auto"/>
              </w:rPr>
            </w:pPr>
            <w:r>
              <w:rPr>
                <w:rFonts w:hint="eastAsia"/>
                <w:color w:val="auto"/>
              </w:rPr>
              <w:t>产品名称</w:t>
            </w:r>
          </w:p>
        </w:tc>
        <w:tc>
          <w:tcPr>
            <w:tcW w:w="1623" w:type="dxa"/>
          </w:tcPr>
          <w:p w14:paraId="67EB9FA5">
            <w:pPr>
              <w:spacing w:line="360" w:lineRule="auto"/>
              <w:ind w:firstLine="420" w:firstLineChars="200"/>
              <w:rPr>
                <w:color w:val="auto"/>
              </w:rPr>
            </w:pPr>
            <w:r>
              <w:rPr>
                <w:rFonts w:hint="eastAsia"/>
                <w:color w:val="auto"/>
              </w:rPr>
              <w:t>规格型号</w:t>
            </w:r>
          </w:p>
        </w:tc>
        <w:tc>
          <w:tcPr>
            <w:tcW w:w="902" w:type="dxa"/>
          </w:tcPr>
          <w:p w14:paraId="55587700">
            <w:pPr>
              <w:spacing w:line="360" w:lineRule="auto"/>
              <w:ind w:firstLine="420" w:firstLineChars="200"/>
              <w:rPr>
                <w:color w:val="auto"/>
              </w:rPr>
            </w:pPr>
            <w:r>
              <w:rPr>
                <w:rFonts w:hint="eastAsia"/>
                <w:color w:val="auto"/>
              </w:rPr>
              <w:t>单位</w:t>
            </w:r>
          </w:p>
        </w:tc>
        <w:tc>
          <w:tcPr>
            <w:tcW w:w="902" w:type="dxa"/>
          </w:tcPr>
          <w:p w14:paraId="3DDA10B8">
            <w:pPr>
              <w:spacing w:line="360" w:lineRule="auto"/>
              <w:ind w:firstLine="420" w:firstLineChars="200"/>
              <w:rPr>
                <w:color w:val="auto"/>
              </w:rPr>
            </w:pPr>
            <w:r>
              <w:rPr>
                <w:rFonts w:hint="eastAsia"/>
                <w:color w:val="auto"/>
              </w:rPr>
              <w:t>数量</w:t>
            </w:r>
          </w:p>
        </w:tc>
        <w:tc>
          <w:tcPr>
            <w:tcW w:w="1071" w:type="dxa"/>
          </w:tcPr>
          <w:p w14:paraId="71C034E3">
            <w:pPr>
              <w:spacing w:line="360" w:lineRule="auto"/>
              <w:ind w:firstLine="420" w:firstLineChars="200"/>
              <w:rPr>
                <w:color w:val="auto"/>
              </w:rPr>
            </w:pPr>
            <w:r>
              <w:rPr>
                <w:rFonts w:hint="eastAsia"/>
                <w:color w:val="auto"/>
              </w:rPr>
              <w:t>单价</w:t>
            </w:r>
          </w:p>
        </w:tc>
        <w:tc>
          <w:tcPr>
            <w:tcW w:w="1250" w:type="dxa"/>
          </w:tcPr>
          <w:p w14:paraId="75B9E4B1">
            <w:pPr>
              <w:spacing w:line="360" w:lineRule="auto"/>
              <w:ind w:firstLine="420" w:firstLineChars="200"/>
              <w:rPr>
                <w:color w:val="auto"/>
              </w:rPr>
            </w:pPr>
            <w:r>
              <w:rPr>
                <w:rFonts w:hint="eastAsia"/>
                <w:color w:val="auto"/>
              </w:rPr>
              <w:t>小计</w:t>
            </w:r>
          </w:p>
        </w:tc>
        <w:tc>
          <w:tcPr>
            <w:tcW w:w="1106" w:type="dxa"/>
          </w:tcPr>
          <w:p w14:paraId="778760CB">
            <w:pPr>
              <w:spacing w:line="360" w:lineRule="auto"/>
              <w:ind w:firstLine="420" w:firstLineChars="200"/>
              <w:rPr>
                <w:color w:val="auto"/>
              </w:rPr>
            </w:pPr>
            <w:r>
              <w:rPr>
                <w:rFonts w:hint="eastAsia"/>
                <w:color w:val="auto"/>
              </w:rPr>
              <w:t>备注</w:t>
            </w:r>
          </w:p>
        </w:tc>
      </w:tr>
      <w:tr w14:paraId="7C0F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4877EB">
            <w:pPr>
              <w:spacing w:line="360" w:lineRule="auto"/>
              <w:ind w:firstLine="420" w:firstLineChars="200"/>
              <w:rPr>
                <w:color w:val="auto"/>
              </w:rPr>
            </w:pPr>
          </w:p>
        </w:tc>
        <w:tc>
          <w:tcPr>
            <w:tcW w:w="1623" w:type="dxa"/>
          </w:tcPr>
          <w:p w14:paraId="122D62EB">
            <w:pPr>
              <w:spacing w:line="360" w:lineRule="auto"/>
              <w:ind w:firstLine="420" w:firstLineChars="200"/>
              <w:rPr>
                <w:color w:val="auto"/>
              </w:rPr>
            </w:pPr>
          </w:p>
        </w:tc>
        <w:tc>
          <w:tcPr>
            <w:tcW w:w="902" w:type="dxa"/>
          </w:tcPr>
          <w:p w14:paraId="72387E1A">
            <w:pPr>
              <w:spacing w:line="360" w:lineRule="auto"/>
              <w:ind w:firstLine="420" w:firstLineChars="200"/>
              <w:rPr>
                <w:color w:val="auto"/>
              </w:rPr>
            </w:pPr>
          </w:p>
        </w:tc>
        <w:tc>
          <w:tcPr>
            <w:tcW w:w="902" w:type="dxa"/>
          </w:tcPr>
          <w:p w14:paraId="7C4A9624">
            <w:pPr>
              <w:spacing w:line="360" w:lineRule="auto"/>
              <w:ind w:firstLine="420" w:firstLineChars="200"/>
              <w:rPr>
                <w:color w:val="auto"/>
              </w:rPr>
            </w:pPr>
          </w:p>
        </w:tc>
        <w:tc>
          <w:tcPr>
            <w:tcW w:w="1071" w:type="dxa"/>
          </w:tcPr>
          <w:p w14:paraId="546ED618">
            <w:pPr>
              <w:spacing w:line="360" w:lineRule="auto"/>
              <w:ind w:firstLine="420" w:firstLineChars="200"/>
              <w:rPr>
                <w:color w:val="auto"/>
              </w:rPr>
            </w:pPr>
          </w:p>
        </w:tc>
        <w:tc>
          <w:tcPr>
            <w:tcW w:w="1250" w:type="dxa"/>
          </w:tcPr>
          <w:p w14:paraId="3B1829AA">
            <w:pPr>
              <w:spacing w:line="360" w:lineRule="auto"/>
              <w:ind w:firstLine="420" w:firstLineChars="200"/>
              <w:rPr>
                <w:color w:val="auto"/>
              </w:rPr>
            </w:pPr>
          </w:p>
        </w:tc>
        <w:tc>
          <w:tcPr>
            <w:tcW w:w="1106" w:type="dxa"/>
          </w:tcPr>
          <w:p w14:paraId="29033B85">
            <w:pPr>
              <w:spacing w:line="360" w:lineRule="auto"/>
              <w:ind w:firstLine="420" w:firstLineChars="200"/>
              <w:rPr>
                <w:color w:val="auto"/>
              </w:rPr>
            </w:pPr>
          </w:p>
        </w:tc>
      </w:tr>
      <w:tr w14:paraId="5622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E0613BC">
            <w:pPr>
              <w:spacing w:line="360" w:lineRule="auto"/>
              <w:ind w:firstLine="420" w:firstLineChars="200"/>
              <w:rPr>
                <w:color w:val="auto"/>
              </w:rPr>
            </w:pPr>
          </w:p>
        </w:tc>
        <w:tc>
          <w:tcPr>
            <w:tcW w:w="1623" w:type="dxa"/>
          </w:tcPr>
          <w:p w14:paraId="7A30167E">
            <w:pPr>
              <w:spacing w:line="360" w:lineRule="auto"/>
              <w:ind w:firstLine="420" w:firstLineChars="200"/>
              <w:rPr>
                <w:color w:val="auto"/>
              </w:rPr>
            </w:pPr>
          </w:p>
        </w:tc>
        <w:tc>
          <w:tcPr>
            <w:tcW w:w="902" w:type="dxa"/>
          </w:tcPr>
          <w:p w14:paraId="21DBE213">
            <w:pPr>
              <w:spacing w:line="360" w:lineRule="auto"/>
              <w:ind w:firstLine="420" w:firstLineChars="200"/>
              <w:rPr>
                <w:color w:val="auto"/>
              </w:rPr>
            </w:pPr>
          </w:p>
        </w:tc>
        <w:tc>
          <w:tcPr>
            <w:tcW w:w="902" w:type="dxa"/>
          </w:tcPr>
          <w:p w14:paraId="0B7CC7F3">
            <w:pPr>
              <w:spacing w:line="360" w:lineRule="auto"/>
              <w:ind w:firstLine="420" w:firstLineChars="200"/>
              <w:rPr>
                <w:color w:val="auto"/>
              </w:rPr>
            </w:pPr>
          </w:p>
        </w:tc>
        <w:tc>
          <w:tcPr>
            <w:tcW w:w="1071" w:type="dxa"/>
          </w:tcPr>
          <w:p w14:paraId="4D0F6EF9">
            <w:pPr>
              <w:spacing w:line="360" w:lineRule="auto"/>
              <w:ind w:firstLine="420" w:firstLineChars="200"/>
              <w:rPr>
                <w:color w:val="auto"/>
              </w:rPr>
            </w:pPr>
          </w:p>
        </w:tc>
        <w:tc>
          <w:tcPr>
            <w:tcW w:w="1250" w:type="dxa"/>
          </w:tcPr>
          <w:p w14:paraId="64211B0D">
            <w:pPr>
              <w:spacing w:line="360" w:lineRule="auto"/>
              <w:ind w:firstLine="420" w:firstLineChars="200"/>
              <w:rPr>
                <w:color w:val="auto"/>
              </w:rPr>
            </w:pPr>
          </w:p>
        </w:tc>
        <w:tc>
          <w:tcPr>
            <w:tcW w:w="1106" w:type="dxa"/>
          </w:tcPr>
          <w:p w14:paraId="65179E55">
            <w:pPr>
              <w:spacing w:line="360" w:lineRule="auto"/>
              <w:ind w:firstLine="420" w:firstLineChars="200"/>
              <w:rPr>
                <w:color w:val="auto"/>
              </w:rPr>
            </w:pPr>
          </w:p>
        </w:tc>
      </w:tr>
      <w:tr w14:paraId="715D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3D44EE3">
            <w:pPr>
              <w:spacing w:line="360" w:lineRule="auto"/>
              <w:ind w:firstLine="420" w:firstLineChars="200"/>
              <w:rPr>
                <w:color w:val="auto"/>
              </w:rPr>
            </w:pPr>
          </w:p>
        </w:tc>
        <w:tc>
          <w:tcPr>
            <w:tcW w:w="1623" w:type="dxa"/>
          </w:tcPr>
          <w:p w14:paraId="32E35CEB">
            <w:pPr>
              <w:spacing w:line="360" w:lineRule="auto"/>
              <w:ind w:firstLine="420" w:firstLineChars="200"/>
              <w:rPr>
                <w:color w:val="auto"/>
              </w:rPr>
            </w:pPr>
          </w:p>
        </w:tc>
        <w:tc>
          <w:tcPr>
            <w:tcW w:w="902" w:type="dxa"/>
          </w:tcPr>
          <w:p w14:paraId="57705FFD">
            <w:pPr>
              <w:spacing w:line="360" w:lineRule="auto"/>
              <w:ind w:firstLine="420" w:firstLineChars="200"/>
              <w:rPr>
                <w:color w:val="auto"/>
              </w:rPr>
            </w:pPr>
          </w:p>
        </w:tc>
        <w:tc>
          <w:tcPr>
            <w:tcW w:w="902" w:type="dxa"/>
          </w:tcPr>
          <w:p w14:paraId="0D1F44BB">
            <w:pPr>
              <w:spacing w:line="360" w:lineRule="auto"/>
              <w:ind w:firstLine="420" w:firstLineChars="200"/>
              <w:rPr>
                <w:color w:val="auto"/>
              </w:rPr>
            </w:pPr>
          </w:p>
        </w:tc>
        <w:tc>
          <w:tcPr>
            <w:tcW w:w="1071" w:type="dxa"/>
          </w:tcPr>
          <w:p w14:paraId="039C68EB">
            <w:pPr>
              <w:spacing w:line="360" w:lineRule="auto"/>
              <w:ind w:firstLine="420" w:firstLineChars="200"/>
              <w:rPr>
                <w:color w:val="auto"/>
              </w:rPr>
            </w:pPr>
          </w:p>
        </w:tc>
        <w:tc>
          <w:tcPr>
            <w:tcW w:w="1250" w:type="dxa"/>
          </w:tcPr>
          <w:p w14:paraId="2271AE94">
            <w:pPr>
              <w:spacing w:line="360" w:lineRule="auto"/>
              <w:ind w:firstLine="420" w:firstLineChars="200"/>
              <w:rPr>
                <w:color w:val="auto"/>
              </w:rPr>
            </w:pPr>
          </w:p>
        </w:tc>
        <w:tc>
          <w:tcPr>
            <w:tcW w:w="1106" w:type="dxa"/>
          </w:tcPr>
          <w:p w14:paraId="7E4327DF">
            <w:pPr>
              <w:spacing w:line="360" w:lineRule="auto"/>
              <w:ind w:firstLine="420" w:firstLineChars="200"/>
              <w:rPr>
                <w:color w:val="auto"/>
              </w:rPr>
            </w:pPr>
          </w:p>
        </w:tc>
      </w:tr>
      <w:tr w14:paraId="49B1D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EFC6648">
            <w:pPr>
              <w:spacing w:line="360" w:lineRule="auto"/>
              <w:ind w:firstLine="420" w:firstLineChars="200"/>
              <w:rPr>
                <w:color w:val="auto"/>
              </w:rPr>
            </w:pPr>
            <w:r>
              <w:rPr>
                <w:rFonts w:hint="eastAsia"/>
                <w:color w:val="auto"/>
              </w:rPr>
              <w:t>合同总价款（大小写）：</w:t>
            </w:r>
          </w:p>
          <w:p w14:paraId="23ECACE7">
            <w:pPr>
              <w:spacing w:line="360" w:lineRule="auto"/>
              <w:ind w:firstLine="420" w:firstLineChars="200"/>
              <w:rPr>
                <w:color w:val="auto"/>
              </w:rPr>
            </w:pPr>
            <w:r>
              <w:rPr>
                <w:rFonts w:hint="eastAsia"/>
                <w:color w:val="auto"/>
                <w:szCs w:val="28"/>
              </w:rPr>
              <w:t>备注：上述产品报价含产品生产、运输&lt;送达至甲方指定地点并下货&gt;、安装、调试、检验及售后服务、税金、劳保基金、人员培训等费用。</w:t>
            </w:r>
          </w:p>
        </w:tc>
      </w:tr>
    </w:tbl>
    <w:p w14:paraId="47A27086">
      <w:pPr>
        <w:spacing w:line="360" w:lineRule="auto"/>
        <w:ind w:firstLine="422" w:firstLineChars="200"/>
        <w:rPr>
          <w:color w:val="auto"/>
        </w:rPr>
      </w:pPr>
      <w:r>
        <w:rPr>
          <w:rFonts w:hint="eastAsia"/>
          <w:b/>
          <w:bCs/>
          <w:color w:val="auto"/>
          <w:szCs w:val="27"/>
        </w:rPr>
        <w:t xml:space="preserve">第二条  </w:t>
      </w:r>
      <w:r>
        <w:rPr>
          <w:color w:val="auto"/>
          <w:szCs w:val="27"/>
        </w:rPr>
        <w:t>产品的技术标准（包括质量要求），按下列第（ ）项执行：</w:t>
      </w:r>
    </w:p>
    <w:p w14:paraId="3DC39FCB">
      <w:pPr>
        <w:spacing w:line="360" w:lineRule="auto"/>
        <w:ind w:firstLine="420" w:firstLineChars="200"/>
        <w:rPr>
          <w:color w:val="auto"/>
          <w:szCs w:val="27"/>
        </w:rPr>
      </w:pPr>
      <w:r>
        <w:rPr>
          <w:rFonts w:hint="eastAsia"/>
          <w:color w:val="auto"/>
          <w:szCs w:val="27"/>
        </w:rPr>
        <w:t>①</w:t>
      </w:r>
      <w:r>
        <w:rPr>
          <w:color w:val="auto"/>
          <w:szCs w:val="27"/>
        </w:rPr>
        <w:t>按国家标准执行；</w:t>
      </w:r>
      <w:r>
        <w:rPr>
          <w:rFonts w:hint="eastAsia"/>
          <w:color w:val="auto"/>
          <w:szCs w:val="27"/>
        </w:rPr>
        <w:t>②</w:t>
      </w:r>
      <w:r>
        <w:rPr>
          <w:color w:val="auto"/>
          <w:szCs w:val="27"/>
        </w:rPr>
        <w:t>按部颁标准执行；</w:t>
      </w:r>
      <w:r>
        <w:rPr>
          <w:rFonts w:hint="eastAsia"/>
          <w:color w:val="auto"/>
          <w:szCs w:val="27"/>
        </w:rPr>
        <w:t>③若无以上标准，则应不低于同行业质量标准；④</w:t>
      </w:r>
      <w:r>
        <w:rPr>
          <w:color w:val="auto"/>
          <w:szCs w:val="27"/>
        </w:rPr>
        <w:t>有特殊要求的，按甲乙双方在合同中商定的技术条件、样品或补充的技术要求执行</w:t>
      </w:r>
      <w:r>
        <w:rPr>
          <w:rFonts w:hint="eastAsia"/>
          <w:color w:val="auto"/>
          <w:szCs w:val="27"/>
        </w:rPr>
        <w:t>；</w:t>
      </w:r>
    </w:p>
    <w:p w14:paraId="14D603CB">
      <w:pPr>
        <w:spacing w:line="360" w:lineRule="auto"/>
        <w:ind w:firstLine="420"/>
        <w:rPr>
          <w:rFonts w:eastAsia="Times New Roman"/>
          <w:color w:val="auto"/>
        </w:rPr>
      </w:pPr>
      <w:r>
        <w:rPr>
          <w:rFonts w:ascii="宋体" w:hAnsi="宋体" w:cs="宋体"/>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715C3C70">
      <w:pPr>
        <w:spacing w:line="360" w:lineRule="auto"/>
        <w:ind w:firstLine="420" w:firstLineChars="200"/>
        <w:rPr>
          <w:color w:val="auto"/>
          <w:szCs w:val="27"/>
        </w:rPr>
      </w:pPr>
      <w:r>
        <w:rPr>
          <w:rFonts w:hint="eastAsia"/>
          <w:color w:val="auto"/>
          <w:szCs w:val="27"/>
        </w:rPr>
        <w:t>进口产品的质量标准为                                             。</w:t>
      </w:r>
    </w:p>
    <w:p w14:paraId="7A878FA4">
      <w:pPr>
        <w:spacing w:line="360" w:lineRule="auto"/>
        <w:ind w:firstLine="420" w:firstLineChars="200"/>
        <w:rPr>
          <w:color w:val="auto"/>
          <w:szCs w:val="27"/>
        </w:rPr>
      </w:pPr>
      <w:r>
        <w:rPr>
          <w:rFonts w:hint="eastAsia"/>
          <w:color w:val="auto"/>
          <w:szCs w:val="27"/>
        </w:rPr>
        <w:t>乙方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D9E89A1">
      <w:pPr>
        <w:pStyle w:val="17"/>
        <w:spacing w:line="360" w:lineRule="auto"/>
        <w:ind w:left="0" w:firstLine="482" w:firstLineChars="200"/>
        <w:rPr>
          <w:rFonts w:hint="eastAsia" w:ascii="宋体" w:hAnsi="宋体" w:eastAsia="宋体"/>
          <w:color w:val="auto"/>
          <w:sz w:val="24"/>
        </w:rPr>
      </w:pPr>
      <w:r>
        <w:rPr>
          <w:rFonts w:hint="eastAsia" w:ascii="宋体" w:hAnsi="宋体" w:eastAsia="宋体"/>
          <w:b/>
          <w:bCs/>
          <w:color w:val="auto"/>
          <w:sz w:val="24"/>
        </w:rPr>
        <w:t>第</w:t>
      </w:r>
      <w:r>
        <w:rPr>
          <w:rFonts w:ascii="宋体" w:hAnsi="宋体" w:eastAsia="宋体"/>
          <w:b/>
          <w:bCs/>
          <w:color w:val="auto"/>
          <w:sz w:val="24"/>
        </w:rPr>
        <w:t>三</w:t>
      </w:r>
      <w:r>
        <w:rPr>
          <w:rFonts w:hint="eastAsia" w:ascii="宋体" w:hAnsi="宋体" w:eastAsia="宋体"/>
          <w:b/>
          <w:bCs/>
          <w:color w:val="auto"/>
          <w:sz w:val="24"/>
        </w:rPr>
        <w:t>条</w:t>
      </w:r>
      <w:r>
        <w:rPr>
          <w:rFonts w:ascii="Times New Roman" w:hAnsi="Times New Roman" w:eastAsia="宋体"/>
          <w:color w:val="auto"/>
          <w:sz w:val="21"/>
          <w:szCs w:val="27"/>
        </w:rPr>
        <w:t>产品的包装标准和包装物的供应与回收       </w:t>
      </w:r>
      <w:r>
        <w:rPr>
          <w:rFonts w:hint="eastAsia" w:ascii="Times New Roman" w:hAnsi="Times New Roman" w:eastAsia="宋体"/>
          <w:color w:val="auto"/>
          <w:sz w:val="21"/>
          <w:szCs w:val="27"/>
        </w:rPr>
        <w:t xml:space="preserve">          。</w:t>
      </w:r>
    </w:p>
    <w:p w14:paraId="0612B37E">
      <w:pPr>
        <w:spacing w:line="360" w:lineRule="auto"/>
        <w:ind w:firstLine="420" w:firstLineChars="200"/>
        <w:rPr>
          <w:color w:val="auto"/>
          <w:szCs w:val="27"/>
        </w:rPr>
      </w:pPr>
      <w:r>
        <w:rPr>
          <w:color w:val="auto"/>
          <w:szCs w:val="27"/>
        </w:rPr>
        <w:t>（国家或</w:t>
      </w:r>
      <w:r>
        <w:rPr>
          <w:rFonts w:hint="eastAsia"/>
          <w:color w:val="auto"/>
          <w:szCs w:val="27"/>
        </w:rPr>
        <w:t>行业</w:t>
      </w:r>
      <w:r>
        <w:rPr>
          <w:color w:val="auto"/>
          <w:szCs w:val="27"/>
        </w:rPr>
        <w:t>主管部门有技术规定的，按技术规定执行；国家与</w:t>
      </w:r>
      <w:r>
        <w:rPr>
          <w:rFonts w:hint="eastAsia"/>
          <w:color w:val="auto"/>
          <w:szCs w:val="27"/>
        </w:rPr>
        <w:t>行业</w:t>
      </w:r>
      <w:r>
        <w:rPr>
          <w:color w:val="auto"/>
          <w:szCs w:val="27"/>
        </w:rPr>
        <w:t>主管部门无技术规定的，由甲乙双方商定。）</w:t>
      </w:r>
    </w:p>
    <w:p w14:paraId="167C9FA0">
      <w:pPr>
        <w:spacing w:line="360" w:lineRule="auto"/>
        <w:ind w:firstLine="422" w:firstLineChars="200"/>
        <w:rPr>
          <w:color w:val="auto"/>
          <w:szCs w:val="27"/>
        </w:rPr>
      </w:pPr>
      <w:r>
        <w:rPr>
          <w:rFonts w:hint="eastAsia"/>
          <w:b/>
          <w:bCs/>
          <w:color w:val="auto"/>
          <w:szCs w:val="27"/>
        </w:rPr>
        <w:t xml:space="preserve">第四条  </w:t>
      </w:r>
      <w:r>
        <w:rPr>
          <w:color w:val="auto"/>
          <w:szCs w:val="27"/>
        </w:rPr>
        <w:t>产品的交货方法、到货地点</w:t>
      </w:r>
      <w:r>
        <w:rPr>
          <w:rFonts w:hint="eastAsia"/>
          <w:color w:val="auto"/>
          <w:szCs w:val="27"/>
        </w:rPr>
        <w:t>和交货期限</w:t>
      </w:r>
    </w:p>
    <w:p w14:paraId="46046F1A">
      <w:pPr>
        <w:spacing w:line="360" w:lineRule="auto"/>
        <w:ind w:firstLine="420" w:firstLineChars="200"/>
        <w:rPr>
          <w:color w:val="auto"/>
        </w:rPr>
      </w:pPr>
      <w:r>
        <w:rPr>
          <w:rFonts w:hint="eastAsia"/>
          <w:color w:val="auto"/>
          <w:szCs w:val="27"/>
        </w:rPr>
        <w:t>1.</w:t>
      </w:r>
      <w:r>
        <w:rPr>
          <w:color w:val="auto"/>
          <w:szCs w:val="27"/>
        </w:rPr>
        <w:t>交货方法，按下列第（ ）项执行：</w:t>
      </w:r>
    </w:p>
    <w:p w14:paraId="33271834">
      <w:pPr>
        <w:spacing w:line="360" w:lineRule="auto"/>
        <w:ind w:firstLine="420" w:firstLineChars="200"/>
        <w:rPr>
          <w:color w:val="auto"/>
        </w:rPr>
      </w:pPr>
      <w:r>
        <w:rPr>
          <w:rFonts w:hint="eastAsia"/>
          <w:color w:val="auto"/>
          <w:szCs w:val="27"/>
        </w:rPr>
        <w:t>①</w:t>
      </w:r>
      <w:r>
        <w:rPr>
          <w:color w:val="auto"/>
          <w:szCs w:val="27"/>
        </w:rPr>
        <w:t>乙方送货</w:t>
      </w:r>
      <w:r>
        <w:rPr>
          <w:rFonts w:hint="eastAsia"/>
          <w:color w:val="auto"/>
          <w:szCs w:val="27"/>
        </w:rPr>
        <w:t>上门；②</w:t>
      </w:r>
      <w:r>
        <w:rPr>
          <w:color w:val="auto"/>
          <w:szCs w:val="27"/>
        </w:rPr>
        <w:t>乙方代运；</w:t>
      </w:r>
      <w:r>
        <w:rPr>
          <w:rFonts w:hint="eastAsia"/>
          <w:color w:val="auto"/>
          <w:szCs w:val="27"/>
        </w:rPr>
        <w:t>③</w:t>
      </w:r>
      <w:r>
        <w:rPr>
          <w:color w:val="auto"/>
          <w:szCs w:val="27"/>
        </w:rPr>
        <w:t>甲方自提自运。</w:t>
      </w:r>
    </w:p>
    <w:p w14:paraId="7DD861F9">
      <w:pPr>
        <w:spacing w:line="360" w:lineRule="auto"/>
        <w:ind w:firstLine="420" w:firstLineChars="200"/>
        <w:rPr>
          <w:color w:val="auto"/>
          <w:szCs w:val="27"/>
        </w:rPr>
      </w:pPr>
      <w:r>
        <w:rPr>
          <w:rFonts w:hint="eastAsia"/>
          <w:color w:val="auto"/>
          <w:szCs w:val="27"/>
        </w:rPr>
        <w:t>2.</w:t>
      </w:r>
      <w:r>
        <w:rPr>
          <w:color w:val="auto"/>
          <w:szCs w:val="27"/>
        </w:rPr>
        <w:t>到货地点</w:t>
      </w:r>
      <w:r>
        <w:rPr>
          <w:rFonts w:hint="eastAsia"/>
          <w:color w:val="auto"/>
          <w:szCs w:val="27"/>
        </w:rPr>
        <w:t>：</w:t>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u w:val="single"/>
        </w:rPr>
        <w:t xml:space="preserve">                 (</w:t>
      </w:r>
      <w:r>
        <w:rPr>
          <w:rFonts w:hint="eastAsia"/>
          <w:color w:val="auto"/>
          <w:szCs w:val="27"/>
        </w:rPr>
        <w:t>甲方指定的任何地点，安装并调试.)</w:t>
      </w:r>
    </w:p>
    <w:p w14:paraId="71337A8D">
      <w:pPr>
        <w:spacing w:line="360" w:lineRule="auto"/>
        <w:ind w:firstLine="420" w:firstLineChars="200"/>
        <w:rPr>
          <w:color w:val="auto"/>
          <w:szCs w:val="27"/>
        </w:rPr>
      </w:pPr>
      <w:r>
        <w:rPr>
          <w:rFonts w:hint="eastAsia"/>
          <w:color w:val="auto"/>
          <w:szCs w:val="27"/>
        </w:rPr>
        <w:t>3.</w:t>
      </w:r>
      <w:r>
        <w:rPr>
          <w:color w:val="auto"/>
          <w:szCs w:val="27"/>
        </w:rPr>
        <w:t>产品</w:t>
      </w:r>
      <w:r>
        <w:rPr>
          <w:rFonts w:hint="eastAsia"/>
          <w:color w:val="auto"/>
          <w:szCs w:val="27"/>
        </w:rPr>
        <w:t>的交货期限</w:t>
      </w:r>
      <w:r>
        <w:rPr>
          <w:color w:val="auto"/>
          <w:szCs w:val="27"/>
          <w:u w:val="single"/>
        </w:rPr>
        <w:t>                         </w:t>
      </w:r>
      <w:r>
        <w:rPr>
          <w:color w:val="auto"/>
          <w:szCs w:val="27"/>
        </w:rPr>
        <w:t>。</w:t>
      </w:r>
    </w:p>
    <w:p w14:paraId="5EF15F0B">
      <w:pPr>
        <w:spacing w:line="360" w:lineRule="auto"/>
        <w:ind w:firstLine="422" w:firstLineChars="200"/>
        <w:rPr>
          <w:color w:val="auto"/>
          <w:szCs w:val="27"/>
        </w:rPr>
      </w:pPr>
      <w:r>
        <w:rPr>
          <w:rFonts w:hint="eastAsia"/>
          <w:b/>
          <w:bCs/>
          <w:color w:val="auto"/>
          <w:szCs w:val="27"/>
        </w:rPr>
        <w:t>第五条</w:t>
      </w:r>
      <w:r>
        <w:rPr>
          <w:rFonts w:hint="eastAsia"/>
          <w:color w:val="auto"/>
          <w:szCs w:val="27"/>
        </w:rPr>
        <w:t xml:space="preserve">  合同总价款</w:t>
      </w:r>
    </w:p>
    <w:p w14:paraId="6CD81185">
      <w:pPr>
        <w:spacing w:line="360" w:lineRule="auto"/>
        <w:ind w:firstLine="420" w:firstLineChars="200"/>
        <w:rPr>
          <w:color w:val="auto"/>
          <w:szCs w:val="27"/>
          <w:u w:val="single"/>
        </w:rPr>
      </w:pPr>
      <w:r>
        <w:rPr>
          <w:rFonts w:hint="eastAsia"/>
          <w:color w:val="auto"/>
          <w:szCs w:val="27"/>
        </w:rPr>
        <w:t>合同总价款（大小写）：</w:t>
      </w:r>
      <w:r>
        <w:rPr>
          <w:rFonts w:hint="eastAsia"/>
          <w:color w:val="auto"/>
          <w:szCs w:val="27"/>
          <w:u w:val="single"/>
        </w:rPr>
        <w:t xml:space="preserve">                        </w:t>
      </w:r>
    </w:p>
    <w:p w14:paraId="38250411">
      <w:pPr>
        <w:numPr>
          <w:ilvl w:val="0"/>
          <w:numId w:val="7"/>
        </w:numPr>
        <w:spacing w:line="360" w:lineRule="auto"/>
        <w:ind w:left="0" w:firstLine="420" w:firstLineChars="200"/>
        <w:rPr>
          <w:color w:val="auto"/>
        </w:rPr>
      </w:pPr>
      <w:r>
        <w:rPr>
          <w:rFonts w:hint="eastAsia"/>
          <w:color w:val="auto"/>
        </w:rPr>
        <w:t xml:space="preserve">付款条件                  </w:t>
      </w:r>
    </w:p>
    <w:p w14:paraId="7F19D79D">
      <w:pPr>
        <w:spacing w:line="360" w:lineRule="auto"/>
        <w:ind w:firstLine="420" w:firstLineChars="200"/>
        <w:rPr>
          <w:color w:val="auto"/>
        </w:rPr>
      </w:pPr>
      <w:r>
        <w:rPr>
          <w:rFonts w:hint="eastAsia"/>
          <w:color w:val="auto"/>
        </w:rPr>
        <w:t>本合同以人民币付款。</w:t>
      </w:r>
    </w:p>
    <w:p w14:paraId="1D71A144">
      <w:pPr>
        <w:spacing w:line="360" w:lineRule="auto"/>
        <w:ind w:firstLine="420" w:firstLineChars="200"/>
        <w:rPr>
          <w:color w:val="auto"/>
        </w:rPr>
      </w:pPr>
      <w:r>
        <w:rPr>
          <w:rFonts w:hint="eastAsia"/>
          <w:color w:val="auto"/>
        </w:rPr>
        <w:t>合同签订后5个工作日内预付合同额的50%（人民币</w:t>
      </w:r>
      <w:r>
        <w:rPr>
          <w:rFonts w:hint="eastAsia"/>
          <w:color w:val="auto"/>
          <w:u w:val="single"/>
        </w:rPr>
        <w:t xml:space="preserve">           </w:t>
      </w:r>
      <w:r>
        <w:rPr>
          <w:rFonts w:hint="eastAsia"/>
          <w:color w:val="auto"/>
        </w:rPr>
        <w:t>元，大写：</w:t>
      </w:r>
      <w:r>
        <w:rPr>
          <w:rFonts w:hint="eastAsia"/>
          <w:color w:val="auto"/>
          <w:u w:val="single"/>
        </w:rPr>
        <w:t xml:space="preserve">          </w:t>
      </w:r>
      <w:r>
        <w:rPr>
          <w:rFonts w:hint="eastAsia"/>
          <w:color w:val="auto"/>
        </w:rPr>
        <w:t xml:space="preserve"> ），即合同生效，乙方开始进行生产备货；设备到达甲方指定交付地点后5个工作日内支付合同额的30%（人民币</w:t>
      </w:r>
      <w:r>
        <w:rPr>
          <w:rFonts w:hint="eastAsia"/>
          <w:color w:val="auto"/>
          <w:u w:val="single"/>
        </w:rPr>
        <w:t xml:space="preserve">              </w:t>
      </w:r>
      <w:r>
        <w:rPr>
          <w:rFonts w:hint="eastAsia"/>
          <w:color w:val="auto"/>
        </w:rPr>
        <w:t>元，大写：</w:t>
      </w:r>
      <w:r>
        <w:rPr>
          <w:rFonts w:hint="eastAsia"/>
          <w:color w:val="auto"/>
          <w:u w:val="single"/>
        </w:rPr>
        <w:t xml:space="preserve">               </w:t>
      </w:r>
      <w:r>
        <w:rPr>
          <w:rFonts w:hint="eastAsia"/>
          <w:color w:val="auto"/>
        </w:rPr>
        <w:t xml:space="preserve"> ）；设备安装调试经过初步验收合格后5个工作日内，甲方支付合同额的17%（人民币</w:t>
      </w:r>
      <w:r>
        <w:rPr>
          <w:rFonts w:hint="eastAsia"/>
          <w:color w:val="auto"/>
          <w:u w:val="single"/>
        </w:rPr>
        <w:t xml:space="preserve">         </w:t>
      </w:r>
      <w:r>
        <w:rPr>
          <w:rFonts w:hint="eastAsia"/>
          <w:color w:val="auto"/>
        </w:rPr>
        <w:t xml:space="preserve"> ，大写：</w:t>
      </w:r>
      <w:r>
        <w:rPr>
          <w:rFonts w:hint="eastAsia"/>
          <w:color w:val="auto"/>
          <w:u w:val="single"/>
        </w:rPr>
        <w:t xml:space="preserve">            </w:t>
      </w:r>
      <w:r>
        <w:rPr>
          <w:rFonts w:hint="eastAsia"/>
          <w:color w:val="auto"/>
        </w:rPr>
        <w:t>）；本设备质保期一年，一年质保期满结束，设备正常运行无质量问题10日内付清剩余合同额的3%（人民币</w:t>
      </w:r>
      <w:r>
        <w:rPr>
          <w:rFonts w:hint="eastAsia"/>
          <w:color w:val="auto"/>
          <w:u w:val="single"/>
        </w:rPr>
        <w:t xml:space="preserve">         </w:t>
      </w:r>
      <w:r>
        <w:rPr>
          <w:rFonts w:hint="eastAsia"/>
          <w:color w:val="auto"/>
        </w:rPr>
        <w:t xml:space="preserve"> ，大写：</w:t>
      </w:r>
      <w:r>
        <w:rPr>
          <w:rFonts w:hint="eastAsia"/>
          <w:color w:val="auto"/>
          <w:u w:val="single"/>
        </w:rPr>
        <w:t xml:space="preserve">            </w:t>
      </w:r>
      <w:r>
        <w:rPr>
          <w:rFonts w:hint="eastAsia"/>
          <w:color w:val="auto"/>
        </w:rPr>
        <w:t>）。</w:t>
      </w:r>
    </w:p>
    <w:p w14:paraId="2B4471AA">
      <w:pPr>
        <w:numPr>
          <w:ilvl w:val="0"/>
          <w:numId w:val="7"/>
        </w:numPr>
        <w:spacing w:line="360" w:lineRule="auto"/>
        <w:ind w:left="0" w:firstLine="420" w:firstLineChars="200"/>
        <w:rPr>
          <w:color w:val="auto"/>
          <w:szCs w:val="27"/>
        </w:rPr>
      </w:pPr>
      <w:r>
        <w:rPr>
          <w:color w:val="auto"/>
          <w:szCs w:val="27"/>
        </w:rPr>
        <w:t>验收方法</w:t>
      </w:r>
    </w:p>
    <w:p w14:paraId="7BC956EE">
      <w:pPr>
        <w:spacing w:line="360" w:lineRule="auto"/>
        <w:ind w:firstLine="420" w:firstLineChars="200"/>
        <w:rPr>
          <w:color w:val="auto"/>
        </w:rPr>
      </w:pPr>
      <w:r>
        <w:rPr>
          <w:rFonts w:hint="eastAsia"/>
          <w:color w:val="auto"/>
        </w:rPr>
        <w:t>1.乙方安装调试后，在      天内通知甲方组织验收，采购代理机构保留受托参与本项目验收的权利。验收不合格的，乙方应负责重新提供达到本合同约定的质量要求的产品。</w:t>
      </w:r>
    </w:p>
    <w:p w14:paraId="7618CFEF">
      <w:pPr>
        <w:spacing w:line="360" w:lineRule="auto"/>
        <w:ind w:firstLine="420" w:firstLineChars="200"/>
        <w:rPr>
          <w:color w:val="auto"/>
        </w:rPr>
      </w:pPr>
      <w:r>
        <w:rPr>
          <w:rFonts w:hint="eastAsia"/>
          <w:color w:val="auto"/>
        </w:rPr>
        <w:t>2.甲、乙双方应严格履行合同有关条款，如果验收过程中发现乙方在没有征得采购人同意的情况下擅自变更合同标的物，将拒绝通过验收，由此引起的一切后果及损失由乙方承担。</w:t>
      </w:r>
    </w:p>
    <w:p w14:paraId="30EDFE2F">
      <w:pPr>
        <w:spacing w:line="360" w:lineRule="auto"/>
        <w:ind w:firstLine="420" w:firstLineChars="200"/>
        <w:rPr>
          <w:color w:val="auto"/>
        </w:rPr>
      </w:pPr>
      <w:r>
        <w:rPr>
          <w:rFonts w:hint="eastAsia"/>
          <w:color w:va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53D1C61">
      <w:pPr>
        <w:spacing w:line="360" w:lineRule="auto"/>
        <w:ind w:firstLine="420" w:firstLineChars="200"/>
        <w:rPr>
          <w:color w:val="auto"/>
        </w:rPr>
      </w:pPr>
      <w:r>
        <w:rPr>
          <w:rFonts w:hint="eastAsia"/>
          <w:color w:val="auto"/>
        </w:rPr>
        <w:t>4、甲方视情况可以邀请参加本项目的其他投标人或者第三方机构参与验收，参与验收的投标人或者第三方机构的意见作为验收书的参考资料一并存档。</w:t>
      </w:r>
    </w:p>
    <w:p w14:paraId="04767DC6">
      <w:pPr>
        <w:spacing w:line="360" w:lineRule="auto"/>
        <w:ind w:firstLine="420" w:firstLineChars="200"/>
        <w:rPr>
          <w:color w:val="auto"/>
        </w:rPr>
      </w:pPr>
      <w:r>
        <w:rPr>
          <w:rFonts w:hint="eastAsia"/>
          <w:color w:val="auto"/>
        </w:rPr>
        <w:t xml:space="preserve">   涉及安全、消防、环保等其他需要由质检或行业主管部门进行验收的项目，必须邀请相关部门或相关专家参与验收。</w:t>
      </w:r>
    </w:p>
    <w:p w14:paraId="50C3C1D0">
      <w:pPr>
        <w:spacing w:line="360" w:lineRule="auto"/>
        <w:ind w:firstLine="420" w:firstLineChars="200"/>
        <w:rPr>
          <w:rFonts w:ascii="宋体"/>
          <w:b/>
          <w:bCs/>
          <w:color w:val="auto"/>
          <w:sz w:val="24"/>
          <w:u w:val="single"/>
        </w:rPr>
      </w:pPr>
      <w:r>
        <w:rPr>
          <w:rFonts w:hint="eastAsia"/>
          <w:color w:val="auto"/>
        </w:rPr>
        <w:t>检测、验收费用承担方式：</w:t>
      </w:r>
    </w:p>
    <w:p w14:paraId="00EF1AD7">
      <w:pPr>
        <w:spacing w:line="360" w:lineRule="auto"/>
        <w:ind w:firstLine="422" w:firstLineChars="200"/>
        <w:rPr>
          <w:color w:val="auto"/>
        </w:rPr>
      </w:pPr>
      <w:r>
        <w:rPr>
          <w:b/>
          <w:bCs/>
          <w:color w:val="auto"/>
          <w:szCs w:val="27"/>
        </w:rPr>
        <w:t>第八条 </w:t>
      </w:r>
      <w:r>
        <w:rPr>
          <w:color w:val="auto"/>
          <w:szCs w:val="27"/>
        </w:rPr>
        <w:t xml:space="preserve"> 对产品提出异议的时间和办法</w:t>
      </w:r>
    </w:p>
    <w:p w14:paraId="6FE54826">
      <w:pPr>
        <w:spacing w:line="360" w:lineRule="auto"/>
        <w:ind w:firstLine="420" w:firstLineChars="200"/>
        <w:rPr>
          <w:color w:val="auto"/>
        </w:rPr>
      </w:pPr>
      <w:r>
        <w:rPr>
          <w:rFonts w:hint="eastAsia"/>
          <w:color w:val="auto"/>
          <w:szCs w:val="27"/>
        </w:rPr>
        <w:t>1.</w:t>
      </w:r>
      <w:r>
        <w:rPr>
          <w:color w:val="auto"/>
          <w:szCs w:val="27"/>
        </w:rPr>
        <w:t>甲方在验收中，如果发现产品不</w:t>
      </w:r>
      <w:r>
        <w:rPr>
          <w:rFonts w:hint="eastAsia"/>
          <w:color w:val="auto"/>
          <w:szCs w:val="27"/>
        </w:rPr>
        <w:t>符合合同约定的</w:t>
      </w:r>
      <w:r>
        <w:rPr>
          <w:color w:val="auto"/>
          <w:szCs w:val="27"/>
        </w:rPr>
        <w:t>，应一面妥为保管，一面在</w:t>
      </w:r>
      <w:r>
        <w:rPr>
          <w:color w:val="auto"/>
          <w:szCs w:val="27"/>
          <w:u w:val="single"/>
        </w:rPr>
        <w:t xml:space="preserve">         </w:t>
      </w:r>
      <w:r>
        <w:rPr>
          <w:rFonts w:hint="eastAsia"/>
          <w:color w:val="auto"/>
          <w:szCs w:val="27"/>
        </w:rPr>
        <w:t>工作日</w:t>
      </w:r>
      <w:r>
        <w:rPr>
          <w:color w:val="auto"/>
          <w:szCs w:val="27"/>
        </w:rPr>
        <w:t>内向乙方</w:t>
      </w:r>
      <w:r>
        <w:rPr>
          <w:rFonts w:hint="eastAsia"/>
          <w:color w:val="auto"/>
          <w:szCs w:val="27"/>
        </w:rPr>
        <w:t>书面</w:t>
      </w:r>
      <w:r>
        <w:rPr>
          <w:color w:val="auto"/>
          <w:szCs w:val="27"/>
        </w:rPr>
        <w:t>提出异议</w:t>
      </w:r>
      <w:r>
        <w:rPr>
          <w:rFonts w:hint="eastAsia"/>
          <w:color w:val="auto"/>
          <w:szCs w:val="27"/>
        </w:rPr>
        <w:t>，并抄送采购代理机构，具体说明产品</w:t>
      </w:r>
      <w:r>
        <w:rPr>
          <w:color w:val="auto"/>
          <w:szCs w:val="27"/>
        </w:rPr>
        <w:t>不符合规定的</w:t>
      </w:r>
      <w:r>
        <w:rPr>
          <w:rFonts w:hint="eastAsia"/>
          <w:color w:val="auto"/>
          <w:szCs w:val="27"/>
        </w:rPr>
        <w:t>内容并附相关验收材料，同时</w:t>
      </w:r>
      <w:r>
        <w:rPr>
          <w:color w:val="auto"/>
          <w:szCs w:val="27"/>
        </w:rPr>
        <w:t>提出不符合规定产品的处理意见。</w:t>
      </w:r>
    </w:p>
    <w:p w14:paraId="4A0DD3CA">
      <w:pPr>
        <w:spacing w:line="360" w:lineRule="auto"/>
        <w:ind w:firstLine="420" w:firstLineChars="200"/>
        <w:rPr>
          <w:color w:val="auto"/>
        </w:rPr>
      </w:pPr>
      <w:r>
        <w:rPr>
          <w:rFonts w:hint="eastAsia"/>
          <w:color w:val="auto"/>
          <w:szCs w:val="27"/>
        </w:rPr>
        <w:t>2.</w:t>
      </w:r>
      <w:r>
        <w:rPr>
          <w:color w:val="auto"/>
          <w:szCs w:val="27"/>
        </w:rPr>
        <w:t>甲方因使用、保管、保养不善等造成产品质量下降的，不得提出异议。</w:t>
      </w:r>
    </w:p>
    <w:p w14:paraId="0F82C6AD">
      <w:pPr>
        <w:spacing w:line="360" w:lineRule="auto"/>
        <w:ind w:firstLine="420" w:firstLineChars="200"/>
        <w:rPr>
          <w:color w:val="auto"/>
        </w:rPr>
      </w:pPr>
      <w:r>
        <w:rPr>
          <w:rFonts w:hint="eastAsia"/>
          <w:color w:val="auto"/>
          <w:szCs w:val="27"/>
        </w:rPr>
        <w:t>3.</w:t>
      </w:r>
      <w:r>
        <w:rPr>
          <w:color w:val="auto"/>
          <w:szCs w:val="27"/>
        </w:rPr>
        <w:t>乙方在接到</w:t>
      </w:r>
      <w:r>
        <w:rPr>
          <w:rFonts w:hint="eastAsia"/>
          <w:color w:val="auto"/>
          <w:szCs w:val="27"/>
        </w:rPr>
        <w:t>甲</w:t>
      </w:r>
      <w:r>
        <w:rPr>
          <w:color w:val="auto"/>
          <w:szCs w:val="27"/>
        </w:rPr>
        <w:t>方异议后，应在</w:t>
      </w:r>
      <w:r>
        <w:rPr>
          <w:rFonts w:hint="eastAsia"/>
          <w:color w:val="auto"/>
          <w:szCs w:val="27"/>
        </w:rPr>
        <w:t xml:space="preserve"> </w:t>
      </w:r>
      <w:r>
        <w:rPr>
          <w:color w:val="auto"/>
          <w:szCs w:val="27"/>
          <w:u w:val="single"/>
        </w:rPr>
        <w:t xml:space="preserve">       </w:t>
      </w:r>
      <w:r>
        <w:rPr>
          <w:rFonts w:hint="eastAsia"/>
          <w:color w:val="auto"/>
          <w:szCs w:val="27"/>
        </w:rPr>
        <w:t xml:space="preserve"> 工作日</w:t>
      </w:r>
      <w:r>
        <w:rPr>
          <w:color w:val="auto"/>
          <w:szCs w:val="27"/>
        </w:rPr>
        <w:t>内负责处理，否则，即视为默认甲方提出的异议和处理意见。</w:t>
      </w:r>
    </w:p>
    <w:p w14:paraId="270C899B">
      <w:pPr>
        <w:spacing w:line="360" w:lineRule="auto"/>
        <w:ind w:firstLine="422" w:firstLineChars="200"/>
        <w:rPr>
          <w:color w:val="auto"/>
          <w:szCs w:val="27"/>
        </w:rPr>
      </w:pPr>
      <w:r>
        <w:rPr>
          <w:rFonts w:hint="eastAsia"/>
          <w:b/>
          <w:bCs/>
          <w:color w:val="auto"/>
          <w:szCs w:val="27"/>
        </w:rPr>
        <w:t>第九条</w:t>
      </w:r>
      <w:r>
        <w:rPr>
          <w:rFonts w:hint="eastAsia"/>
          <w:color w:val="auto"/>
          <w:szCs w:val="27"/>
        </w:rPr>
        <w:t xml:space="preserve">  乙方应提供完善周到的技术支持和售后服务，否则甲方视情节轻重从乙方的质量保证金中扣除部分或全部补偿甲方。</w:t>
      </w:r>
    </w:p>
    <w:p w14:paraId="2707BFF9">
      <w:pPr>
        <w:spacing w:line="360" w:lineRule="auto"/>
        <w:ind w:firstLine="420" w:firstLineChars="200"/>
        <w:rPr>
          <w:color w:val="auto"/>
          <w:szCs w:val="27"/>
        </w:rPr>
      </w:pPr>
      <w:r>
        <w:rPr>
          <w:rFonts w:hint="eastAsia"/>
          <w:color w:val="auto"/>
          <w:szCs w:val="27"/>
        </w:rPr>
        <w:t>1.保修</w:t>
      </w:r>
    </w:p>
    <w:p w14:paraId="6F5C83ED">
      <w:pPr>
        <w:spacing w:line="360" w:lineRule="auto"/>
        <w:ind w:firstLine="420" w:firstLineChars="200"/>
        <w:rPr>
          <w:color w:val="auto"/>
          <w:szCs w:val="27"/>
        </w:rPr>
      </w:pPr>
      <w:r>
        <w:rPr>
          <w:rFonts w:hint="eastAsia"/>
          <w:color w:val="auto"/>
          <w:szCs w:val="27"/>
        </w:rPr>
        <w:t>乙方对其所提供的货物免费保修</w:t>
      </w:r>
      <w:r>
        <w:rPr>
          <w:rFonts w:hint="eastAsia"/>
          <w:color w:val="auto"/>
          <w:szCs w:val="27"/>
          <w:u w:val="single"/>
        </w:rPr>
        <w:t xml:space="preserve">      </w:t>
      </w:r>
      <w:r>
        <w:rPr>
          <w:rFonts w:hint="eastAsia"/>
          <w:color w:val="auto"/>
          <w:szCs w:val="27"/>
        </w:rPr>
        <w:t>年，保修期从</w:t>
      </w:r>
      <w:r>
        <w:rPr>
          <w:rFonts w:hint="eastAsia"/>
          <w:color w:val="auto"/>
          <w:szCs w:val="27"/>
          <w:u w:val="single"/>
        </w:rPr>
        <w:t xml:space="preserve">             </w:t>
      </w:r>
      <w:r>
        <w:rPr>
          <w:rFonts w:hint="eastAsia"/>
          <w:color w:val="auto"/>
          <w:szCs w:val="27"/>
        </w:rPr>
        <w:t>开始。乙方应在接到报修通知后</w:t>
      </w:r>
      <w:r>
        <w:rPr>
          <w:rFonts w:hint="eastAsia"/>
          <w:color w:val="auto"/>
          <w:szCs w:val="27"/>
          <w:u w:val="single"/>
        </w:rPr>
        <w:t xml:space="preserve">      </w:t>
      </w:r>
      <w:r>
        <w:rPr>
          <w:rFonts w:hint="eastAsia"/>
          <w:color w:val="auto"/>
          <w:szCs w:val="27"/>
        </w:rPr>
        <w:t>天内上门维修，负责更换有瑕疵的货物、部件或提供相应的质量保证期内的服务。由此造成的损失，甲方保留索赔的权利。</w:t>
      </w:r>
    </w:p>
    <w:p w14:paraId="4B3E1E72">
      <w:pPr>
        <w:spacing w:line="360" w:lineRule="auto"/>
        <w:ind w:firstLine="420" w:firstLineChars="200"/>
        <w:rPr>
          <w:color w:val="auto"/>
          <w:szCs w:val="27"/>
        </w:rPr>
      </w:pPr>
      <w:r>
        <w:rPr>
          <w:rFonts w:hint="eastAsia"/>
          <w:color w:val="auto"/>
          <w:szCs w:val="27"/>
        </w:rPr>
        <w:t>如果乙方在收到报修通知后</w:t>
      </w:r>
      <w:r>
        <w:rPr>
          <w:rFonts w:hint="eastAsia"/>
          <w:color w:val="auto"/>
          <w:szCs w:val="27"/>
          <w:u w:val="single"/>
        </w:rPr>
        <w:t xml:space="preserve">      </w:t>
      </w:r>
      <w:r>
        <w:rPr>
          <w:rFonts w:hint="eastAsia"/>
          <w:color w:val="auto"/>
          <w:szCs w:val="27"/>
        </w:rPr>
        <w:t>天内没有弥补缺陷，甲方可采取必要的补救措施，但费用和风险由乙方承担。</w:t>
      </w:r>
    </w:p>
    <w:p w14:paraId="2922E54A">
      <w:pPr>
        <w:spacing w:line="360" w:lineRule="auto"/>
        <w:ind w:firstLine="420" w:firstLineChars="200"/>
        <w:rPr>
          <w:color w:val="auto"/>
          <w:szCs w:val="27"/>
        </w:rPr>
      </w:pPr>
      <w:r>
        <w:rPr>
          <w:rFonts w:hint="eastAsia"/>
          <w:color w:val="auto"/>
          <w:szCs w:val="27"/>
        </w:rPr>
        <w:t>2.维修</w:t>
      </w:r>
    </w:p>
    <w:p w14:paraId="3AC3149C">
      <w:pPr>
        <w:spacing w:line="360" w:lineRule="auto"/>
        <w:ind w:firstLine="420" w:firstLineChars="200"/>
        <w:rPr>
          <w:color w:val="auto"/>
          <w:szCs w:val="27"/>
        </w:rPr>
      </w:pPr>
      <w:r>
        <w:rPr>
          <w:rFonts w:hint="eastAsia"/>
          <w:color w:val="auto"/>
          <w:szCs w:val="27"/>
        </w:rPr>
        <w:t>保修期届满后，乙方应对其提供的货物负有维修义务，但所涉及的费用由甲方承担。</w:t>
      </w:r>
    </w:p>
    <w:p w14:paraId="68FA7E82">
      <w:pPr>
        <w:spacing w:line="360" w:lineRule="auto"/>
        <w:ind w:firstLine="422" w:firstLineChars="200"/>
        <w:rPr>
          <w:color w:val="auto"/>
        </w:rPr>
      </w:pPr>
      <w:r>
        <w:rPr>
          <w:b/>
          <w:bCs/>
          <w:color w:val="auto"/>
          <w:szCs w:val="27"/>
        </w:rPr>
        <w:t>第</w:t>
      </w:r>
      <w:r>
        <w:rPr>
          <w:rFonts w:hint="eastAsia"/>
          <w:b/>
          <w:bCs/>
          <w:color w:val="auto"/>
          <w:szCs w:val="27"/>
        </w:rPr>
        <w:t>十</w:t>
      </w:r>
      <w:r>
        <w:rPr>
          <w:b/>
          <w:bCs/>
          <w:color w:val="auto"/>
          <w:szCs w:val="27"/>
        </w:rPr>
        <w:t>条</w:t>
      </w:r>
      <w:r>
        <w:rPr>
          <w:color w:val="auto"/>
          <w:szCs w:val="27"/>
        </w:rPr>
        <w:t>  乙方的违约责任</w:t>
      </w:r>
    </w:p>
    <w:p w14:paraId="6CD43942">
      <w:pPr>
        <w:spacing w:line="360" w:lineRule="auto"/>
        <w:ind w:firstLine="420" w:firstLineChars="200"/>
        <w:rPr>
          <w:color w:val="auto"/>
        </w:rPr>
      </w:pPr>
      <w:r>
        <w:rPr>
          <w:color w:val="auto"/>
          <w:szCs w:val="27"/>
        </w:rPr>
        <w:t>1.乙方不能交货的，应向甲方偿付不能交货部分货款的</w:t>
      </w:r>
      <w:r>
        <w:rPr>
          <w:color w:val="auto"/>
          <w:szCs w:val="27"/>
          <w:u w:val="single"/>
        </w:rPr>
        <w:t>      %</w:t>
      </w:r>
      <w:r>
        <w:rPr>
          <w:color w:val="auto"/>
          <w:szCs w:val="27"/>
        </w:rPr>
        <w:t>（通用产品的幅度为</w:t>
      </w:r>
      <w:r>
        <w:rPr>
          <w:rFonts w:hint="eastAsia"/>
          <w:color w:val="auto"/>
          <w:szCs w:val="27"/>
        </w:rPr>
        <w:t>1%－5%</w:t>
      </w:r>
      <w:r>
        <w:rPr>
          <w:color w:val="auto"/>
          <w:szCs w:val="27"/>
        </w:rPr>
        <w:t>，专用产品的幅度为</w:t>
      </w:r>
      <w:r>
        <w:rPr>
          <w:rFonts w:hint="eastAsia"/>
          <w:color w:val="auto"/>
          <w:szCs w:val="27"/>
        </w:rPr>
        <w:t>10%－30%</w:t>
      </w:r>
      <w:r>
        <w:rPr>
          <w:color w:val="auto"/>
          <w:szCs w:val="27"/>
        </w:rPr>
        <w:t>）的违约金。</w:t>
      </w:r>
    </w:p>
    <w:p w14:paraId="24A598BB">
      <w:pPr>
        <w:spacing w:line="360" w:lineRule="auto"/>
        <w:ind w:firstLine="420" w:firstLineChars="200"/>
        <w:rPr>
          <w:color w:val="auto"/>
          <w:szCs w:val="27"/>
        </w:rPr>
      </w:pPr>
      <w:r>
        <w:rPr>
          <w:rFonts w:hint="eastAsia"/>
          <w:color w:val="auto"/>
          <w:szCs w:val="27"/>
        </w:rPr>
        <w:t>2.</w:t>
      </w:r>
      <w:r>
        <w:rPr>
          <w:color w:val="auto"/>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rPr>
        <w:t>同时，乙方应按规定，对更换件相应延长质量保证期，并赔偿甲方相应的损失。</w:t>
      </w:r>
      <w:r>
        <w:rPr>
          <w:color w:val="auto"/>
          <w:szCs w:val="27"/>
        </w:rPr>
        <w:t>乙方不能修理或者不能调换的，按不能交货处理。</w:t>
      </w:r>
    </w:p>
    <w:p w14:paraId="7FE10C3B">
      <w:pPr>
        <w:spacing w:line="360" w:lineRule="auto"/>
        <w:ind w:firstLine="420" w:firstLineChars="200"/>
        <w:rPr>
          <w:color w:val="auto"/>
        </w:rPr>
      </w:pPr>
      <w:r>
        <w:rPr>
          <w:rFonts w:hint="eastAsia"/>
          <w:color w:val="auto"/>
          <w:szCs w:val="27"/>
        </w:rPr>
        <w:t>3.</w:t>
      </w:r>
      <w:r>
        <w:rPr>
          <w:color w:val="auto"/>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rPr>
        <w:t>每件货物包装箱内应附一份详细装箱单和质量证书。为进口件的，应出具报关手续和原产地、原产工厂证明、报关手续和商检证明等。</w:t>
      </w:r>
    </w:p>
    <w:p w14:paraId="779F2C84">
      <w:pPr>
        <w:spacing w:line="360" w:lineRule="auto"/>
        <w:ind w:firstLine="420" w:firstLineChars="200"/>
        <w:rPr>
          <w:color w:val="auto"/>
        </w:rPr>
      </w:pPr>
      <w:r>
        <w:rPr>
          <w:rFonts w:hint="eastAsia"/>
          <w:color w:val="auto"/>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投标人须对上述做出书面承诺，否则视为不响应招标文件实质性内容。</w:t>
      </w:r>
    </w:p>
    <w:p w14:paraId="307BB22D">
      <w:pPr>
        <w:spacing w:line="360" w:lineRule="auto"/>
        <w:ind w:firstLine="420" w:firstLineChars="200"/>
        <w:rPr>
          <w:color w:val="auto"/>
          <w:szCs w:val="27"/>
        </w:rPr>
      </w:pPr>
      <w:r>
        <w:rPr>
          <w:rFonts w:hint="eastAsia"/>
          <w:color w:val="auto"/>
          <w:szCs w:val="27"/>
        </w:rPr>
        <w:t>5.</w:t>
      </w:r>
      <w:r>
        <w:rPr>
          <w:color w:val="auto"/>
          <w:szCs w:val="27"/>
        </w:rPr>
        <w:t>乙方提前交货的产品、多交的产品和不符合合同规定的产品，甲方在代保管期内实际支付的保管、保养等费用以及非因甲方保管不善而发生的损失，应当由乙方承担。</w:t>
      </w:r>
    </w:p>
    <w:p w14:paraId="146F2352">
      <w:pPr>
        <w:spacing w:line="360" w:lineRule="auto"/>
        <w:ind w:firstLine="420" w:firstLineChars="200"/>
        <w:rPr>
          <w:color w:val="auto"/>
          <w:szCs w:val="27"/>
        </w:rPr>
      </w:pPr>
      <w:r>
        <w:rPr>
          <w:rFonts w:hint="eastAsia"/>
          <w:color w:val="auto"/>
          <w:szCs w:val="27"/>
        </w:rPr>
        <w:t>6.乙方应对其所提供的货物承担所有权担保责任，并应保证甲方在中华人民共和国内使用该货物时不侵犯第三人的知识产权。否则乙方应承担由此引起的一切法律责任及费用。</w:t>
      </w:r>
    </w:p>
    <w:p w14:paraId="06AAB265">
      <w:pPr>
        <w:spacing w:line="360" w:lineRule="auto"/>
        <w:ind w:firstLine="420" w:firstLineChars="200"/>
        <w:rPr>
          <w:color w:val="auto"/>
        </w:rPr>
      </w:pPr>
      <w:r>
        <w:rPr>
          <w:rFonts w:hint="eastAsia"/>
          <w:color w:val="auto"/>
          <w:szCs w:val="27"/>
        </w:rPr>
        <w:t>7.任何一方未经对方同意而单方面终止合同的，应向对方赔偿相当于本合同总价款</w:t>
      </w:r>
      <w:r>
        <w:rPr>
          <w:rFonts w:hint="eastAsia"/>
          <w:color w:val="auto"/>
          <w:szCs w:val="27"/>
          <w:u w:val="single"/>
        </w:rPr>
        <w:t xml:space="preserve">      %</w:t>
      </w:r>
      <w:r>
        <w:rPr>
          <w:rFonts w:hint="eastAsia"/>
          <w:color w:val="auto"/>
          <w:szCs w:val="27"/>
        </w:rPr>
        <w:t>违约金。</w:t>
      </w:r>
    </w:p>
    <w:p w14:paraId="5D8A899B">
      <w:pPr>
        <w:spacing w:line="360" w:lineRule="auto"/>
        <w:ind w:firstLine="422" w:firstLineChars="200"/>
        <w:rPr>
          <w:color w:val="auto"/>
        </w:rPr>
      </w:pPr>
      <w:r>
        <w:rPr>
          <w:b/>
          <w:bCs/>
          <w:color w:val="auto"/>
          <w:szCs w:val="27"/>
        </w:rPr>
        <w:t>第十</w:t>
      </w:r>
      <w:r>
        <w:rPr>
          <w:rFonts w:hint="eastAsia"/>
          <w:b/>
          <w:bCs/>
          <w:color w:val="auto"/>
          <w:szCs w:val="27"/>
        </w:rPr>
        <w:t>一</w:t>
      </w:r>
      <w:r>
        <w:rPr>
          <w:b/>
          <w:bCs/>
          <w:color w:val="auto"/>
          <w:szCs w:val="27"/>
        </w:rPr>
        <w:t>条</w:t>
      </w:r>
      <w:r>
        <w:rPr>
          <w:color w:val="auto"/>
          <w:szCs w:val="27"/>
        </w:rPr>
        <w:t>  甲方的违约责任</w:t>
      </w:r>
    </w:p>
    <w:p w14:paraId="26CDF300">
      <w:pPr>
        <w:spacing w:line="360" w:lineRule="auto"/>
        <w:ind w:firstLine="420" w:firstLineChars="200"/>
        <w:rPr>
          <w:color w:val="auto"/>
        </w:rPr>
      </w:pPr>
      <w:r>
        <w:rPr>
          <w:rFonts w:hint="eastAsia"/>
          <w:color w:val="auto"/>
          <w:szCs w:val="27"/>
        </w:rPr>
        <w:t>1.</w:t>
      </w:r>
      <w:r>
        <w:rPr>
          <w:color w:val="auto"/>
          <w:szCs w:val="27"/>
        </w:rPr>
        <w:t>甲方中途退货，应向乙方偿付退货部分货款</w:t>
      </w:r>
      <w:r>
        <w:rPr>
          <w:rFonts w:hint="eastAsia"/>
          <w:color w:val="auto"/>
          <w:szCs w:val="27"/>
          <w:u w:val="single"/>
        </w:rPr>
        <w:t xml:space="preserve">             </w:t>
      </w:r>
      <w:r>
        <w:rPr>
          <w:rFonts w:hint="eastAsia"/>
          <w:color w:val="auto"/>
          <w:szCs w:val="27"/>
        </w:rPr>
        <w:t>%</w:t>
      </w:r>
      <w:r>
        <w:rPr>
          <w:color w:val="auto"/>
          <w:szCs w:val="27"/>
        </w:rPr>
        <w:t>（通用产品的幅度为1%</w:t>
      </w:r>
      <w:r>
        <w:rPr>
          <w:rFonts w:hint="eastAsia"/>
          <w:color w:val="auto"/>
          <w:szCs w:val="27"/>
        </w:rPr>
        <w:t>~5%</w:t>
      </w:r>
      <w:r>
        <w:rPr>
          <w:color w:val="auto"/>
          <w:szCs w:val="27"/>
        </w:rPr>
        <w:t>专用产品的幅度为</w:t>
      </w:r>
      <w:r>
        <w:rPr>
          <w:rFonts w:hint="eastAsia"/>
          <w:color w:val="auto"/>
          <w:szCs w:val="27"/>
        </w:rPr>
        <w:t>15%-30%</w:t>
      </w:r>
      <w:r>
        <w:rPr>
          <w:color w:val="auto"/>
          <w:szCs w:val="27"/>
        </w:rPr>
        <w:t>）的违约金。</w:t>
      </w:r>
    </w:p>
    <w:p w14:paraId="45F00BDC">
      <w:pPr>
        <w:spacing w:line="360" w:lineRule="auto"/>
        <w:ind w:firstLine="420" w:firstLineChars="200"/>
        <w:rPr>
          <w:color w:val="auto"/>
          <w:szCs w:val="27"/>
        </w:rPr>
      </w:pPr>
      <w:r>
        <w:rPr>
          <w:rFonts w:hint="eastAsia"/>
          <w:color w:val="auto"/>
          <w:szCs w:val="27"/>
        </w:rPr>
        <w:t>2.</w:t>
      </w:r>
      <w:r>
        <w:rPr>
          <w:color w:val="auto"/>
          <w:szCs w:val="27"/>
        </w:rPr>
        <w:t>甲方违反合同规定拒绝接货的，应当承担由此造成的损失。</w:t>
      </w:r>
    </w:p>
    <w:p w14:paraId="2503CDFE">
      <w:pPr>
        <w:spacing w:line="360" w:lineRule="auto"/>
        <w:ind w:firstLine="420" w:firstLineChars="200"/>
        <w:rPr>
          <w:color w:val="auto"/>
          <w:szCs w:val="27"/>
          <w:u w:val="single"/>
        </w:rPr>
      </w:pPr>
      <w:r>
        <w:rPr>
          <w:rFonts w:hint="eastAsia"/>
          <w:color w:val="auto"/>
          <w:szCs w:val="27"/>
        </w:rPr>
        <w:t>3.</w:t>
      </w:r>
      <w:r>
        <w:rPr>
          <w:color w:val="auto"/>
          <w:szCs w:val="27"/>
        </w:rPr>
        <w:t xml:space="preserve"> 甲方未按照合同约定支付货款，应向乙方</w:t>
      </w:r>
      <w:r>
        <w:rPr>
          <w:rFonts w:hint="eastAsia"/>
          <w:color w:val="auto"/>
          <w:szCs w:val="27"/>
        </w:rPr>
        <w:t>违约金</w:t>
      </w:r>
      <w:r>
        <w:rPr>
          <w:rFonts w:hint="eastAsia"/>
          <w:color w:val="auto"/>
          <w:szCs w:val="27"/>
          <w:u w:val="single"/>
        </w:rPr>
        <w:t xml:space="preserve">   </w:t>
      </w:r>
      <w:r>
        <w:rPr>
          <w:rFonts w:hint="eastAsia"/>
          <w:color w:val="auto"/>
          <w:szCs w:val="27"/>
        </w:rPr>
        <w:t>元。</w:t>
      </w:r>
    </w:p>
    <w:p w14:paraId="1E023F4D">
      <w:pPr>
        <w:spacing w:line="360" w:lineRule="auto"/>
        <w:ind w:firstLine="422" w:firstLineChars="200"/>
        <w:rPr>
          <w:b/>
          <w:color w:val="auto"/>
        </w:rPr>
      </w:pPr>
      <w:r>
        <w:rPr>
          <w:b/>
          <w:bCs/>
          <w:color w:val="auto"/>
          <w:szCs w:val="27"/>
        </w:rPr>
        <w:t>第十</w:t>
      </w:r>
      <w:r>
        <w:rPr>
          <w:rFonts w:hint="eastAsia"/>
          <w:b/>
          <w:bCs/>
          <w:color w:val="auto"/>
          <w:szCs w:val="27"/>
        </w:rPr>
        <w:t>二</w:t>
      </w:r>
      <w:r>
        <w:rPr>
          <w:b/>
          <w:bCs/>
          <w:color w:val="auto"/>
          <w:szCs w:val="27"/>
        </w:rPr>
        <w:t>条 </w:t>
      </w:r>
      <w:r>
        <w:rPr>
          <w:color w:val="auto"/>
          <w:szCs w:val="27"/>
        </w:rPr>
        <w:t xml:space="preserve"> 不可抗力</w:t>
      </w:r>
    </w:p>
    <w:p w14:paraId="57431F06">
      <w:pPr>
        <w:spacing w:line="360" w:lineRule="auto"/>
        <w:ind w:firstLine="420" w:firstLineChars="200"/>
        <w:rPr>
          <w:color w:val="auto"/>
        </w:rPr>
      </w:pPr>
      <w:r>
        <w:rPr>
          <w:rFonts w:hint="eastAsia"/>
          <w:color w:val="auto"/>
        </w:rPr>
        <w:t>1</w:t>
      </w:r>
      <w:r>
        <w:rPr>
          <w:rFonts w:hint="eastAsia"/>
          <w:color w:val="auto"/>
          <w:szCs w:val="27"/>
        </w:rPr>
        <w:t>.</w:t>
      </w:r>
      <w:r>
        <w:rPr>
          <w:rFonts w:hint="eastAsia"/>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50A0FE8">
      <w:pPr>
        <w:spacing w:line="360" w:lineRule="auto"/>
        <w:ind w:firstLine="420" w:firstLineChars="200"/>
        <w:rPr>
          <w:color w:val="auto"/>
          <w:szCs w:val="27"/>
        </w:rPr>
      </w:pPr>
      <w:r>
        <w:rPr>
          <w:rFonts w:hint="eastAsia"/>
          <w:color w:val="auto"/>
        </w:rPr>
        <w:t>2</w:t>
      </w:r>
      <w:r>
        <w:rPr>
          <w:rFonts w:hint="eastAsia"/>
          <w:color w:val="auto"/>
          <w:szCs w:val="27"/>
        </w:rPr>
        <w:t>.</w:t>
      </w:r>
      <w:r>
        <w:rPr>
          <w:color w:val="auto"/>
          <w:szCs w:val="27"/>
        </w:rPr>
        <w:t>甲乙双方的任何一方由于不可抗力的原因不能履行合同时，应及时向对方通报不能履行或不能完全履行的理由，在取得有关</w:t>
      </w:r>
      <w:r>
        <w:rPr>
          <w:rFonts w:hint="eastAsia"/>
          <w:color w:val="auto"/>
          <w:szCs w:val="27"/>
        </w:rPr>
        <w:t>部门</w:t>
      </w:r>
      <w:r>
        <w:rPr>
          <w:color w:val="auto"/>
          <w:szCs w:val="27"/>
        </w:rPr>
        <w:t>证明以后，允许延期履行、部分履行或者不履行合同，并根据情况可部分或全部免予承担违约责任。</w:t>
      </w:r>
    </w:p>
    <w:p w14:paraId="2E11123F">
      <w:pPr>
        <w:spacing w:line="360" w:lineRule="auto"/>
        <w:ind w:firstLine="422" w:firstLineChars="200"/>
        <w:rPr>
          <w:b/>
          <w:bCs/>
          <w:color w:val="auto"/>
          <w:szCs w:val="27"/>
        </w:rPr>
      </w:pPr>
      <w:r>
        <w:rPr>
          <w:b/>
          <w:bCs/>
          <w:color w:val="auto"/>
          <w:szCs w:val="27"/>
        </w:rPr>
        <w:t>第十</w:t>
      </w:r>
      <w:r>
        <w:rPr>
          <w:rFonts w:hint="eastAsia"/>
          <w:b/>
          <w:bCs/>
          <w:color w:val="auto"/>
          <w:szCs w:val="27"/>
        </w:rPr>
        <w:t>三</w:t>
      </w:r>
      <w:r>
        <w:rPr>
          <w:b/>
          <w:bCs/>
          <w:color w:val="auto"/>
          <w:szCs w:val="27"/>
        </w:rPr>
        <w:t>条</w:t>
      </w:r>
      <w:r>
        <w:rPr>
          <w:rFonts w:hint="eastAsia"/>
          <w:b/>
          <w:bCs/>
          <w:color w:val="auto"/>
          <w:szCs w:val="27"/>
        </w:rPr>
        <w:t xml:space="preserve">  </w:t>
      </w:r>
      <w:r>
        <w:rPr>
          <w:rFonts w:hint="eastAsia"/>
          <w:color w:val="auto"/>
          <w:szCs w:val="27"/>
        </w:rPr>
        <w:t>履约（或质量）保证金</w:t>
      </w:r>
    </w:p>
    <w:p w14:paraId="5FF5C1FE">
      <w:pPr>
        <w:spacing w:line="360" w:lineRule="auto"/>
        <w:ind w:firstLine="420" w:firstLineChars="200"/>
        <w:rPr>
          <w:color w:val="auto"/>
        </w:rPr>
      </w:pPr>
      <w:r>
        <w:rPr>
          <w:rFonts w:hint="eastAsia"/>
          <w:color w:val="auto"/>
        </w:rPr>
        <w:t>1.本项目不收取履约保证金。确需收取履约保证金的，甲方不得要求乙方以现款的形式提供。乙方提供的履约保证金按规定格式以银行保函形式提供，与此有关的费用由卖方承担。</w:t>
      </w:r>
    </w:p>
    <w:p w14:paraId="72201592">
      <w:pPr>
        <w:spacing w:line="360" w:lineRule="auto"/>
        <w:ind w:firstLine="422" w:firstLineChars="200"/>
        <w:rPr>
          <w:b/>
          <w:color w:val="auto"/>
        </w:rPr>
      </w:pPr>
      <w:r>
        <w:rPr>
          <w:b/>
          <w:bCs/>
          <w:color w:val="auto"/>
          <w:szCs w:val="27"/>
        </w:rPr>
        <w:t>第十</w:t>
      </w:r>
      <w:r>
        <w:rPr>
          <w:rFonts w:hint="eastAsia"/>
          <w:b/>
          <w:bCs/>
          <w:color w:val="auto"/>
          <w:szCs w:val="27"/>
        </w:rPr>
        <w:t>四</w:t>
      </w:r>
      <w:r>
        <w:rPr>
          <w:b/>
          <w:bCs/>
          <w:color w:val="auto"/>
          <w:szCs w:val="27"/>
        </w:rPr>
        <w:t>条</w:t>
      </w:r>
      <w:r>
        <w:rPr>
          <w:rFonts w:hint="eastAsia"/>
          <w:b/>
          <w:bCs/>
          <w:color w:val="auto"/>
          <w:szCs w:val="27"/>
        </w:rPr>
        <w:t xml:space="preserve"> </w:t>
      </w:r>
      <w:r>
        <w:rPr>
          <w:rFonts w:hint="eastAsia"/>
          <w:bCs/>
          <w:color w:val="auto"/>
        </w:rPr>
        <w:t>转让与分包</w:t>
      </w:r>
    </w:p>
    <w:p w14:paraId="53E87C3F">
      <w:pPr>
        <w:spacing w:line="360" w:lineRule="auto"/>
        <w:ind w:firstLine="420" w:firstLineChars="200"/>
        <w:rPr>
          <w:color w:val="auto"/>
        </w:rPr>
      </w:pPr>
      <w:r>
        <w:rPr>
          <w:rFonts w:hint="eastAsia"/>
          <w:color w:val="auto"/>
        </w:rPr>
        <w:t>1</w:t>
      </w:r>
      <w:r>
        <w:rPr>
          <w:rFonts w:hint="eastAsia"/>
          <w:color w:val="auto"/>
          <w:szCs w:val="27"/>
        </w:rPr>
        <w:t>.</w:t>
      </w:r>
      <w:r>
        <w:rPr>
          <w:rFonts w:hint="eastAsia"/>
          <w:color w:val="auto"/>
        </w:rPr>
        <w:t>除甲方事先书面同意外，乙方不得部分转让或全部转让其应履行的合同义务。</w:t>
      </w:r>
    </w:p>
    <w:p w14:paraId="18F3609E">
      <w:pPr>
        <w:spacing w:line="360" w:lineRule="auto"/>
        <w:ind w:firstLine="420" w:firstLineChars="200"/>
        <w:rPr>
          <w:color w:val="auto"/>
        </w:rPr>
      </w:pPr>
      <w:r>
        <w:rPr>
          <w:rFonts w:hint="eastAsia"/>
          <w:color w:val="auto"/>
        </w:rPr>
        <w:t>2</w:t>
      </w:r>
      <w:r>
        <w:rPr>
          <w:rFonts w:hint="eastAsia"/>
          <w:color w:val="auto"/>
          <w:szCs w:val="27"/>
        </w:rPr>
        <w:t>.</w:t>
      </w:r>
      <w:r>
        <w:rPr>
          <w:rFonts w:hint="eastAsia"/>
          <w:color w:val="auto"/>
        </w:rPr>
        <w:t>乙方应在投标文件中或以其他书面形式对甲方确认本合同项下所授予的所有分包合同。但该确认不解除乙方承担的本合同下的任何责任或义务。意即在本合同项下，乙方对甲方负总责。</w:t>
      </w:r>
    </w:p>
    <w:p w14:paraId="4BCE5E2C">
      <w:pPr>
        <w:spacing w:line="360" w:lineRule="auto"/>
        <w:ind w:firstLine="422" w:firstLineChars="200"/>
        <w:rPr>
          <w:b/>
          <w:color w:val="auto"/>
        </w:rPr>
      </w:pPr>
      <w:r>
        <w:rPr>
          <w:b/>
          <w:bCs/>
          <w:color w:val="auto"/>
          <w:szCs w:val="27"/>
        </w:rPr>
        <w:t>第十</w:t>
      </w:r>
      <w:r>
        <w:rPr>
          <w:rFonts w:hint="eastAsia"/>
          <w:b/>
          <w:bCs/>
          <w:color w:val="auto"/>
          <w:szCs w:val="27"/>
        </w:rPr>
        <w:t>五</w:t>
      </w:r>
      <w:r>
        <w:rPr>
          <w:b/>
          <w:bCs/>
          <w:color w:val="auto"/>
          <w:szCs w:val="27"/>
        </w:rPr>
        <w:t>条</w:t>
      </w:r>
      <w:r>
        <w:rPr>
          <w:rFonts w:hint="eastAsia"/>
          <w:b/>
          <w:bCs/>
          <w:color w:val="auto"/>
          <w:szCs w:val="27"/>
        </w:rPr>
        <w:t xml:space="preserve"> </w:t>
      </w:r>
      <w:r>
        <w:rPr>
          <w:rFonts w:hint="eastAsia"/>
          <w:bCs/>
          <w:color w:val="auto"/>
        </w:rPr>
        <w:t>合同文件及资料的使用</w:t>
      </w:r>
    </w:p>
    <w:p w14:paraId="46FF907B">
      <w:pPr>
        <w:spacing w:line="360" w:lineRule="auto"/>
        <w:ind w:firstLine="420" w:firstLineChars="200"/>
        <w:rPr>
          <w:color w:val="auto"/>
        </w:rPr>
      </w:pPr>
      <w:r>
        <w:rPr>
          <w:rFonts w:hint="eastAsia"/>
          <w:color w:val="auto"/>
        </w:rPr>
        <w:t>1</w:t>
      </w:r>
      <w:r>
        <w:rPr>
          <w:rFonts w:hint="eastAsia"/>
          <w:color w:val="auto"/>
          <w:szCs w:val="27"/>
        </w:rPr>
        <w:t>.</w:t>
      </w:r>
      <w:r>
        <w:rPr>
          <w:rFonts w:hint="eastAsia"/>
          <w:color w:val="auto"/>
        </w:rPr>
        <w:t>乙方在未经甲方同意的情况下，不得将合同、合同中的规定、有关计划、图纸、样本或甲方为上述内容向乙方提供的资料透露给任何人。</w:t>
      </w:r>
    </w:p>
    <w:p w14:paraId="555697FF">
      <w:pPr>
        <w:spacing w:line="360" w:lineRule="auto"/>
        <w:ind w:firstLine="420" w:firstLineChars="200"/>
        <w:rPr>
          <w:color w:val="auto"/>
        </w:rPr>
      </w:pPr>
      <w:r>
        <w:rPr>
          <w:rFonts w:hint="eastAsia"/>
          <w:color w:val="auto"/>
        </w:rPr>
        <w:t>2</w:t>
      </w:r>
      <w:r>
        <w:rPr>
          <w:rFonts w:hint="eastAsia"/>
          <w:color w:val="auto"/>
          <w:szCs w:val="27"/>
        </w:rPr>
        <w:t>.</w:t>
      </w:r>
      <w:r>
        <w:rPr>
          <w:rFonts w:hint="eastAsia"/>
          <w:color w:val="auto"/>
        </w:rPr>
        <w:t>除非执行合同需要，在事先未得到甲方同意的情况下，乙方不得使用前款所列的任何文件和资料。</w:t>
      </w:r>
    </w:p>
    <w:p w14:paraId="7611FF41">
      <w:pPr>
        <w:spacing w:line="360" w:lineRule="auto"/>
        <w:ind w:firstLine="422" w:firstLineChars="200"/>
        <w:rPr>
          <w:color w:val="auto"/>
          <w:szCs w:val="27"/>
        </w:rPr>
      </w:pPr>
      <w:r>
        <w:rPr>
          <w:b/>
          <w:bCs/>
          <w:color w:val="auto"/>
          <w:szCs w:val="27"/>
        </w:rPr>
        <w:t>第十</w:t>
      </w:r>
      <w:r>
        <w:rPr>
          <w:rFonts w:hint="eastAsia"/>
          <w:b/>
          <w:bCs/>
          <w:color w:val="auto"/>
          <w:szCs w:val="27"/>
        </w:rPr>
        <w:t>六</w:t>
      </w:r>
      <w:r>
        <w:rPr>
          <w:b/>
          <w:bCs/>
          <w:color w:val="auto"/>
          <w:szCs w:val="27"/>
        </w:rPr>
        <w:t>条 </w:t>
      </w:r>
      <w:r>
        <w:rPr>
          <w:rFonts w:hint="eastAsia"/>
          <w:color w:val="auto"/>
          <w:szCs w:val="27"/>
        </w:rPr>
        <w:t>合同纠纷调处</w:t>
      </w:r>
    </w:p>
    <w:p w14:paraId="2B7A56DA">
      <w:pPr>
        <w:spacing w:line="360" w:lineRule="auto"/>
        <w:ind w:firstLine="420" w:firstLineChars="200"/>
        <w:rPr>
          <w:color w:val="auto"/>
        </w:rPr>
      </w:pPr>
      <w:r>
        <w:rPr>
          <w:rFonts w:hint="eastAsia"/>
          <w:color w:val="auto"/>
        </w:rPr>
        <w:t>1</w:t>
      </w:r>
      <w:r>
        <w:rPr>
          <w:rFonts w:hint="eastAsia"/>
          <w:color w:val="auto"/>
          <w:szCs w:val="27"/>
        </w:rPr>
        <w:t>.</w:t>
      </w:r>
      <w:r>
        <w:rPr>
          <w:color w:val="auto"/>
          <w:szCs w:val="27"/>
        </w:rPr>
        <w:t>按本合同规定应该偿付的违约金、赔偿金、保管保养费和各种经济损失，应当在明确责任后</w:t>
      </w:r>
      <w:r>
        <w:rPr>
          <w:rFonts w:hint="eastAsia"/>
          <w:color w:val="auto"/>
          <w:szCs w:val="27"/>
        </w:rPr>
        <w:t>10</w:t>
      </w:r>
      <w:r>
        <w:rPr>
          <w:color w:val="auto"/>
          <w:szCs w:val="27"/>
        </w:rPr>
        <w:t>天内，按银行规定的结算办法付清，否则按逾期付款处理。但任何一方不得自行扣发货物或扣付货款来充抵。</w:t>
      </w:r>
    </w:p>
    <w:p w14:paraId="0F62B4F3">
      <w:pPr>
        <w:spacing w:line="360" w:lineRule="auto"/>
        <w:ind w:firstLine="420" w:firstLineChars="200"/>
        <w:rPr>
          <w:color w:val="auto"/>
          <w:szCs w:val="27"/>
        </w:rPr>
      </w:pPr>
      <w:r>
        <w:rPr>
          <w:rFonts w:hint="eastAsia"/>
          <w:color w:val="auto"/>
        </w:rPr>
        <w:t>2</w:t>
      </w:r>
      <w:r>
        <w:rPr>
          <w:rFonts w:hint="eastAsia"/>
          <w:color w:val="auto"/>
          <w:szCs w:val="27"/>
        </w:rPr>
        <w:t>.</w:t>
      </w:r>
      <w:r>
        <w:rPr>
          <w:color w:val="auto"/>
          <w:szCs w:val="27"/>
        </w:rPr>
        <w:t>本合同如发生纠纷，当事人双方应当及时协商解决，协商不成时，任何一方均可请</w:t>
      </w:r>
      <w:r>
        <w:rPr>
          <w:rFonts w:hint="eastAsia"/>
          <w:color w:val="auto"/>
          <w:szCs w:val="27"/>
        </w:rPr>
        <w:t>本项目政府采购监督管理部门</w:t>
      </w:r>
      <w:r>
        <w:rPr>
          <w:color w:val="auto"/>
          <w:szCs w:val="27"/>
        </w:rPr>
        <w:t>调解，调解不成，按以下第（</w:t>
      </w:r>
      <w:r>
        <w:rPr>
          <w:rFonts w:hint="eastAsia"/>
          <w:color w:val="auto"/>
          <w:szCs w:val="27"/>
        </w:rPr>
        <w:t xml:space="preserve"> </w:t>
      </w:r>
      <w:r>
        <w:rPr>
          <w:color w:val="auto"/>
          <w:szCs w:val="27"/>
        </w:rPr>
        <w:t>）项方式处理：</w:t>
      </w:r>
      <w:r>
        <w:rPr>
          <w:rFonts w:hint="eastAsia"/>
          <w:color w:val="auto"/>
          <w:szCs w:val="27"/>
        </w:rPr>
        <w:t>①根据《中华人民共和国仲裁法》的规定向</w:t>
      </w:r>
      <w:r>
        <w:rPr>
          <w:rFonts w:hint="eastAsia"/>
          <w:b/>
          <w:bCs/>
          <w:color w:val="auto"/>
          <w:szCs w:val="27"/>
          <w:u w:val="single"/>
        </w:rPr>
        <w:t>周口仲裁委员会</w:t>
      </w:r>
      <w:r>
        <w:rPr>
          <w:rFonts w:hint="eastAsia"/>
          <w:color w:val="auto"/>
          <w:szCs w:val="27"/>
        </w:rPr>
        <w:t>申请仲裁。②</w:t>
      </w:r>
      <w:r>
        <w:rPr>
          <w:color w:val="auto"/>
          <w:szCs w:val="27"/>
        </w:rPr>
        <w:t>向</w:t>
      </w:r>
      <w:r>
        <w:rPr>
          <w:rFonts w:hint="eastAsia"/>
          <w:color w:val="auto"/>
        </w:rPr>
        <w:t>合同签订地有级别管辖权的</w:t>
      </w:r>
      <w:r>
        <w:rPr>
          <w:color w:val="auto"/>
          <w:szCs w:val="27"/>
        </w:rPr>
        <w:t>人民法院起诉。</w:t>
      </w:r>
    </w:p>
    <w:p w14:paraId="58C49A41">
      <w:pPr>
        <w:pStyle w:val="52"/>
        <w:spacing w:beforeLines="0" w:afterLines="0"/>
        <w:ind w:left="0" w:firstLine="420" w:firstLineChars="200"/>
        <w:rPr>
          <w:color w:val="auto"/>
        </w:rPr>
      </w:pPr>
      <w:r>
        <w:rPr>
          <w:rFonts w:hint="eastAsia"/>
          <w:color w:val="auto"/>
          <w:szCs w:val="27"/>
        </w:rPr>
        <w:t>3、甲、乙双方均有权利向本项目具有监管职能的政府采购监督管理部门举报反映对方在合同履约中的违法违纪行为。</w:t>
      </w:r>
    </w:p>
    <w:p w14:paraId="095E9080">
      <w:pPr>
        <w:spacing w:line="360" w:lineRule="auto"/>
        <w:ind w:firstLine="422" w:firstLineChars="200"/>
        <w:rPr>
          <w:color w:val="auto"/>
          <w:szCs w:val="27"/>
        </w:rPr>
      </w:pPr>
      <w:r>
        <w:rPr>
          <w:rFonts w:hint="eastAsia"/>
          <w:b/>
          <w:bCs/>
          <w:color w:val="auto"/>
          <w:szCs w:val="27"/>
        </w:rPr>
        <w:t xml:space="preserve">第十七条  </w:t>
      </w:r>
      <w:r>
        <w:rPr>
          <w:rFonts w:hint="eastAsia"/>
          <w:color w:val="auto"/>
          <w:szCs w:val="27"/>
        </w:rPr>
        <w:t>下列关于周口市公共资源交易中心政府采购代理机构名称</w:t>
      </w:r>
      <w:r>
        <w:rPr>
          <w:rFonts w:hint="eastAsia"/>
          <w:color w:val="auto"/>
          <w:szCs w:val="27"/>
          <w:u w:val="single"/>
        </w:rPr>
        <w:t>某项目（项目编号：某编号）</w:t>
      </w:r>
      <w:r>
        <w:rPr>
          <w:rFonts w:hint="eastAsia"/>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BDA2CA9">
      <w:pPr>
        <w:spacing w:line="360" w:lineRule="auto"/>
        <w:ind w:firstLine="420" w:firstLineChars="200"/>
        <w:rPr>
          <w:color w:val="auto"/>
          <w:szCs w:val="27"/>
        </w:rPr>
      </w:pPr>
      <w:r>
        <w:rPr>
          <w:rFonts w:hint="eastAsia"/>
          <w:color w:val="auto"/>
          <w:szCs w:val="27"/>
        </w:rPr>
        <w:t xml:space="preserve">    </w:t>
      </w:r>
      <w:r>
        <w:rPr>
          <w:rFonts w:hint="eastAsia"/>
          <w:color w:val="auto"/>
        </w:rPr>
        <w:t>本合同一式</w:t>
      </w:r>
      <w:r>
        <w:rPr>
          <w:rFonts w:hint="eastAsia"/>
          <w:color w:val="auto"/>
          <w:u w:val="single"/>
        </w:rPr>
        <w:t xml:space="preserve">   </w:t>
      </w:r>
      <w:r>
        <w:rPr>
          <w:rFonts w:hint="eastAsia"/>
          <w:color w:val="auto"/>
        </w:rPr>
        <w:t>份，甲乙双方各执</w:t>
      </w:r>
      <w:r>
        <w:rPr>
          <w:rFonts w:hint="eastAsia"/>
          <w:color w:val="auto"/>
          <w:u w:val="single"/>
        </w:rPr>
        <w:t xml:space="preserve">   </w:t>
      </w:r>
      <w:r>
        <w:rPr>
          <w:rFonts w:hint="eastAsia"/>
          <w:color w:val="auto"/>
        </w:rPr>
        <w:t>份，自双方当事人签字盖章之日起生效。</w:t>
      </w:r>
    </w:p>
    <w:p w14:paraId="4BEFFEAD">
      <w:pPr>
        <w:spacing w:line="360" w:lineRule="auto"/>
        <w:ind w:firstLine="420" w:firstLineChars="200"/>
        <w:rPr>
          <w:color w:val="auto"/>
          <w:szCs w:val="27"/>
        </w:rPr>
      </w:pPr>
    </w:p>
    <w:p w14:paraId="5109FDED">
      <w:pPr>
        <w:spacing w:line="360" w:lineRule="auto"/>
        <w:ind w:firstLine="420" w:firstLineChars="200"/>
        <w:rPr>
          <w:color w:val="auto"/>
          <w:szCs w:val="27"/>
        </w:rPr>
      </w:pPr>
    </w:p>
    <w:p w14:paraId="075F4717">
      <w:pPr>
        <w:spacing w:line="360" w:lineRule="auto"/>
        <w:ind w:firstLine="420" w:firstLineChars="200"/>
        <w:rPr>
          <w:color w:val="auto"/>
          <w:szCs w:val="27"/>
        </w:rPr>
      </w:pPr>
      <w:r>
        <w:rPr>
          <w:rFonts w:hint="eastAsia"/>
          <w:color w:val="auto"/>
          <w:szCs w:val="27"/>
        </w:rPr>
        <w:t>采购人</w:t>
      </w:r>
      <w:r>
        <w:rPr>
          <w:color w:val="auto"/>
          <w:szCs w:val="27"/>
        </w:rPr>
        <w:t>（甲方）：</w:t>
      </w:r>
      <w:r>
        <w:rPr>
          <w:rFonts w:hint="eastAsia"/>
          <w:color w:val="auto"/>
          <w:szCs w:val="27"/>
        </w:rPr>
        <w:t xml:space="preserve">    </w:t>
      </w:r>
      <w:r>
        <w:rPr>
          <w:color w:val="auto"/>
          <w:szCs w:val="27"/>
        </w:rPr>
        <w:t>（公章）</w:t>
      </w:r>
      <w:r>
        <w:rPr>
          <w:rFonts w:hint="eastAsia"/>
          <w:color w:val="auto"/>
          <w:szCs w:val="27"/>
        </w:rPr>
        <w:t xml:space="preserve">        </w:t>
      </w:r>
      <w:r>
        <w:rPr>
          <w:color w:val="auto"/>
          <w:szCs w:val="27"/>
        </w:rPr>
        <w:t> </w:t>
      </w:r>
      <w:r>
        <w:rPr>
          <w:rFonts w:hint="eastAsia"/>
          <w:color w:val="auto"/>
          <w:szCs w:val="27"/>
        </w:rPr>
        <w:t xml:space="preserve">  </w:t>
      </w:r>
      <w:r>
        <w:rPr>
          <w:color w:val="auto"/>
          <w:szCs w:val="27"/>
        </w:rPr>
        <w:t>供货</w:t>
      </w:r>
      <w:r>
        <w:rPr>
          <w:rFonts w:hint="eastAsia"/>
          <w:color w:val="auto"/>
          <w:szCs w:val="27"/>
        </w:rPr>
        <w:t>人</w:t>
      </w:r>
      <w:r>
        <w:rPr>
          <w:color w:val="auto"/>
          <w:szCs w:val="27"/>
        </w:rPr>
        <w:t>（乙方）：</w:t>
      </w:r>
      <w:r>
        <w:rPr>
          <w:rFonts w:hint="eastAsia"/>
          <w:color w:val="auto"/>
          <w:szCs w:val="27"/>
        </w:rPr>
        <w:t xml:space="preserve">     </w:t>
      </w:r>
      <w:r>
        <w:rPr>
          <w:color w:val="auto"/>
          <w:szCs w:val="27"/>
        </w:rPr>
        <w:t>（公章）</w:t>
      </w:r>
      <w:r>
        <w:rPr>
          <w:rFonts w:hint="eastAsia"/>
          <w:color w:val="auto"/>
          <w:szCs w:val="27"/>
        </w:rPr>
        <w:t xml:space="preserve">  </w:t>
      </w:r>
    </w:p>
    <w:p w14:paraId="6D36F699">
      <w:pPr>
        <w:spacing w:line="360" w:lineRule="auto"/>
        <w:ind w:firstLine="420" w:firstLineChars="200"/>
        <w:rPr>
          <w:color w:val="auto"/>
        </w:rPr>
      </w:pPr>
      <w:r>
        <w:rPr>
          <w:rFonts w:hint="eastAsia"/>
          <w:color w:val="auto"/>
          <w:szCs w:val="27"/>
        </w:rPr>
        <w:t xml:space="preserve">地址：                               </w:t>
      </w:r>
      <w:r>
        <w:rPr>
          <w:color w:val="auto"/>
          <w:szCs w:val="27"/>
        </w:rPr>
        <w:t>地址：</w:t>
      </w:r>
    </w:p>
    <w:p w14:paraId="709F4317">
      <w:pPr>
        <w:spacing w:line="360" w:lineRule="auto"/>
        <w:ind w:firstLine="420" w:firstLineChars="200"/>
        <w:rPr>
          <w:color w:val="auto"/>
          <w:szCs w:val="27"/>
        </w:rPr>
      </w:pPr>
      <w:r>
        <w:rPr>
          <w:color w:val="auto"/>
          <w:szCs w:val="27"/>
        </w:rPr>
        <w:t>法定代表人：</w:t>
      </w:r>
      <w:r>
        <w:rPr>
          <w:rFonts w:hint="eastAsia"/>
          <w:color w:val="auto"/>
          <w:szCs w:val="27"/>
        </w:rPr>
        <w:t xml:space="preserve">                         </w:t>
      </w:r>
      <w:r>
        <w:rPr>
          <w:color w:val="auto"/>
          <w:szCs w:val="27"/>
        </w:rPr>
        <w:t>法定代表人：</w:t>
      </w:r>
    </w:p>
    <w:p w14:paraId="28DDBEC5">
      <w:pPr>
        <w:spacing w:line="360" w:lineRule="auto"/>
        <w:ind w:firstLine="420" w:firstLineChars="200"/>
        <w:rPr>
          <w:color w:val="auto"/>
          <w:u w:val="single"/>
        </w:rPr>
      </w:pPr>
      <w:r>
        <w:rPr>
          <w:rFonts w:hint="eastAsia"/>
          <w:color w:val="auto"/>
          <w:szCs w:val="27"/>
        </w:rPr>
        <w:t>委托代理人：                         委托代理人：</w:t>
      </w:r>
    </w:p>
    <w:p w14:paraId="5DEC5751">
      <w:pPr>
        <w:spacing w:line="360" w:lineRule="auto"/>
        <w:ind w:firstLine="420" w:firstLineChars="200"/>
        <w:rPr>
          <w:color w:val="auto"/>
        </w:rPr>
      </w:pPr>
      <w:r>
        <w:rPr>
          <w:rFonts w:hint="eastAsia"/>
          <w:color w:val="auto"/>
        </w:rPr>
        <w:t>电话：                               电话：</w:t>
      </w:r>
    </w:p>
    <w:p w14:paraId="4EDEB0C4">
      <w:pPr>
        <w:spacing w:line="360" w:lineRule="auto"/>
        <w:ind w:firstLine="420" w:firstLineChars="200"/>
        <w:rPr>
          <w:color w:val="auto"/>
          <w:szCs w:val="27"/>
        </w:rPr>
      </w:pPr>
      <w:r>
        <w:rPr>
          <w:color w:val="auto"/>
          <w:szCs w:val="27"/>
        </w:rPr>
        <w:t>开户银行：</w:t>
      </w:r>
      <w:r>
        <w:rPr>
          <w:rFonts w:hint="eastAsia"/>
          <w:color w:val="auto"/>
          <w:szCs w:val="27"/>
        </w:rPr>
        <w:t xml:space="preserve">                           </w:t>
      </w:r>
      <w:r>
        <w:rPr>
          <w:color w:val="auto"/>
          <w:szCs w:val="27"/>
        </w:rPr>
        <w:t>开户银行：</w:t>
      </w:r>
    </w:p>
    <w:p w14:paraId="50303016">
      <w:pPr>
        <w:spacing w:line="360" w:lineRule="auto"/>
        <w:ind w:firstLine="420" w:firstLineChars="200"/>
        <w:rPr>
          <w:color w:val="auto"/>
        </w:rPr>
      </w:pPr>
      <w:r>
        <w:rPr>
          <w:rFonts w:hint="eastAsia"/>
          <w:color w:val="auto"/>
          <w:szCs w:val="27"/>
        </w:rPr>
        <w:t>账号</w:t>
      </w:r>
      <w:r>
        <w:rPr>
          <w:color w:val="auto"/>
          <w:szCs w:val="27"/>
        </w:rPr>
        <w:t>：</w:t>
      </w:r>
      <w:r>
        <w:rPr>
          <w:rFonts w:hint="eastAsia"/>
          <w:color w:val="auto"/>
          <w:szCs w:val="27"/>
        </w:rPr>
        <w:t xml:space="preserve">                               账号</w:t>
      </w:r>
      <w:r>
        <w:rPr>
          <w:color w:val="auto"/>
          <w:szCs w:val="27"/>
        </w:rPr>
        <w:t>：</w:t>
      </w:r>
    </w:p>
    <w:p w14:paraId="63B19082">
      <w:pPr>
        <w:spacing w:line="640" w:lineRule="exact"/>
        <w:ind w:firstLine="1575" w:firstLineChars="750"/>
        <w:rPr>
          <w:color w:val="auto"/>
          <w:szCs w:val="27"/>
          <w:u w:val="single"/>
        </w:rPr>
      </w:pPr>
    </w:p>
    <w:p w14:paraId="2E01C73C">
      <w:pPr>
        <w:pStyle w:val="20"/>
        <w:rPr>
          <w:color w:val="auto"/>
        </w:rPr>
      </w:pPr>
      <w:r>
        <w:rPr>
          <w:color w:val="auto"/>
          <w:szCs w:val="27"/>
          <w:u w:val="single"/>
        </w:rPr>
        <w:t>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r>
        <w:rPr>
          <w:rFonts w:hint="eastAsia"/>
          <w:color w:val="auto"/>
          <w:szCs w:val="27"/>
        </w:rPr>
        <w:t xml:space="preserve">                        </w:t>
      </w:r>
      <w:r>
        <w:rPr>
          <w:color w:val="auto"/>
          <w:szCs w:val="27"/>
          <w:u w:val="single"/>
        </w:rPr>
        <w:t xml:space="preserve">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r>
        <w:rPr>
          <w:rFonts w:hint="eastAsia"/>
          <w:color w:val="auto"/>
          <w:szCs w:val="27"/>
        </w:rPr>
        <w:t xml:space="preserve"> </w:t>
      </w:r>
    </w:p>
    <w:p w14:paraId="154513E1">
      <w:pPr>
        <w:pStyle w:val="20"/>
        <w:rPr>
          <w:color w:val="auto"/>
        </w:rPr>
      </w:pPr>
    </w:p>
    <w:p w14:paraId="1618525E">
      <w:pPr>
        <w:pStyle w:val="20"/>
        <w:rPr>
          <w:color w:val="auto"/>
        </w:rPr>
      </w:pPr>
    </w:p>
    <w:p w14:paraId="3E1C9965">
      <w:pPr>
        <w:pStyle w:val="20"/>
        <w:rPr>
          <w:color w:val="auto"/>
        </w:rPr>
      </w:pPr>
    </w:p>
    <w:p w14:paraId="6A3588D6">
      <w:pPr>
        <w:pStyle w:val="20"/>
        <w:rPr>
          <w:color w:val="auto"/>
        </w:rPr>
      </w:pPr>
    </w:p>
    <w:p w14:paraId="22CF6F15">
      <w:pPr>
        <w:pStyle w:val="20"/>
        <w:rPr>
          <w:color w:val="auto"/>
        </w:rPr>
      </w:pPr>
    </w:p>
    <w:p w14:paraId="0AE53D57">
      <w:pPr>
        <w:pStyle w:val="20"/>
        <w:rPr>
          <w:color w:val="auto"/>
        </w:rPr>
      </w:pPr>
    </w:p>
    <w:p w14:paraId="176EFBBD">
      <w:pPr>
        <w:pStyle w:val="20"/>
        <w:rPr>
          <w:color w:val="auto"/>
        </w:rPr>
      </w:pPr>
    </w:p>
    <w:p w14:paraId="17BC3FEE">
      <w:pPr>
        <w:pStyle w:val="20"/>
        <w:rPr>
          <w:color w:val="auto"/>
        </w:rPr>
      </w:pPr>
    </w:p>
    <w:p w14:paraId="2BED3EC4">
      <w:pPr>
        <w:pStyle w:val="20"/>
        <w:rPr>
          <w:color w:val="auto"/>
        </w:rPr>
      </w:pPr>
    </w:p>
    <w:p w14:paraId="478DAC9C">
      <w:pPr>
        <w:pStyle w:val="20"/>
        <w:rPr>
          <w:color w:val="auto"/>
        </w:rPr>
      </w:pPr>
    </w:p>
    <w:p w14:paraId="2123BA7C">
      <w:pPr>
        <w:pStyle w:val="20"/>
        <w:rPr>
          <w:color w:val="auto"/>
        </w:rPr>
      </w:pPr>
    </w:p>
    <w:p w14:paraId="72B5EA68">
      <w:pPr>
        <w:pStyle w:val="20"/>
        <w:rPr>
          <w:color w:val="auto"/>
        </w:rPr>
      </w:pPr>
    </w:p>
    <w:p w14:paraId="47EE7CEF">
      <w:pPr>
        <w:pStyle w:val="20"/>
        <w:rPr>
          <w:color w:val="auto"/>
        </w:rPr>
      </w:pPr>
    </w:p>
    <w:p w14:paraId="233BBF0F">
      <w:pPr>
        <w:pStyle w:val="20"/>
        <w:rPr>
          <w:color w:val="auto"/>
        </w:rPr>
      </w:pPr>
    </w:p>
    <w:p w14:paraId="461D5AF2">
      <w:pPr>
        <w:pStyle w:val="20"/>
        <w:rPr>
          <w:color w:val="auto"/>
        </w:rPr>
      </w:pPr>
    </w:p>
    <w:p w14:paraId="6F36CE1A">
      <w:pPr>
        <w:pStyle w:val="20"/>
        <w:rPr>
          <w:color w:val="auto"/>
        </w:rPr>
      </w:pPr>
    </w:p>
    <w:p w14:paraId="248DB3A2">
      <w:pPr>
        <w:pStyle w:val="20"/>
        <w:rPr>
          <w:color w:val="auto"/>
        </w:rPr>
      </w:pPr>
    </w:p>
    <w:p w14:paraId="6B310ED0">
      <w:pPr>
        <w:numPr>
          <w:ilvl w:val="0"/>
          <w:numId w:val="8"/>
        </w:numPr>
        <w:spacing w:line="900" w:lineRule="exact"/>
        <w:jc w:val="center"/>
        <w:outlineLvl w:val="1"/>
        <w:rPr>
          <w:rFonts w:hint="eastAsia" w:ascii="宋体" w:hAnsi="宋体" w:cs="宋体"/>
          <w:b/>
          <w:bCs/>
          <w:color w:val="auto"/>
          <w:sz w:val="32"/>
          <w:szCs w:val="32"/>
        </w:rPr>
      </w:pPr>
      <w:bookmarkStart w:id="109" w:name="_Toc17699_WPSOffice_Level1"/>
      <w:r>
        <w:rPr>
          <w:rFonts w:hint="eastAsia" w:ascii="宋体" w:hAnsi="宋体" w:cs="宋体"/>
          <w:b/>
          <w:bCs/>
          <w:color w:val="auto"/>
          <w:sz w:val="32"/>
          <w:szCs w:val="32"/>
        </w:rPr>
        <w:br w:type="page"/>
      </w:r>
      <w:r>
        <w:rPr>
          <w:rFonts w:hint="eastAsia" w:ascii="宋体" w:hAnsi="宋体" w:cs="宋体"/>
          <w:b/>
          <w:bCs/>
          <w:color w:val="auto"/>
          <w:sz w:val="32"/>
          <w:szCs w:val="32"/>
        </w:rPr>
        <w:t>投标文件格式</w:t>
      </w:r>
      <w:bookmarkEnd w:id="109"/>
    </w:p>
    <w:p w14:paraId="54122DE8">
      <w:pPr>
        <w:spacing w:line="900" w:lineRule="exact"/>
        <w:jc w:val="center"/>
        <w:rPr>
          <w:rFonts w:hint="eastAsia" w:ascii="宋体" w:hAnsi="宋体" w:cs="宋体"/>
          <w:b/>
          <w:bCs/>
          <w:color w:val="auto"/>
          <w:sz w:val="32"/>
          <w:szCs w:val="32"/>
        </w:rPr>
      </w:pPr>
      <w:r>
        <w:rPr>
          <w:rFonts w:hint="eastAsia" w:ascii="宋体" w:hAnsi="宋体" w:cs="宋体"/>
          <w:b/>
          <w:bCs/>
          <w:color w:val="auto"/>
          <w:sz w:val="32"/>
          <w:szCs w:val="32"/>
        </w:rPr>
        <w:t>****项目</w:t>
      </w:r>
    </w:p>
    <w:p w14:paraId="5878104C">
      <w:pPr>
        <w:pStyle w:val="20"/>
        <w:rPr>
          <w:color w:val="auto"/>
        </w:rPr>
      </w:pPr>
    </w:p>
    <w:p w14:paraId="1116067C">
      <w:pPr>
        <w:spacing w:line="900" w:lineRule="exact"/>
        <w:jc w:val="center"/>
        <w:rPr>
          <w:rFonts w:hint="eastAsia" w:ascii="宋体" w:hAnsi="宋体" w:cs="宋体"/>
          <w:b/>
          <w:color w:val="auto"/>
          <w:sz w:val="72"/>
        </w:rPr>
      </w:pPr>
      <w:r>
        <w:rPr>
          <w:rFonts w:hint="eastAsia" w:ascii="宋体" w:hAnsi="宋体" w:cs="宋体"/>
          <w:b/>
          <w:color w:val="auto"/>
          <w:sz w:val="72"/>
        </w:rPr>
        <w:t>投</w:t>
      </w:r>
    </w:p>
    <w:p w14:paraId="1503727B">
      <w:pPr>
        <w:spacing w:line="900" w:lineRule="exact"/>
        <w:jc w:val="center"/>
        <w:rPr>
          <w:rFonts w:hint="eastAsia" w:ascii="宋体" w:hAnsi="宋体" w:cs="宋体"/>
          <w:b/>
          <w:color w:val="auto"/>
          <w:sz w:val="72"/>
        </w:rPr>
      </w:pPr>
    </w:p>
    <w:p w14:paraId="404B8B56">
      <w:pPr>
        <w:spacing w:line="900" w:lineRule="exact"/>
        <w:jc w:val="center"/>
        <w:rPr>
          <w:rFonts w:hint="eastAsia" w:ascii="宋体" w:hAnsi="宋体" w:cs="宋体"/>
          <w:b/>
          <w:color w:val="auto"/>
          <w:sz w:val="72"/>
        </w:rPr>
      </w:pPr>
      <w:r>
        <w:rPr>
          <w:rFonts w:hint="eastAsia" w:ascii="宋体" w:hAnsi="宋体" w:cs="宋体"/>
          <w:b/>
          <w:color w:val="auto"/>
          <w:sz w:val="72"/>
        </w:rPr>
        <w:t>标</w:t>
      </w:r>
    </w:p>
    <w:p w14:paraId="2D2D33FE">
      <w:pPr>
        <w:spacing w:line="900" w:lineRule="exact"/>
        <w:jc w:val="center"/>
        <w:rPr>
          <w:rFonts w:hint="eastAsia" w:ascii="宋体" w:hAnsi="宋体" w:cs="宋体"/>
          <w:b/>
          <w:color w:val="auto"/>
          <w:sz w:val="72"/>
        </w:rPr>
      </w:pPr>
    </w:p>
    <w:p w14:paraId="3A305145">
      <w:pPr>
        <w:spacing w:line="900" w:lineRule="exact"/>
        <w:jc w:val="center"/>
        <w:rPr>
          <w:rFonts w:hint="eastAsia" w:ascii="宋体" w:hAnsi="宋体" w:cs="宋体"/>
          <w:b/>
          <w:color w:val="auto"/>
          <w:sz w:val="72"/>
        </w:rPr>
      </w:pPr>
      <w:r>
        <w:rPr>
          <w:rFonts w:hint="eastAsia" w:ascii="宋体" w:hAnsi="宋体" w:cs="宋体"/>
          <w:b/>
          <w:color w:val="auto"/>
          <w:sz w:val="72"/>
        </w:rPr>
        <w:t>文</w:t>
      </w:r>
    </w:p>
    <w:p w14:paraId="6AAA8E2B">
      <w:pPr>
        <w:spacing w:line="900" w:lineRule="exact"/>
        <w:jc w:val="center"/>
        <w:rPr>
          <w:rFonts w:hint="eastAsia" w:ascii="宋体" w:hAnsi="宋体" w:cs="宋体"/>
          <w:b/>
          <w:color w:val="auto"/>
          <w:sz w:val="72"/>
        </w:rPr>
      </w:pPr>
    </w:p>
    <w:p w14:paraId="2C1CFA1D">
      <w:pPr>
        <w:jc w:val="center"/>
        <w:rPr>
          <w:rFonts w:hint="eastAsia" w:ascii="宋体" w:hAnsi="宋体" w:cs="宋体"/>
          <w:b/>
          <w:color w:val="auto"/>
          <w:sz w:val="72"/>
        </w:rPr>
      </w:pPr>
      <w:r>
        <w:rPr>
          <w:rFonts w:hint="eastAsia" w:ascii="宋体" w:hAnsi="宋体" w:cs="宋体"/>
          <w:b/>
          <w:color w:val="auto"/>
          <w:sz w:val="72"/>
        </w:rPr>
        <w:t>件</w:t>
      </w:r>
    </w:p>
    <w:p w14:paraId="6EB3F2FD">
      <w:pPr>
        <w:spacing w:after="120" w:afterLines="50" w:line="500" w:lineRule="exact"/>
        <w:rPr>
          <w:rFonts w:hint="eastAsia" w:ascii="宋体" w:hAnsi="宋体" w:cs="宋体"/>
          <w:b/>
          <w:color w:val="auto"/>
          <w:sz w:val="32"/>
          <w:u w:val="single"/>
        </w:rPr>
      </w:pPr>
      <w:r>
        <w:rPr>
          <w:rFonts w:hint="eastAsia" w:ascii="宋体" w:hAnsi="宋体" w:cs="宋体"/>
          <w:b/>
          <w:color w:val="auto"/>
          <w:sz w:val="30"/>
        </w:rPr>
        <w:t xml:space="preserve">                 </w:t>
      </w:r>
      <w:r>
        <w:rPr>
          <w:rFonts w:hint="eastAsia" w:ascii="宋体" w:hAnsi="宋体" w:cs="宋体"/>
          <w:b/>
          <w:color w:val="auto"/>
          <w:sz w:val="32"/>
        </w:rPr>
        <w:t>投标人：</w:t>
      </w:r>
      <w:r>
        <w:rPr>
          <w:rFonts w:hint="eastAsia" w:ascii="宋体" w:hAnsi="宋体" w:cs="宋体"/>
          <w:b/>
          <w:color w:val="auto"/>
          <w:sz w:val="32"/>
          <w:u w:val="single"/>
        </w:rPr>
        <w:t xml:space="preserve">               </w:t>
      </w:r>
    </w:p>
    <w:p w14:paraId="087DC68E">
      <w:pPr>
        <w:spacing w:after="120" w:afterLines="50" w:line="500" w:lineRule="exact"/>
        <w:jc w:val="center"/>
        <w:rPr>
          <w:rFonts w:hint="eastAsia" w:ascii="宋体" w:hAnsi="宋体" w:cs="宋体"/>
          <w:b/>
          <w:color w:val="auto"/>
          <w:sz w:val="32"/>
        </w:rPr>
      </w:pPr>
      <w:r>
        <w:rPr>
          <w:rFonts w:hint="eastAsia" w:ascii="宋体" w:hAnsi="宋体" w:cs="宋体"/>
          <w:b/>
          <w:color w:val="auto"/>
          <w:sz w:val="32"/>
          <w:u w:val="single"/>
        </w:rPr>
        <w:t xml:space="preserve"> </w:t>
      </w:r>
      <w:bookmarkStart w:id="110" w:name="_Toc5567_WPSOffice_Level2"/>
      <w:r>
        <w:rPr>
          <w:rFonts w:hint="eastAsia" w:ascii="宋体" w:hAnsi="宋体" w:cs="宋体"/>
          <w:b/>
          <w:color w:val="auto"/>
          <w:sz w:val="32"/>
        </w:rPr>
        <w:t>年</w:t>
      </w:r>
      <w:r>
        <w:rPr>
          <w:rFonts w:hint="eastAsia" w:ascii="宋体" w:hAnsi="宋体" w:cs="宋体"/>
          <w:b/>
          <w:color w:val="auto"/>
          <w:sz w:val="32"/>
          <w:u w:val="single"/>
        </w:rPr>
        <w:t xml:space="preserve"> </w:t>
      </w:r>
      <w:r>
        <w:rPr>
          <w:rFonts w:hint="eastAsia" w:ascii="宋体" w:hAnsi="宋体" w:cs="宋体"/>
          <w:b/>
          <w:color w:val="auto"/>
          <w:sz w:val="32"/>
        </w:rPr>
        <w:t>月</w:t>
      </w:r>
      <w:r>
        <w:rPr>
          <w:rFonts w:hint="eastAsia" w:ascii="宋体" w:hAnsi="宋体" w:cs="宋体"/>
          <w:b/>
          <w:color w:val="auto"/>
          <w:sz w:val="32"/>
          <w:u w:val="single"/>
        </w:rPr>
        <w:t xml:space="preserve"> </w:t>
      </w:r>
      <w:r>
        <w:rPr>
          <w:rFonts w:hint="eastAsia" w:ascii="宋体" w:hAnsi="宋体" w:cs="宋体"/>
          <w:b/>
          <w:color w:val="auto"/>
          <w:sz w:val="32"/>
        </w:rPr>
        <w:t>日</w:t>
      </w:r>
      <w:bookmarkEnd w:id="110"/>
    </w:p>
    <w:p w14:paraId="5C36E5C3">
      <w:pPr>
        <w:rPr>
          <w:rFonts w:hint="eastAsia" w:ascii="宋体" w:hAnsi="宋体" w:cs="宋体"/>
          <w:color w:val="auto"/>
        </w:rPr>
      </w:pPr>
      <w:bookmarkStart w:id="111" w:name="_Hlt533408877"/>
      <w:bookmarkEnd w:id="111"/>
      <w:bookmarkStart w:id="112" w:name="_Hlt519045470"/>
      <w:bookmarkEnd w:id="112"/>
      <w:bookmarkStart w:id="113" w:name="_Hlt519068595"/>
      <w:bookmarkEnd w:id="113"/>
      <w:bookmarkStart w:id="114" w:name="_Hlt50174708"/>
      <w:bookmarkEnd w:id="114"/>
      <w:bookmarkStart w:id="115" w:name="_Hlt50174722"/>
      <w:bookmarkEnd w:id="115"/>
      <w:bookmarkStart w:id="116" w:name="_Hlt50174972"/>
      <w:bookmarkEnd w:id="116"/>
    </w:p>
    <w:p w14:paraId="4119622D">
      <w:pPr>
        <w:pStyle w:val="45"/>
        <w:ind w:firstLine="0" w:firstLineChars="0"/>
        <w:rPr>
          <w:color w:val="auto"/>
        </w:rPr>
      </w:pPr>
    </w:p>
    <w:p w14:paraId="05D82740">
      <w:pPr>
        <w:rPr>
          <w:rFonts w:hint="eastAsia" w:ascii="宋体" w:hAnsi="宋体" w:cs="宋体"/>
          <w:color w:val="auto"/>
        </w:rPr>
      </w:pPr>
      <w:bookmarkStart w:id="117" w:name="_Toc20284_WPSOffice_Level2"/>
      <w:r>
        <w:rPr>
          <w:rFonts w:hint="eastAsia" w:ascii="宋体" w:hAnsi="宋体" w:cs="宋体"/>
          <w:color w:val="auto"/>
        </w:rPr>
        <w:br w:type="page"/>
      </w:r>
    </w:p>
    <w:p w14:paraId="50667FFE">
      <w:pPr>
        <w:pStyle w:val="26"/>
        <w:rPr>
          <w:rFonts w:hint="eastAsia" w:ascii="宋体" w:hAnsi="宋体" w:eastAsia="宋体" w:cs="宋体"/>
          <w:color w:val="auto"/>
        </w:rPr>
      </w:pPr>
      <w:r>
        <w:rPr>
          <w:rFonts w:hint="eastAsia" w:ascii="宋体" w:hAnsi="宋体" w:eastAsia="宋体" w:cs="宋体"/>
          <w:color w:val="auto"/>
        </w:rPr>
        <w:t>投标文件资料清单</w:t>
      </w:r>
      <w:bookmarkEnd w:id="117"/>
    </w:p>
    <w:tbl>
      <w:tblPr>
        <w:tblStyle w:val="2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0DAB8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7490087">
            <w:pPr>
              <w:spacing w:line="400" w:lineRule="exact"/>
              <w:jc w:val="center"/>
              <w:rPr>
                <w:rFonts w:hint="eastAsia" w:ascii="宋体" w:hAnsi="宋体" w:cs="宋体"/>
                <w:b/>
                <w:color w:val="auto"/>
                <w:sz w:val="24"/>
              </w:rPr>
            </w:pPr>
            <w:r>
              <w:rPr>
                <w:rFonts w:hint="eastAsia" w:ascii="宋体" w:hAnsi="宋体" w:cs="宋体"/>
                <w:b/>
                <w:color w:val="auto"/>
                <w:sz w:val="24"/>
              </w:rPr>
              <w:t>序号</w:t>
            </w:r>
          </w:p>
        </w:tc>
        <w:tc>
          <w:tcPr>
            <w:tcW w:w="5460" w:type="dxa"/>
            <w:vAlign w:val="center"/>
          </w:tcPr>
          <w:p w14:paraId="16A5F8F0">
            <w:pPr>
              <w:spacing w:line="400" w:lineRule="exact"/>
              <w:jc w:val="center"/>
              <w:rPr>
                <w:rFonts w:hint="eastAsia" w:ascii="宋体" w:hAnsi="宋体" w:cs="宋体"/>
                <w:b/>
                <w:color w:val="auto"/>
                <w:sz w:val="24"/>
              </w:rPr>
            </w:pPr>
            <w:r>
              <w:rPr>
                <w:rFonts w:hint="eastAsia" w:ascii="宋体" w:hAnsi="宋体" w:cs="宋体"/>
                <w:b/>
                <w:color w:val="auto"/>
                <w:sz w:val="24"/>
              </w:rPr>
              <w:t>资料名称</w:t>
            </w:r>
          </w:p>
        </w:tc>
        <w:tc>
          <w:tcPr>
            <w:tcW w:w="1854" w:type="dxa"/>
            <w:vAlign w:val="center"/>
          </w:tcPr>
          <w:p w14:paraId="784BC402">
            <w:pPr>
              <w:spacing w:line="400" w:lineRule="exact"/>
              <w:jc w:val="center"/>
              <w:rPr>
                <w:rFonts w:hint="eastAsia" w:ascii="宋体" w:hAnsi="宋体" w:cs="宋体"/>
                <w:b/>
                <w:color w:val="auto"/>
                <w:sz w:val="24"/>
              </w:rPr>
            </w:pPr>
            <w:r>
              <w:rPr>
                <w:rFonts w:hint="eastAsia" w:ascii="宋体" w:hAnsi="宋体" w:cs="宋体"/>
                <w:b/>
                <w:color w:val="auto"/>
                <w:sz w:val="24"/>
              </w:rPr>
              <w:t>页码范围</w:t>
            </w:r>
          </w:p>
        </w:tc>
      </w:tr>
      <w:tr w14:paraId="6F30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7D15863">
            <w:pPr>
              <w:jc w:val="center"/>
              <w:rPr>
                <w:rFonts w:hint="eastAsia" w:ascii="宋体" w:hAnsi="宋体" w:cs="宋体"/>
                <w:color w:val="auto"/>
                <w:sz w:val="24"/>
              </w:rPr>
            </w:pPr>
            <w:r>
              <w:rPr>
                <w:rFonts w:hint="eastAsia" w:ascii="宋体" w:hAnsi="宋体" w:cs="宋体"/>
                <w:color w:val="auto"/>
                <w:sz w:val="24"/>
              </w:rPr>
              <w:t>一</w:t>
            </w:r>
          </w:p>
        </w:tc>
        <w:tc>
          <w:tcPr>
            <w:tcW w:w="5460" w:type="dxa"/>
            <w:vAlign w:val="center"/>
          </w:tcPr>
          <w:p w14:paraId="05387C93">
            <w:pPr>
              <w:rPr>
                <w:rFonts w:hint="eastAsia" w:ascii="宋体" w:hAnsi="宋体" w:cs="宋体"/>
                <w:color w:val="auto"/>
                <w:u w:val="single"/>
              </w:rPr>
            </w:pPr>
            <w:r>
              <w:rPr>
                <w:rFonts w:hint="eastAsia" w:ascii="宋体" w:hAnsi="宋体" w:cs="宋体"/>
                <w:bCs/>
                <w:color w:val="auto"/>
                <w:sz w:val="24"/>
              </w:rPr>
              <w:t>开标一览表</w:t>
            </w:r>
          </w:p>
        </w:tc>
        <w:tc>
          <w:tcPr>
            <w:tcW w:w="1854" w:type="dxa"/>
            <w:vAlign w:val="center"/>
          </w:tcPr>
          <w:p w14:paraId="630FC621">
            <w:pPr>
              <w:spacing w:line="360" w:lineRule="auto"/>
              <w:jc w:val="center"/>
              <w:rPr>
                <w:rFonts w:hint="eastAsia" w:ascii="宋体" w:hAnsi="宋体" w:cs="宋体"/>
                <w:b/>
                <w:color w:val="auto"/>
                <w:sz w:val="24"/>
              </w:rPr>
            </w:pPr>
          </w:p>
        </w:tc>
      </w:tr>
      <w:tr w14:paraId="113A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B2AADA1">
            <w:pPr>
              <w:jc w:val="center"/>
              <w:rPr>
                <w:rFonts w:hint="eastAsia" w:ascii="宋体" w:hAnsi="宋体" w:cs="宋体"/>
                <w:color w:val="auto"/>
                <w:sz w:val="24"/>
              </w:rPr>
            </w:pPr>
            <w:r>
              <w:rPr>
                <w:rFonts w:hint="eastAsia" w:ascii="宋体" w:hAnsi="宋体" w:cs="宋体"/>
                <w:color w:val="auto"/>
                <w:sz w:val="24"/>
              </w:rPr>
              <w:t>二</w:t>
            </w:r>
          </w:p>
        </w:tc>
        <w:tc>
          <w:tcPr>
            <w:tcW w:w="5460" w:type="dxa"/>
            <w:vAlign w:val="center"/>
          </w:tcPr>
          <w:p w14:paraId="6F53C40A">
            <w:pPr>
              <w:rPr>
                <w:rFonts w:hint="eastAsia" w:ascii="宋体" w:hAnsi="宋体" w:cs="宋体"/>
                <w:bCs/>
                <w:color w:val="auto"/>
                <w:sz w:val="24"/>
              </w:rPr>
            </w:pPr>
            <w:r>
              <w:rPr>
                <w:rFonts w:hint="eastAsia" w:ascii="宋体" w:hAnsi="宋体" w:cs="宋体"/>
                <w:color w:val="auto"/>
                <w:sz w:val="24"/>
              </w:rPr>
              <w:t>投标人情况综合简介</w:t>
            </w:r>
          </w:p>
        </w:tc>
        <w:tc>
          <w:tcPr>
            <w:tcW w:w="1854" w:type="dxa"/>
            <w:vAlign w:val="center"/>
          </w:tcPr>
          <w:p w14:paraId="7B94A991">
            <w:pPr>
              <w:spacing w:line="360" w:lineRule="auto"/>
              <w:jc w:val="center"/>
              <w:rPr>
                <w:rFonts w:hint="eastAsia" w:ascii="宋体" w:hAnsi="宋体" w:cs="宋体"/>
                <w:b/>
                <w:color w:val="auto"/>
                <w:sz w:val="24"/>
              </w:rPr>
            </w:pPr>
          </w:p>
        </w:tc>
      </w:tr>
      <w:tr w14:paraId="5D65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D5BD2B0">
            <w:pPr>
              <w:jc w:val="center"/>
              <w:rPr>
                <w:rFonts w:hint="eastAsia" w:ascii="宋体" w:hAnsi="宋体" w:cs="宋体"/>
                <w:bCs/>
                <w:color w:val="auto"/>
                <w:sz w:val="24"/>
              </w:rPr>
            </w:pPr>
            <w:r>
              <w:rPr>
                <w:rFonts w:hint="eastAsia" w:ascii="宋体" w:hAnsi="宋体" w:cs="宋体"/>
                <w:bCs/>
                <w:color w:val="auto"/>
                <w:sz w:val="24"/>
              </w:rPr>
              <w:t>三</w:t>
            </w:r>
          </w:p>
        </w:tc>
        <w:tc>
          <w:tcPr>
            <w:tcW w:w="5460" w:type="dxa"/>
            <w:vAlign w:val="center"/>
          </w:tcPr>
          <w:p w14:paraId="46AEB6A7">
            <w:pPr>
              <w:rPr>
                <w:rFonts w:hint="eastAsia" w:ascii="宋体" w:hAnsi="宋体" w:cs="宋体"/>
                <w:bCs/>
                <w:color w:val="auto"/>
                <w:sz w:val="24"/>
              </w:rPr>
            </w:pPr>
            <w:r>
              <w:rPr>
                <w:rFonts w:hint="eastAsia" w:ascii="宋体" w:hAnsi="宋体" w:cs="宋体"/>
                <w:bCs/>
                <w:color w:val="auto"/>
                <w:sz w:val="24"/>
              </w:rPr>
              <w:t>投标函</w:t>
            </w:r>
          </w:p>
        </w:tc>
        <w:tc>
          <w:tcPr>
            <w:tcW w:w="1854" w:type="dxa"/>
            <w:vAlign w:val="center"/>
          </w:tcPr>
          <w:p w14:paraId="37A2034E">
            <w:pPr>
              <w:spacing w:line="360" w:lineRule="auto"/>
              <w:jc w:val="center"/>
              <w:rPr>
                <w:rFonts w:hint="eastAsia" w:ascii="宋体" w:hAnsi="宋体" w:cs="宋体"/>
                <w:b/>
                <w:color w:val="auto"/>
                <w:sz w:val="24"/>
              </w:rPr>
            </w:pPr>
          </w:p>
        </w:tc>
      </w:tr>
      <w:tr w14:paraId="6D28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B83D3F3">
            <w:pPr>
              <w:jc w:val="center"/>
              <w:rPr>
                <w:rFonts w:hint="eastAsia" w:ascii="宋体" w:hAnsi="宋体" w:cs="宋体"/>
                <w:color w:val="auto"/>
                <w:sz w:val="24"/>
              </w:rPr>
            </w:pPr>
            <w:r>
              <w:rPr>
                <w:rFonts w:hint="eastAsia" w:ascii="宋体" w:hAnsi="宋体" w:cs="宋体"/>
                <w:color w:val="auto"/>
                <w:sz w:val="24"/>
              </w:rPr>
              <w:t>四</w:t>
            </w:r>
          </w:p>
        </w:tc>
        <w:tc>
          <w:tcPr>
            <w:tcW w:w="5460" w:type="dxa"/>
            <w:vAlign w:val="center"/>
          </w:tcPr>
          <w:p w14:paraId="2B66D11E">
            <w:pPr>
              <w:pStyle w:val="53"/>
              <w:rPr>
                <w:rFonts w:hint="eastAsia" w:ascii="宋体" w:hAnsi="宋体" w:cs="宋体"/>
                <w:bCs/>
                <w:color w:val="auto"/>
              </w:rPr>
            </w:pPr>
            <w:r>
              <w:rPr>
                <w:rFonts w:hint="eastAsia" w:ascii="宋体" w:hAnsi="宋体" w:cs="宋体"/>
                <w:bCs/>
                <w:color w:val="auto"/>
              </w:rPr>
              <w:t>投标分项报价表</w:t>
            </w:r>
          </w:p>
        </w:tc>
        <w:tc>
          <w:tcPr>
            <w:tcW w:w="1854" w:type="dxa"/>
            <w:vAlign w:val="center"/>
          </w:tcPr>
          <w:p w14:paraId="22713C73">
            <w:pPr>
              <w:spacing w:line="360" w:lineRule="auto"/>
              <w:jc w:val="center"/>
              <w:rPr>
                <w:rFonts w:hint="eastAsia" w:ascii="宋体" w:hAnsi="宋体" w:cs="宋体"/>
                <w:b/>
                <w:color w:val="auto"/>
                <w:sz w:val="24"/>
              </w:rPr>
            </w:pPr>
          </w:p>
        </w:tc>
      </w:tr>
      <w:tr w14:paraId="2FA4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0288CD3">
            <w:pPr>
              <w:jc w:val="center"/>
              <w:rPr>
                <w:rFonts w:hint="eastAsia" w:ascii="宋体" w:hAnsi="宋体" w:cs="宋体"/>
                <w:color w:val="auto"/>
                <w:sz w:val="24"/>
              </w:rPr>
            </w:pPr>
            <w:r>
              <w:rPr>
                <w:rFonts w:hint="eastAsia" w:ascii="宋体" w:hAnsi="宋体" w:cs="宋体"/>
                <w:color w:val="auto"/>
                <w:sz w:val="24"/>
              </w:rPr>
              <w:t>五</w:t>
            </w:r>
          </w:p>
        </w:tc>
        <w:tc>
          <w:tcPr>
            <w:tcW w:w="5460" w:type="dxa"/>
            <w:vAlign w:val="center"/>
          </w:tcPr>
          <w:p w14:paraId="3EAF6739">
            <w:pPr>
              <w:rPr>
                <w:rFonts w:hint="eastAsia" w:ascii="宋体" w:hAnsi="宋体" w:cs="宋体"/>
                <w:bCs/>
                <w:color w:val="auto"/>
                <w:sz w:val="24"/>
              </w:rPr>
            </w:pPr>
            <w:r>
              <w:rPr>
                <w:rFonts w:hint="eastAsia" w:ascii="宋体" w:hAnsi="宋体" w:cs="宋体"/>
                <w:color w:val="auto"/>
                <w:sz w:val="24"/>
              </w:rPr>
              <w:t>投标响应表</w:t>
            </w:r>
          </w:p>
        </w:tc>
        <w:tc>
          <w:tcPr>
            <w:tcW w:w="1854" w:type="dxa"/>
            <w:vAlign w:val="center"/>
          </w:tcPr>
          <w:p w14:paraId="6A17D71D">
            <w:pPr>
              <w:spacing w:line="360" w:lineRule="auto"/>
              <w:jc w:val="center"/>
              <w:rPr>
                <w:rFonts w:hint="eastAsia" w:ascii="宋体" w:hAnsi="宋体" w:cs="宋体"/>
                <w:b/>
                <w:color w:val="auto"/>
                <w:sz w:val="24"/>
              </w:rPr>
            </w:pPr>
          </w:p>
        </w:tc>
      </w:tr>
      <w:tr w14:paraId="3F524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4DFCA4C1">
            <w:pPr>
              <w:jc w:val="center"/>
              <w:rPr>
                <w:rFonts w:hint="eastAsia" w:ascii="宋体" w:hAnsi="宋体" w:cs="宋体"/>
                <w:color w:val="auto"/>
                <w:sz w:val="24"/>
              </w:rPr>
            </w:pPr>
            <w:r>
              <w:rPr>
                <w:rFonts w:hint="eastAsia" w:ascii="宋体" w:hAnsi="宋体" w:cs="宋体"/>
                <w:color w:val="auto"/>
                <w:sz w:val="24"/>
              </w:rPr>
              <w:t>六</w:t>
            </w:r>
          </w:p>
        </w:tc>
        <w:tc>
          <w:tcPr>
            <w:tcW w:w="5460" w:type="dxa"/>
            <w:vAlign w:val="center"/>
          </w:tcPr>
          <w:p w14:paraId="70494DD0">
            <w:pPr>
              <w:rPr>
                <w:rFonts w:hint="eastAsia" w:ascii="宋体" w:hAnsi="宋体" w:cs="宋体"/>
                <w:color w:val="auto"/>
                <w:sz w:val="24"/>
              </w:rPr>
            </w:pPr>
            <w:r>
              <w:rPr>
                <w:rFonts w:hint="eastAsia" w:ascii="宋体" w:hAnsi="宋体" w:cs="宋体"/>
                <w:color w:val="auto"/>
                <w:sz w:val="24"/>
              </w:rPr>
              <w:t>产品质量承诺</w:t>
            </w:r>
          </w:p>
        </w:tc>
        <w:tc>
          <w:tcPr>
            <w:tcW w:w="1854" w:type="dxa"/>
            <w:vAlign w:val="center"/>
          </w:tcPr>
          <w:p w14:paraId="473B0C43">
            <w:pPr>
              <w:spacing w:line="360" w:lineRule="auto"/>
              <w:rPr>
                <w:rFonts w:hint="eastAsia" w:ascii="宋体" w:hAnsi="宋体" w:cs="宋体"/>
                <w:b/>
                <w:color w:val="auto"/>
                <w:sz w:val="24"/>
              </w:rPr>
            </w:pPr>
          </w:p>
        </w:tc>
      </w:tr>
      <w:tr w14:paraId="04B5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53B3DC84">
            <w:pPr>
              <w:jc w:val="center"/>
              <w:rPr>
                <w:rFonts w:hint="eastAsia" w:ascii="宋体" w:hAnsi="宋体" w:cs="宋体"/>
                <w:color w:val="auto"/>
                <w:sz w:val="24"/>
              </w:rPr>
            </w:pPr>
            <w:r>
              <w:rPr>
                <w:rFonts w:hint="eastAsia" w:ascii="宋体" w:hAnsi="宋体" w:cs="宋体"/>
                <w:color w:val="auto"/>
                <w:sz w:val="24"/>
              </w:rPr>
              <w:t>七</w:t>
            </w:r>
          </w:p>
        </w:tc>
        <w:tc>
          <w:tcPr>
            <w:tcW w:w="5460" w:type="dxa"/>
            <w:vAlign w:val="center"/>
          </w:tcPr>
          <w:p w14:paraId="361FA120">
            <w:pPr>
              <w:rPr>
                <w:rFonts w:hint="eastAsia" w:ascii="宋体" w:hAnsi="宋体" w:cs="宋体"/>
                <w:color w:val="auto"/>
                <w:sz w:val="24"/>
              </w:rPr>
            </w:pPr>
            <w:r>
              <w:rPr>
                <w:rFonts w:hint="eastAsia" w:ascii="宋体" w:hAnsi="宋体" w:cs="宋体"/>
                <w:color w:val="auto"/>
                <w:sz w:val="24"/>
              </w:rPr>
              <w:t>所供货物组部件、备品、备件清单</w:t>
            </w:r>
          </w:p>
        </w:tc>
        <w:tc>
          <w:tcPr>
            <w:tcW w:w="1854" w:type="dxa"/>
            <w:vAlign w:val="center"/>
          </w:tcPr>
          <w:p w14:paraId="7675150D">
            <w:pPr>
              <w:spacing w:line="360" w:lineRule="auto"/>
              <w:rPr>
                <w:rFonts w:hint="eastAsia" w:ascii="宋体" w:hAnsi="宋体" w:cs="宋体"/>
                <w:b/>
                <w:color w:val="auto"/>
                <w:sz w:val="24"/>
              </w:rPr>
            </w:pPr>
          </w:p>
        </w:tc>
      </w:tr>
      <w:tr w14:paraId="14C9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40CB6CF4">
            <w:pPr>
              <w:jc w:val="center"/>
              <w:rPr>
                <w:rFonts w:hint="eastAsia" w:ascii="宋体" w:hAnsi="宋体" w:cs="宋体"/>
                <w:color w:val="auto"/>
                <w:sz w:val="24"/>
              </w:rPr>
            </w:pPr>
            <w:r>
              <w:rPr>
                <w:rFonts w:hint="eastAsia" w:ascii="宋体" w:hAnsi="宋体" w:cs="宋体"/>
                <w:color w:val="auto"/>
                <w:sz w:val="24"/>
              </w:rPr>
              <w:t>八</w:t>
            </w:r>
          </w:p>
        </w:tc>
        <w:tc>
          <w:tcPr>
            <w:tcW w:w="5460" w:type="dxa"/>
            <w:vAlign w:val="center"/>
          </w:tcPr>
          <w:p w14:paraId="571FAB80">
            <w:pPr>
              <w:rPr>
                <w:rFonts w:hint="eastAsia" w:ascii="宋体" w:hAnsi="宋体" w:cs="宋体"/>
                <w:color w:val="auto"/>
                <w:sz w:val="24"/>
              </w:rPr>
            </w:pPr>
            <w:r>
              <w:rPr>
                <w:rFonts w:hint="eastAsia" w:ascii="宋体" w:hAnsi="宋体" w:cs="宋体"/>
                <w:color w:val="auto"/>
                <w:sz w:val="24"/>
              </w:rPr>
              <w:t>有关证明文件</w:t>
            </w:r>
          </w:p>
        </w:tc>
        <w:tc>
          <w:tcPr>
            <w:tcW w:w="1854" w:type="dxa"/>
            <w:vAlign w:val="center"/>
          </w:tcPr>
          <w:p w14:paraId="750325B0">
            <w:pPr>
              <w:spacing w:line="360" w:lineRule="auto"/>
              <w:rPr>
                <w:rFonts w:hint="eastAsia" w:ascii="宋体" w:hAnsi="宋体" w:cs="宋体"/>
                <w:b/>
                <w:color w:val="auto"/>
                <w:sz w:val="24"/>
              </w:rPr>
            </w:pPr>
          </w:p>
        </w:tc>
      </w:tr>
      <w:tr w14:paraId="1D838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1C359197">
            <w:pPr>
              <w:jc w:val="center"/>
              <w:rPr>
                <w:rFonts w:hint="eastAsia" w:ascii="宋体" w:hAnsi="宋体" w:cs="宋体"/>
                <w:color w:val="auto"/>
                <w:sz w:val="24"/>
              </w:rPr>
            </w:pPr>
            <w:r>
              <w:rPr>
                <w:rFonts w:hint="eastAsia" w:ascii="宋体" w:hAnsi="宋体" w:cs="宋体"/>
                <w:color w:val="auto"/>
                <w:sz w:val="24"/>
              </w:rPr>
              <w:t>九</w:t>
            </w:r>
          </w:p>
        </w:tc>
        <w:tc>
          <w:tcPr>
            <w:tcW w:w="5460" w:type="dxa"/>
            <w:vAlign w:val="center"/>
          </w:tcPr>
          <w:p w14:paraId="4E1F13D7">
            <w:pPr>
              <w:rPr>
                <w:rFonts w:hint="eastAsia" w:ascii="宋体" w:hAnsi="宋体" w:cs="宋体"/>
                <w:color w:val="auto"/>
                <w:sz w:val="24"/>
              </w:rPr>
            </w:pPr>
            <w:r>
              <w:rPr>
                <w:rFonts w:hint="eastAsia" w:ascii="宋体" w:hAnsi="宋体" w:cs="宋体"/>
                <w:color w:val="auto"/>
                <w:sz w:val="24"/>
              </w:rPr>
              <w:t>中小企业声明函</w:t>
            </w:r>
          </w:p>
        </w:tc>
        <w:tc>
          <w:tcPr>
            <w:tcW w:w="1854" w:type="dxa"/>
            <w:vAlign w:val="center"/>
          </w:tcPr>
          <w:p w14:paraId="1948EB9C">
            <w:pPr>
              <w:spacing w:line="360" w:lineRule="auto"/>
              <w:rPr>
                <w:rFonts w:hint="eastAsia" w:ascii="宋体" w:hAnsi="宋体" w:cs="宋体"/>
                <w:b/>
                <w:color w:val="auto"/>
                <w:sz w:val="24"/>
              </w:rPr>
            </w:pPr>
          </w:p>
        </w:tc>
      </w:tr>
      <w:tr w14:paraId="2C1D9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59830C58">
            <w:pPr>
              <w:jc w:val="center"/>
              <w:rPr>
                <w:rFonts w:hint="eastAsia" w:ascii="宋体" w:hAnsi="宋体" w:cs="宋体"/>
                <w:color w:val="auto"/>
                <w:sz w:val="24"/>
              </w:rPr>
            </w:pPr>
            <w:r>
              <w:rPr>
                <w:rFonts w:hint="eastAsia" w:ascii="宋体" w:hAnsi="宋体" w:cs="宋体"/>
                <w:color w:val="auto"/>
                <w:sz w:val="24"/>
              </w:rPr>
              <w:t>十</w:t>
            </w:r>
          </w:p>
        </w:tc>
        <w:tc>
          <w:tcPr>
            <w:tcW w:w="5460" w:type="dxa"/>
            <w:vAlign w:val="center"/>
          </w:tcPr>
          <w:p w14:paraId="137D643D">
            <w:pPr>
              <w:rPr>
                <w:rFonts w:hint="eastAsia" w:ascii="宋体" w:hAnsi="宋体" w:cs="宋体"/>
                <w:color w:val="auto"/>
                <w:sz w:val="24"/>
              </w:rPr>
            </w:pPr>
            <w:r>
              <w:rPr>
                <w:rFonts w:hint="eastAsia" w:ascii="宋体" w:hAnsi="宋体" w:cs="宋体"/>
                <w:color w:val="auto"/>
                <w:sz w:val="24"/>
              </w:rPr>
              <w:t>售后服务</w:t>
            </w:r>
          </w:p>
        </w:tc>
        <w:tc>
          <w:tcPr>
            <w:tcW w:w="1854" w:type="dxa"/>
            <w:vAlign w:val="center"/>
          </w:tcPr>
          <w:p w14:paraId="4C7B2A96">
            <w:pPr>
              <w:spacing w:line="360" w:lineRule="auto"/>
              <w:rPr>
                <w:rFonts w:hint="eastAsia" w:ascii="宋体" w:hAnsi="宋体" w:cs="宋体"/>
                <w:b/>
                <w:color w:val="auto"/>
                <w:sz w:val="24"/>
              </w:rPr>
            </w:pPr>
          </w:p>
        </w:tc>
      </w:tr>
      <w:tr w14:paraId="35A16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7845C64">
            <w:pPr>
              <w:jc w:val="center"/>
              <w:rPr>
                <w:rFonts w:hint="eastAsia" w:ascii="宋体" w:hAnsi="宋体" w:cs="宋体"/>
                <w:color w:val="auto"/>
                <w:sz w:val="24"/>
              </w:rPr>
            </w:pPr>
            <w:r>
              <w:rPr>
                <w:rFonts w:hint="eastAsia" w:ascii="宋体" w:hAnsi="宋体" w:cs="宋体"/>
                <w:color w:val="auto"/>
                <w:sz w:val="24"/>
              </w:rPr>
              <w:t>十一</w:t>
            </w:r>
          </w:p>
        </w:tc>
        <w:tc>
          <w:tcPr>
            <w:tcW w:w="5460" w:type="dxa"/>
            <w:vAlign w:val="center"/>
          </w:tcPr>
          <w:p w14:paraId="7BD90AF1">
            <w:pPr>
              <w:rPr>
                <w:rFonts w:hint="eastAsia" w:ascii="宋体" w:hAnsi="宋体" w:cs="宋体"/>
                <w:color w:val="auto"/>
                <w:sz w:val="24"/>
              </w:rPr>
            </w:pPr>
            <w:r>
              <w:rPr>
                <w:rFonts w:hint="eastAsia" w:ascii="宋体" w:hAnsi="宋体" w:cs="宋体"/>
                <w:color w:val="auto"/>
                <w:sz w:val="24"/>
              </w:rPr>
              <w:t>所投货物的技术资料等</w:t>
            </w:r>
          </w:p>
        </w:tc>
        <w:tc>
          <w:tcPr>
            <w:tcW w:w="1854" w:type="dxa"/>
            <w:vAlign w:val="center"/>
          </w:tcPr>
          <w:p w14:paraId="5085BC9B">
            <w:pPr>
              <w:spacing w:line="360" w:lineRule="auto"/>
              <w:rPr>
                <w:rFonts w:hint="eastAsia" w:ascii="宋体" w:hAnsi="宋体" w:cs="宋体"/>
                <w:b/>
                <w:color w:val="auto"/>
                <w:sz w:val="24"/>
              </w:rPr>
            </w:pPr>
          </w:p>
        </w:tc>
      </w:tr>
      <w:tr w14:paraId="1E08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0BDE18E0">
            <w:pPr>
              <w:jc w:val="center"/>
              <w:rPr>
                <w:rFonts w:hint="eastAsia" w:ascii="宋体" w:hAnsi="宋体" w:cs="宋体"/>
                <w:color w:val="auto"/>
                <w:sz w:val="24"/>
              </w:rPr>
            </w:pPr>
            <w:r>
              <w:rPr>
                <w:rFonts w:hint="eastAsia" w:ascii="宋体" w:hAnsi="宋体" w:cs="宋体"/>
                <w:color w:val="auto"/>
                <w:sz w:val="24"/>
              </w:rPr>
              <w:t>十二</w:t>
            </w:r>
          </w:p>
        </w:tc>
        <w:tc>
          <w:tcPr>
            <w:tcW w:w="5460" w:type="dxa"/>
            <w:vAlign w:val="center"/>
          </w:tcPr>
          <w:p w14:paraId="626D03BE">
            <w:pPr>
              <w:rPr>
                <w:rFonts w:hint="eastAsia" w:ascii="宋体" w:hAnsi="宋体" w:cs="宋体"/>
                <w:color w:val="auto"/>
                <w:sz w:val="24"/>
              </w:rPr>
            </w:pPr>
            <w:r>
              <w:rPr>
                <w:rFonts w:hint="eastAsia" w:ascii="宋体" w:hAnsi="宋体" w:cs="宋体"/>
                <w:color w:val="auto"/>
                <w:sz w:val="24"/>
              </w:rPr>
              <w:t>其他投标人认为需要提供得材料等</w:t>
            </w:r>
          </w:p>
        </w:tc>
        <w:tc>
          <w:tcPr>
            <w:tcW w:w="1854" w:type="dxa"/>
            <w:vAlign w:val="center"/>
          </w:tcPr>
          <w:p w14:paraId="0B357CF9">
            <w:pPr>
              <w:spacing w:line="360" w:lineRule="auto"/>
              <w:rPr>
                <w:rFonts w:hint="eastAsia" w:ascii="宋体" w:hAnsi="宋体" w:cs="宋体"/>
                <w:b/>
                <w:color w:val="auto"/>
                <w:sz w:val="24"/>
              </w:rPr>
            </w:pPr>
          </w:p>
        </w:tc>
      </w:tr>
      <w:tr w14:paraId="5F8A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6F34E83">
            <w:pPr>
              <w:rPr>
                <w:rFonts w:hint="eastAsia" w:ascii="宋体" w:hAnsi="宋体" w:cs="宋体"/>
                <w:color w:val="auto"/>
                <w:sz w:val="24"/>
              </w:rPr>
            </w:pPr>
            <w:r>
              <w:rPr>
                <w:rFonts w:hint="eastAsia" w:ascii="宋体" w:hAnsi="宋体" w:cs="宋体"/>
                <w:color w:val="auto"/>
                <w:sz w:val="24"/>
              </w:rPr>
              <w:t>十三</w:t>
            </w:r>
          </w:p>
        </w:tc>
        <w:tc>
          <w:tcPr>
            <w:tcW w:w="5460" w:type="dxa"/>
            <w:vAlign w:val="center"/>
          </w:tcPr>
          <w:p w14:paraId="2F17D8A0">
            <w:pPr>
              <w:rPr>
                <w:rFonts w:hint="eastAsia" w:ascii="宋体" w:hAnsi="宋体" w:cs="宋体"/>
                <w:color w:val="auto"/>
                <w:sz w:val="24"/>
              </w:rPr>
            </w:pPr>
            <w:r>
              <w:rPr>
                <w:rFonts w:hint="eastAsia" w:ascii="宋体" w:hAnsi="宋体" w:cs="宋体"/>
                <w:color w:val="auto"/>
                <w:sz w:val="24"/>
              </w:rPr>
              <w:t>政府采购供应商诚信承诺书</w:t>
            </w:r>
          </w:p>
          <w:p w14:paraId="40DE2E38">
            <w:pPr>
              <w:rPr>
                <w:rFonts w:hint="eastAsia" w:ascii="宋体" w:hAnsi="宋体" w:cs="宋体"/>
                <w:color w:val="auto"/>
                <w:sz w:val="24"/>
              </w:rPr>
            </w:pPr>
          </w:p>
        </w:tc>
        <w:tc>
          <w:tcPr>
            <w:tcW w:w="1854" w:type="dxa"/>
            <w:vAlign w:val="center"/>
          </w:tcPr>
          <w:p w14:paraId="269FE7BF">
            <w:pPr>
              <w:spacing w:line="360" w:lineRule="auto"/>
              <w:rPr>
                <w:rFonts w:hint="eastAsia" w:ascii="宋体" w:hAnsi="宋体" w:cs="宋体"/>
                <w:b/>
                <w:color w:val="auto"/>
                <w:sz w:val="24"/>
              </w:rPr>
            </w:pPr>
          </w:p>
        </w:tc>
      </w:tr>
      <w:tr w14:paraId="0B662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591A4EED">
            <w:pPr>
              <w:jc w:val="center"/>
              <w:rPr>
                <w:rFonts w:hint="eastAsia" w:ascii="宋体" w:hAnsi="宋体" w:cs="宋体"/>
                <w:color w:val="auto"/>
                <w:sz w:val="24"/>
              </w:rPr>
            </w:pPr>
          </w:p>
        </w:tc>
        <w:tc>
          <w:tcPr>
            <w:tcW w:w="5460" w:type="dxa"/>
            <w:vAlign w:val="center"/>
          </w:tcPr>
          <w:p w14:paraId="6152B6DB">
            <w:pPr>
              <w:rPr>
                <w:rFonts w:hint="eastAsia" w:ascii="宋体" w:hAnsi="宋体" w:cs="宋体"/>
                <w:color w:val="auto"/>
                <w:sz w:val="24"/>
              </w:rPr>
            </w:pPr>
          </w:p>
        </w:tc>
        <w:tc>
          <w:tcPr>
            <w:tcW w:w="1854" w:type="dxa"/>
            <w:vAlign w:val="center"/>
          </w:tcPr>
          <w:p w14:paraId="3D3DEAD1">
            <w:pPr>
              <w:spacing w:line="360" w:lineRule="auto"/>
              <w:rPr>
                <w:rFonts w:hint="eastAsia" w:ascii="宋体" w:hAnsi="宋体" w:cs="宋体"/>
                <w:b/>
                <w:color w:val="auto"/>
                <w:sz w:val="24"/>
              </w:rPr>
            </w:pPr>
          </w:p>
        </w:tc>
      </w:tr>
      <w:tr w14:paraId="53BF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68CE7732">
            <w:pPr>
              <w:spacing w:line="500" w:lineRule="exact"/>
              <w:rPr>
                <w:rFonts w:hint="eastAsia" w:ascii="宋体" w:hAnsi="宋体" w:cs="宋体"/>
                <w:b/>
                <w:color w:val="auto"/>
                <w:sz w:val="28"/>
              </w:rPr>
            </w:pPr>
            <w:r>
              <w:rPr>
                <w:rFonts w:hint="eastAsia" w:ascii="宋体" w:hAnsi="宋体" w:cs="宋体"/>
                <w:b/>
                <w:color w:val="auto"/>
                <w:sz w:val="28"/>
              </w:rPr>
              <w:t>备注：投标文件资料清单是投标人制作投标文件的参考格式，并非必须格式，请各位投标人根据所投项目需要自行增减，是否依据了本格式或自行增减了多少格式并不是废标的条款。</w:t>
            </w:r>
          </w:p>
        </w:tc>
      </w:tr>
    </w:tbl>
    <w:p w14:paraId="77C4FB8A">
      <w:pPr>
        <w:rPr>
          <w:color w:val="auto"/>
        </w:rPr>
      </w:pPr>
    </w:p>
    <w:p w14:paraId="5AF2E0B5">
      <w:pPr>
        <w:spacing w:line="500" w:lineRule="exact"/>
        <w:rPr>
          <w:rFonts w:hint="eastAsia" w:ascii="宋体" w:hAnsi="宋体" w:cs="宋体"/>
          <w:color w:val="auto"/>
          <w:sz w:val="28"/>
        </w:rPr>
      </w:pPr>
    </w:p>
    <w:p w14:paraId="32A35818">
      <w:pPr>
        <w:pStyle w:val="20"/>
        <w:rPr>
          <w:color w:val="auto"/>
        </w:rPr>
      </w:pPr>
    </w:p>
    <w:p w14:paraId="3F77707A">
      <w:pPr>
        <w:pStyle w:val="20"/>
        <w:rPr>
          <w:color w:val="auto"/>
        </w:rPr>
      </w:pPr>
    </w:p>
    <w:p w14:paraId="6422D767">
      <w:pPr>
        <w:pStyle w:val="20"/>
        <w:rPr>
          <w:color w:val="auto"/>
        </w:rPr>
      </w:pPr>
    </w:p>
    <w:p w14:paraId="27AE7784">
      <w:pPr>
        <w:pStyle w:val="20"/>
        <w:rPr>
          <w:color w:val="auto"/>
        </w:rPr>
      </w:pPr>
    </w:p>
    <w:p w14:paraId="6B2BC869">
      <w:pPr>
        <w:pStyle w:val="20"/>
        <w:rPr>
          <w:color w:val="auto"/>
        </w:rPr>
      </w:pPr>
    </w:p>
    <w:p w14:paraId="09B44C99">
      <w:pPr>
        <w:rPr>
          <w:rFonts w:hint="eastAsia" w:hAnsi="宋体" w:cs="宋体"/>
          <w:color w:val="auto"/>
          <w:sz w:val="28"/>
        </w:rPr>
      </w:pPr>
      <w:bookmarkStart w:id="118" w:name="_Toc2396_WPSOffice_Level2"/>
      <w:bookmarkStart w:id="119" w:name="_Toc40975449"/>
      <w:bookmarkStart w:id="120" w:name="_Toc197934561"/>
      <w:r>
        <w:rPr>
          <w:rFonts w:hint="eastAsia" w:hAnsi="宋体" w:cs="宋体"/>
          <w:color w:val="auto"/>
          <w:sz w:val="28"/>
        </w:rPr>
        <w:br w:type="page"/>
      </w:r>
    </w:p>
    <w:p w14:paraId="64EB4526">
      <w:pPr>
        <w:pStyle w:val="4"/>
        <w:rPr>
          <w:rFonts w:hint="eastAsia" w:hAnsi="宋体" w:cs="宋体"/>
          <w:color w:val="auto"/>
          <w:sz w:val="28"/>
        </w:rPr>
      </w:pPr>
      <w:r>
        <w:rPr>
          <w:rFonts w:hint="eastAsia" w:hAnsi="宋体" w:cs="宋体"/>
          <w:color w:val="auto"/>
          <w:sz w:val="28"/>
        </w:rPr>
        <w:t>一．开标一览表</w:t>
      </w:r>
      <w:bookmarkEnd w:id="118"/>
      <w:bookmarkEnd w:id="119"/>
      <w:bookmarkEnd w:id="120"/>
    </w:p>
    <w:tbl>
      <w:tblPr>
        <w:tblStyle w:val="29"/>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207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30C8AC28">
            <w:pPr>
              <w:widowControl/>
              <w:spacing w:line="360" w:lineRule="exact"/>
              <w:jc w:val="center"/>
              <w:rPr>
                <w:rFonts w:hint="eastAsia" w:ascii="宋体" w:hAnsi="宋体" w:cs="宋体"/>
                <w:b/>
                <w:color w:val="auto"/>
                <w:sz w:val="24"/>
              </w:rPr>
            </w:pPr>
            <w:r>
              <w:rPr>
                <w:rFonts w:hint="eastAsia" w:ascii="宋体" w:hAnsi="宋体" w:cs="宋体"/>
                <w:b/>
                <w:color w:val="auto"/>
                <w:sz w:val="24"/>
              </w:rPr>
              <w:t>项目名称</w:t>
            </w:r>
          </w:p>
        </w:tc>
        <w:tc>
          <w:tcPr>
            <w:tcW w:w="6309" w:type="dxa"/>
            <w:tcBorders>
              <w:top w:val="single" w:color="auto" w:sz="4" w:space="0"/>
              <w:bottom w:val="single" w:color="auto" w:sz="4" w:space="0"/>
              <w:right w:val="single" w:color="auto" w:sz="4" w:space="0"/>
            </w:tcBorders>
            <w:vAlign w:val="center"/>
          </w:tcPr>
          <w:p w14:paraId="1D813CD8">
            <w:pPr>
              <w:spacing w:line="360" w:lineRule="exact"/>
              <w:jc w:val="center"/>
              <w:rPr>
                <w:rFonts w:hint="eastAsia" w:ascii="宋体" w:hAnsi="宋体" w:cs="宋体"/>
                <w:bCs/>
                <w:color w:val="auto"/>
                <w:sz w:val="24"/>
                <w:u w:val="single"/>
              </w:rPr>
            </w:pPr>
          </w:p>
        </w:tc>
      </w:tr>
      <w:tr w14:paraId="41F4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72D0CCD">
            <w:pPr>
              <w:spacing w:line="360" w:lineRule="exact"/>
              <w:jc w:val="center"/>
              <w:rPr>
                <w:rFonts w:hint="eastAsia" w:ascii="宋体" w:hAnsi="宋体" w:cs="宋体"/>
                <w:b/>
                <w:color w:val="auto"/>
                <w:sz w:val="24"/>
              </w:rPr>
            </w:pPr>
            <w:r>
              <w:rPr>
                <w:rFonts w:hint="eastAsia" w:ascii="宋体" w:hAnsi="宋体" w:cs="宋体"/>
                <w:b/>
                <w:color w:val="auto"/>
                <w:sz w:val="24"/>
              </w:rPr>
              <w:t>投标范围</w:t>
            </w:r>
          </w:p>
        </w:tc>
        <w:tc>
          <w:tcPr>
            <w:tcW w:w="6309" w:type="dxa"/>
            <w:tcBorders>
              <w:top w:val="single" w:color="auto" w:sz="4" w:space="0"/>
              <w:bottom w:val="single" w:color="auto" w:sz="4" w:space="0"/>
              <w:right w:val="single" w:color="auto" w:sz="4" w:space="0"/>
            </w:tcBorders>
            <w:vAlign w:val="center"/>
          </w:tcPr>
          <w:p w14:paraId="6650B9CA">
            <w:pPr>
              <w:widowControl/>
              <w:spacing w:line="360" w:lineRule="exact"/>
              <w:rPr>
                <w:rFonts w:hint="eastAsia" w:ascii="宋体" w:hAnsi="宋体" w:cs="宋体"/>
                <w:bCs/>
                <w:color w:val="auto"/>
                <w:sz w:val="24"/>
                <w:u w:val="single"/>
              </w:rPr>
            </w:pPr>
          </w:p>
        </w:tc>
      </w:tr>
      <w:tr w14:paraId="7E9B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5A2E09E">
            <w:pPr>
              <w:spacing w:line="360" w:lineRule="exact"/>
              <w:jc w:val="center"/>
              <w:rPr>
                <w:rFonts w:hint="eastAsia" w:ascii="宋体" w:hAnsi="宋体" w:cs="宋体"/>
                <w:b/>
                <w:color w:val="auto"/>
                <w:sz w:val="24"/>
              </w:rPr>
            </w:pPr>
            <w:r>
              <w:rPr>
                <w:rFonts w:hint="eastAsia" w:ascii="宋体" w:hAnsi="宋体" w:cs="宋体"/>
                <w:b/>
                <w:color w:val="auto"/>
                <w:sz w:val="24"/>
              </w:rPr>
              <w:t>投标人全称</w:t>
            </w:r>
          </w:p>
        </w:tc>
        <w:tc>
          <w:tcPr>
            <w:tcW w:w="6309" w:type="dxa"/>
            <w:tcBorders>
              <w:top w:val="nil"/>
            </w:tcBorders>
            <w:vAlign w:val="center"/>
          </w:tcPr>
          <w:p w14:paraId="648FE044">
            <w:pPr>
              <w:spacing w:line="360" w:lineRule="auto"/>
              <w:rPr>
                <w:rFonts w:hint="eastAsia" w:ascii="宋体" w:hAnsi="宋体" w:cs="宋体"/>
                <w:color w:val="auto"/>
                <w:sz w:val="24"/>
              </w:rPr>
            </w:pPr>
          </w:p>
        </w:tc>
      </w:tr>
      <w:tr w14:paraId="7D77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3077ACF0">
            <w:pPr>
              <w:spacing w:line="360" w:lineRule="exact"/>
              <w:jc w:val="center"/>
              <w:rPr>
                <w:rFonts w:hint="eastAsia" w:ascii="宋体" w:hAnsi="宋体" w:cs="宋体"/>
                <w:b/>
                <w:color w:val="auto"/>
                <w:sz w:val="24"/>
              </w:rPr>
            </w:pPr>
            <w:r>
              <w:rPr>
                <w:rFonts w:hint="eastAsia" w:ascii="宋体" w:hAnsi="宋体" w:cs="宋体"/>
                <w:b/>
                <w:color w:val="auto"/>
                <w:sz w:val="24"/>
              </w:rPr>
              <w:t>最终投标报价</w:t>
            </w:r>
          </w:p>
          <w:p w14:paraId="7A3244EE">
            <w:pPr>
              <w:spacing w:line="360" w:lineRule="exact"/>
              <w:jc w:val="center"/>
              <w:rPr>
                <w:rFonts w:hint="eastAsia" w:ascii="宋体" w:hAnsi="宋体" w:cs="宋体"/>
                <w:b/>
                <w:color w:val="auto"/>
                <w:sz w:val="24"/>
              </w:rPr>
            </w:pPr>
            <w:r>
              <w:rPr>
                <w:rFonts w:hint="eastAsia" w:ascii="宋体" w:hAnsi="宋体" w:cs="宋体"/>
                <w:b/>
                <w:color w:val="auto"/>
                <w:sz w:val="24"/>
              </w:rPr>
              <w:t>（人民币）</w:t>
            </w:r>
          </w:p>
          <w:p w14:paraId="758B652E">
            <w:pPr>
              <w:spacing w:line="360" w:lineRule="exact"/>
              <w:rPr>
                <w:color w:val="auto"/>
              </w:rPr>
            </w:pPr>
          </w:p>
        </w:tc>
        <w:tc>
          <w:tcPr>
            <w:tcW w:w="6309" w:type="dxa"/>
            <w:tcBorders>
              <w:top w:val="nil"/>
            </w:tcBorders>
            <w:vAlign w:val="center"/>
          </w:tcPr>
          <w:p w14:paraId="7FB58653">
            <w:pPr>
              <w:spacing w:line="360" w:lineRule="exact"/>
              <w:jc w:val="center"/>
              <w:rPr>
                <w:rFonts w:hint="eastAsia" w:ascii="宋体" w:hAnsi="宋体" w:cs="宋体"/>
                <w:b/>
                <w:color w:val="auto"/>
                <w:sz w:val="24"/>
              </w:rPr>
            </w:pPr>
            <w:r>
              <w:rPr>
                <w:rFonts w:hint="eastAsia" w:ascii="宋体" w:hAnsi="宋体" w:cs="宋体"/>
                <w:b/>
                <w:color w:val="auto"/>
                <w:sz w:val="24"/>
              </w:rPr>
              <w:t xml:space="preserve">投标报价：        元；大写：         </w:t>
            </w:r>
          </w:p>
          <w:p w14:paraId="71EF1EA7">
            <w:pPr>
              <w:pStyle w:val="27"/>
              <w:ind w:right="-21" w:firstLine="540"/>
              <w:rPr>
                <w:color w:val="auto"/>
              </w:rPr>
            </w:pPr>
          </w:p>
        </w:tc>
      </w:tr>
      <w:tr w14:paraId="66BB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79FE18D4">
            <w:pPr>
              <w:spacing w:line="360" w:lineRule="auto"/>
              <w:jc w:val="center"/>
              <w:rPr>
                <w:rFonts w:hint="eastAsia" w:ascii="宋体" w:hAnsi="宋体" w:cs="宋体"/>
                <w:b/>
                <w:color w:val="auto"/>
                <w:sz w:val="24"/>
              </w:rPr>
            </w:pPr>
            <w:r>
              <w:rPr>
                <w:rFonts w:hint="eastAsia" w:ascii="宋体" w:hAnsi="宋体" w:cs="宋体"/>
                <w:b/>
                <w:color w:val="auto"/>
                <w:sz w:val="24"/>
              </w:rPr>
              <w:t>备注</w:t>
            </w:r>
          </w:p>
        </w:tc>
        <w:tc>
          <w:tcPr>
            <w:tcW w:w="6309" w:type="dxa"/>
            <w:tcBorders>
              <w:top w:val="nil"/>
            </w:tcBorders>
            <w:vAlign w:val="center"/>
          </w:tcPr>
          <w:p w14:paraId="240B7607">
            <w:pPr>
              <w:spacing w:line="360" w:lineRule="auto"/>
              <w:jc w:val="left"/>
              <w:rPr>
                <w:rFonts w:hint="eastAsia" w:ascii="宋体" w:hAnsi="宋体" w:cs="宋体"/>
                <w:color w:val="auto"/>
                <w:sz w:val="24"/>
                <w:szCs w:val="28"/>
              </w:rPr>
            </w:pPr>
          </w:p>
        </w:tc>
      </w:tr>
    </w:tbl>
    <w:p w14:paraId="48AF6036">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供应商名称：（电子公章）</w:t>
      </w:r>
    </w:p>
    <w:p w14:paraId="0B0AC41F">
      <w:pPr>
        <w:spacing w:line="380" w:lineRule="exact"/>
        <w:ind w:right="640" w:firstLine="1560" w:firstLineChars="650"/>
        <w:rPr>
          <w:rFonts w:hint="eastAsia" w:ascii="宋体" w:hAnsi="宋体" w:cs="宋体"/>
          <w:color w:val="auto"/>
          <w:sz w:val="24"/>
        </w:rPr>
      </w:pPr>
    </w:p>
    <w:p w14:paraId="37129E32">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法定代表人：（签字）</w:t>
      </w:r>
    </w:p>
    <w:p w14:paraId="604BC233">
      <w:pPr>
        <w:spacing w:line="380" w:lineRule="exact"/>
        <w:jc w:val="center"/>
        <w:rPr>
          <w:rFonts w:hint="eastAsia" w:ascii="宋体" w:hAnsi="宋体" w:cs="宋体"/>
          <w:color w:val="auto"/>
          <w:sz w:val="24"/>
        </w:rPr>
      </w:pPr>
    </w:p>
    <w:p w14:paraId="5565F6CB">
      <w:pPr>
        <w:jc w:val="center"/>
        <w:rPr>
          <w:rFonts w:hint="eastAsia" w:ascii="宋体" w:hAnsi="宋体" w:cs="宋体"/>
          <w:color w:val="auto"/>
          <w:sz w:val="24"/>
        </w:rPr>
      </w:pPr>
      <w:r>
        <w:rPr>
          <w:rFonts w:hint="eastAsia" w:ascii="宋体" w:hAnsi="宋体" w:cs="宋体"/>
          <w:color w:val="auto"/>
          <w:sz w:val="24"/>
        </w:rPr>
        <w:t xml:space="preserve">               日期：      年   月    日</w:t>
      </w:r>
    </w:p>
    <w:p w14:paraId="43B9A289">
      <w:pPr>
        <w:spacing w:before="100" w:beforeAutospacing="1" w:after="100" w:afterAutospacing="1" w:line="360" w:lineRule="auto"/>
        <w:rPr>
          <w:rFonts w:hint="eastAsia" w:ascii="宋体" w:hAnsi="宋体" w:cs="宋体"/>
          <w:b/>
          <w:color w:val="auto"/>
          <w:sz w:val="24"/>
        </w:rPr>
      </w:pPr>
      <w:r>
        <w:rPr>
          <w:rFonts w:hint="eastAsia" w:ascii="宋体" w:hAnsi="宋体" w:cs="宋体"/>
          <w:b/>
          <w:color w:val="auto"/>
          <w:sz w:val="24"/>
        </w:rPr>
        <w:t xml:space="preserve">                                           </w:t>
      </w:r>
    </w:p>
    <w:p w14:paraId="439D44FA">
      <w:pPr>
        <w:spacing w:line="500" w:lineRule="exact"/>
        <w:jc w:val="center"/>
        <w:rPr>
          <w:rFonts w:hint="eastAsia" w:ascii="宋体" w:hAnsi="宋体" w:cs="宋体"/>
          <w:b/>
          <w:bCs/>
          <w:color w:val="auto"/>
          <w:sz w:val="30"/>
        </w:rPr>
      </w:pPr>
    </w:p>
    <w:p w14:paraId="036BF12F">
      <w:pPr>
        <w:spacing w:line="500" w:lineRule="exact"/>
        <w:jc w:val="center"/>
        <w:rPr>
          <w:rFonts w:hint="eastAsia" w:ascii="宋体" w:hAnsi="宋体" w:cs="宋体"/>
          <w:b/>
          <w:bCs/>
          <w:color w:val="auto"/>
          <w:sz w:val="30"/>
        </w:rPr>
      </w:pPr>
    </w:p>
    <w:p w14:paraId="5F103AB1">
      <w:pPr>
        <w:spacing w:line="500" w:lineRule="exact"/>
        <w:jc w:val="center"/>
        <w:rPr>
          <w:rFonts w:hint="eastAsia" w:ascii="宋体" w:hAnsi="宋体" w:cs="宋体"/>
          <w:b/>
          <w:bCs/>
          <w:color w:val="auto"/>
          <w:sz w:val="30"/>
        </w:rPr>
      </w:pPr>
    </w:p>
    <w:p w14:paraId="0CA86EFF">
      <w:pPr>
        <w:pStyle w:val="4"/>
        <w:rPr>
          <w:rFonts w:hint="eastAsia" w:hAnsi="宋体" w:cs="宋体"/>
          <w:color w:val="auto"/>
          <w:sz w:val="28"/>
        </w:rPr>
      </w:pPr>
      <w:bookmarkStart w:id="121" w:name="_Hlt519045798"/>
      <w:bookmarkEnd w:id="121"/>
      <w:bookmarkStart w:id="122" w:name="_Hlt509716873"/>
      <w:bookmarkEnd w:id="122"/>
      <w:bookmarkStart w:id="123" w:name="_Hlt533408409"/>
      <w:bookmarkEnd w:id="123"/>
      <w:bookmarkStart w:id="124" w:name="_Hlt533409360"/>
      <w:bookmarkEnd w:id="124"/>
      <w:bookmarkStart w:id="125" w:name="_Hlt533408916"/>
      <w:bookmarkEnd w:id="125"/>
      <w:bookmarkStart w:id="126" w:name="_Toc40975450"/>
      <w:bookmarkStart w:id="127" w:name="_Toc11175_WPSOffice_Level2"/>
      <w:bookmarkStart w:id="128" w:name="_Toc516969097"/>
      <w:bookmarkStart w:id="129" w:name="_Toc197934563"/>
      <w:r>
        <w:rPr>
          <w:rFonts w:hint="eastAsia" w:hAnsi="宋体" w:cs="宋体"/>
          <w:color w:val="auto"/>
          <w:sz w:val="28"/>
        </w:rPr>
        <w:t>二．投标人综合情况简介</w:t>
      </w:r>
      <w:bookmarkEnd w:id="126"/>
      <w:bookmarkEnd w:id="127"/>
      <w:bookmarkEnd w:id="128"/>
    </w:p>
    <w:p w14:paraId="34B6E62F">
      <w:pPr>
        <w:spacing w:line="500" w:lineRule="exact"/>
        <w:jc w:val="center"/>
        <w:rPr>
          <w:rFonts w:hint="eastAsia" w:ascii="宋体" w:hAnsi="宋体" w:cs="宋体"/>
          <w:color w:val="auto"/>
          <w:sz w:val="24"/>
        </w:rPr>
      </w:pPr>
      <w:r>
        <w:rPr>
          <w:rFonts w:hint="eastAsia" w:ascii="宋体" w:hAnsi="宋体" w:cs="宋体"/>
          <w:color w:val="auto"/>
          <w:sz w:val="24"/>
        </w:rPr>
        <w:t>(投标人可自行制作格式)</w:t>
      </w:r>
    </w:p>
    <w:p w14:paraId="67A95FBB">
      <w:pPr>
        <w:spacing w:line="500" w:lineRule="exact"/>
        <w:jc w:val="center"/>
        <w:rPr>
          <w:rFonts w:hint="eastAsia" w:ascii="宋体" w:hAnsi="宋体" w:cs="宋体"/>
          <w:color w:val="auto"/>
          <w:sz w:val="28"/>
        </w:rPr>
      </w:pPr>
    </w:p>
    <w:p w14:paraId="67CA6DC9">
      <w:pPr>
        <w:spacing w:line="500" w:lineRule="exact"/>
        <w:jc w:val="center"/>
        <w:rPr>
          <w:rFonts w:hint="eastAsia" w:ascii="宋体" w:hAnsi="宋体" w:cs="宋体"/>
          <w:color w:val="auto"/>
          <w:sz w:val="28"/>
        </w:rPr>
      </w:pPr>
    </w:p>
    <w:p w14:paraId="5BE2A497">
      <w:pPr>
        <w:spacing w:line="500" w:lineRule="exact"/>
        <w:jc w:val="center"/>
        <w:rPr>
          <w:rFonts w:hint="eastAsia" w:ascii="宋体" w:hAnsi="宋体" w:cs="宋体"/>
          <w:color w:val="auto"/>
          <w:sz w:val="28"/>
        </w:rPr>
      </w:pPr>
    </w:p>
    <w:p w14:paraId="20D11644">
      <w:pPr>
        <w:spacing w:line="500" w:lineRule="exact"/>
        <w:jc w:val="center"/>
        <w:rPr>
          <w:rFonts w:hint="eastAsia" w:ascii="宋体" w:hAnsi="宋体" w:cs="宋体"/>
          <w:color w:val="auto"/>
          <w:sz w:val="28"/>
        </w:rPr>
      </w:pPr>
    </w:p>
    <w:p w14:paraId="104FE747">
      <w:pPr>
        <w:spacing w:line="500" w:lineRule="exact"/>
        <w:jc w:val="center"/>
        <w:rPr>
          <w:rFonts w:hint="eastAsia" w:ascii="宋体" w:hAnsi="宋体" w:cs="宋体"/>
          <w:color w:val="auto"/>
          <w:sz w:val="28"/>
        </w:rPr>
      </w:pPr>
    </w:p>
    <w:p w14:paraId="64684796">
      <w:pPr>
        <w:pStyle w:val="20"/>
        <w:rPr>
          <w:color w:val="auto"/>
        </w:rPr>
      </w:pPr>
    </w:p>
    <w:p w14:paraId="0F8F398F">
      <w:pPr>
        <w:pStyle w:val="20"/>
        <w:rPr>
          <w:color w:val="auto"/>
        </w:rPr>
      </w:pPr>
    </w:p>
    <w:p w14:paraId="049FE44A">
      <w:pPr>
        <w:spacing w:line="500" w:lineRule="exact"/>
        <w:jc w:val="center"/>
        <w:rPr>
          <w:rFonts w:hint="eastAsia" w:ascii="宋体" w:hAnsi="宋体" w:cs="宋体"/>
          <w:color w:val="auto"/>
          <w:sz w:val="28"/>
        </w:rPr>
      </w:pPr>
    </w:p>
    <w:p w14:paraId="0505AD59">
      <w:pPr>
        <w:spacing w:line="500" w:lineRule="exact"/>
        <w:jc w:val="center"/>
        <w:rPr>
          <w:rFonts w:hint="eastAsia" w:ascii="宋体" w:hAnsi="宋体" w:cs="宋体"/>
          <w:color w:val="auto"/>
          <w:sz w:val="28"/>
        </w:rPr>
      </w:pPr>
    </w:p>
    <w:p w14:paraId="45D7E73A">
      <w:pPr>
        <w:spacing w:line="500" w:lineRule="exact"/>
        <w:jc w:val="center"/>
        <w:rPr>
          <w:rFonts w:hint="eastAsia" w:ascii="宋体" w:hAnsi="宋体" w:cs="宋体"/>
          <w:color w:val="auto"/>
          <w:sz w:val="28"/>
        </w:rPr>
      </w:pPr>
    </w:p>
    <w:p w14:paraId="06CE893F">
      <w:pPr>
        <w:spacing w:line="500" w:lineRule="exact"/>
        <w:jc w:val="center"/>
        <w:rPr>
          <w:rFonts w:hint="eastAsia" w:ascii="宋体" w:hAnsi="宋体" w:cs="宋体"/>
          <w:color w:val="auto"/>
          <w:sz w:val="28"/>
        </w:rPr>
      </w:pPr>
    </w:p>
    <w:p w14:paraId="3C73DBF3">
      <w:pPr>
        <w:spacing w:line="500" w:lineRule="exact"/>
        <w:jc w:val="center"/>
        <w:rPr>
          <w:rFonts w:hint="eastAsia" w:ascii="宋体" w:hAnsi="宋体" w:cs="宋体"/>
          <w:color w:val="auto"/>
          <w:sz w:val="28"/>
        </w:rPr>
      </w:pPr>
    </w:p>
    <w:p w14:paraId="43C9DD9B">
      <w:pPr>
        <w:pStyle w:val="20"/>
        <w:rPr>
          <w:color w:val="auto"/>
        </w:rPr>
      </w:pPr>
    </w:p>
    <w:p w14:paraId="32476577">
      <w:pPr>
        <w:pStyle w:val="20"/>
        <w:rPr>
          <w:color w:val="auto"/>
        </w:rPr>
      </w:pPr>
    </w:p>
    <w:p w14:paraId="780C5E1E">
      <w:pPr>
        <w:pStyle w:val="20"/>
        <w:rPr>
          <w:color w:val="auto"/>
        </w:rPr>
      </w:pPr>
    </w:p>
    <w:p w14:paraId="0D83A794">
      <w:pPr>
        <w:pStyle w:val="20"/>
        <w:rPr>
          <w:color w:val="auto"/>
        </w:rPr>
      </w:pPr>
    </w:p>
    <w:p w14:paraId="0EC083DA">
      <w:pPr>
        <w:spacing w:line="500" w:lineRule="exact"/>
        <w:jc w:val="center"/>
        <w:rPr>
          <w:rFonts w:hint="eastAsia" w:ascii="宋体" w:hAnsi="宋体" w:cs="宋体"/>
          <w:color w:val="auto"/>
          <w:sz w:val="28"/>
        </w:rPr>
      </w:pPr>
    </w:p>
    <w:p w14:paraId="0A8F06AF">
      <w:pPr>
        <w:spacing w:line="500" w:lineRule="exact"/>
        <w:jc w:val="center"/>
        <w:rPr>
          <w:rFonts w:hint="eastAsia" w:ascii="宋体" w:hAnsi="宋体" w:cs="宋体"/>
          <w:color w:val="auto"/>
          <w:sz w:val="28"/>
        </w:rPr>
      </w:pPr>
    </w:p>
    <w:p w14:paraId="2C001BCD">
      <w:pPr>
        <w:spacing w:line="500" w:lineRule="exact"/>
        <w:jc w:val="center"/>
        <w:rPr>
          <w:rFonts w:hint="eastAsia" w:ascii="宋体" w:hAnsi="宋体" w:cs="宋体"/>
          <w:color w:val="auto"/>
          <w:sz w:val="28"/>
        </w:rPr>
      </w:pPr>
    </w:p>
    <w:p w14:paraId="1B37521B">
      <w:pPr>
        <w:spacing w:line="500" w:lineRule="exact"/>
        <w:jc w:val="center"/>
        <w:rPr>
          <w:rFonts w:hint="eastAsia" w:ascii="宋体" w:hAnsi="宋体" w:cs="宋体"/>
          <w:color w:val="auto"/>
          <w:sz w:val="28"/>
        </w:rPr>
      </w:pPr>
    </w:p>
    <w:p w14:paraId="345585FD">
      <w:pPr>
        <w:pStyle w:val="20"/>
        <w:rPr>
          <w:color w:val="auto"/>
        </w:rPr>
      </w:pPr>
    </w:p>
    <w:p w14:paraId="50020CE2">
      <w:pPr>
        <w:pStyle w:val="20"/>
        <w:rPr>
          <w:color w:val="auto"/>
        </w:rPr>
      </w:pPr>
    </w:p>
    <w:p w14:paraId="79B508FF">
      <w:pPr>
        <w:pStyle w:val="20"/>
        <w:rPr>
          <w:color w:val="auto"/>
        </w:rPr>
      </w:pPr>
    </w:p>
    <w:p w14:paraId="3127291B">
      <w:pPr>
        <w:pStyle w:val="20"/>
        <w:rPr>
          <w:color w:val="auto"/>
        </w:rPr>
      </w:pPr>
    </w:p>
    <w:p w14:paraId="4660BE0F">
      <w:pPr>
        <w:pStyle w:val="20"/>
        <w:rPr>
          <w:color w:val="auto"/>
        </w:rPr>
      </w:pPr>
    </w:p>
    <w:p w14:paraId="086829B5">
      <w:pPr>
        <w:spacing w:line="500" w:lineRule="exact"/>
        <w:jc w:val="center"/>
        <w:rPr>
          <w:rFonts w:hint="eastAsia" w:ascii="宋体" w:hAnsi="宋体" w:cs="宋体"/>
          <w:color w:val="auto"/>
          <w:sz w:val="28"/>
        </w:rPr>
      </w:pPr>
    </w:p>
    <w:p w14:paraId="1F14B995">
      <w:pPr>
        <w:spacing w:line="500" w:lineRule="exact"/>
        <w:jc w:val="center"/>
        <w:rPr>
          <w:rFonts w:hint="eastAsia" w:ascii="宋体" w:hAnsi="宋体" w:cs="宋体"/>
          <w:color w:val="auto"/>
          <w:sz w:val="28"/>
        </w:rPr>
      </w:pPr>
    </w:p>
    <w:p w14:paraId="79203EC6">
      <w:pPr>
        <w:spacing w:line="500" w:lineRule="exact"/>
        <w:jc w:val="center"/>
        <w:rPr>
          <w:rFonts w:hint="eastAsia" w:ascii="宋体" w:hAnsi="宋体" w:cs="宋体"/>
          <w:color w:val="auto"/>
          <w:sz w:val="28"/>
        </w:rPr>
      </w:pPr>
    </w:p>
    <w:p w14:paraId="6515343A">
      <w:pPr>
        <w:rPr>
          <w:rFonts w:hint="eastAsia" w:hAnsi="宋体" w:cs="宋体"/>
          <w:color w:val="auto"/>
          <w:sz w:val="28"/>
        </w:rPr>
      </w:pPr>
      <w:bookmarkStart w:id="130" w:name="_Hlt509739007"/>
      <w:bookmarkEnd w:id="130"/>
      <w:bookmarkStart w:id="131" w:name="_Toc516969098"/>
      <w:bookmarkStart w:id="132" w:name="_Toc40975451"/>
      <w:bookmarkStart w:id="133" w:name="_Toc1391_WPSOffice_Level2"/>
      <w:r>
        <w:rPr>
          <w:rFonts w:hint="eastAsia" w:hAnsi="宋体" w:cs="宋体"/>
          <w:color w:val="auto"/>
          <w:sz w:val="28"/>
        </w:rPr>
        <w:br w:type="page"/>
      </w:r>
    </w:p>
    <w:p w14:paraId="79819079">
      <w:pPr>
        <w:pStyle w:val="4"/>
        <w:spacing w:after="240"/>
        <w:rPr>
          <w:rFonts w:hint="eastAsia" w:hAnsi="宋体" w:cs="宋体"/>
          <w:color w:val="auto"/>
          <w:sz w:val="28"/>
        </w:rPr>
      </w:pPr>
      <w:r>
        <w:rPr>
          <w:rFonts w:hint="eastAsia" w:hAnsi="宋体" w:cs="宋体"/>
          <w:color w:val="auto"/>
          <w:sz w:val="28"/>
        </w:rPr>
        <w:t>三．投标函</w:t>
      </w:r>
      <w:bookmarkEnd w:id="131"/>
      <w:bookmarkEnd w:id="132"/>
      <w:bookmarkEnd w:id="133"/>
    </w:p>
    <w:p w14:paraId="7A907860">
      <w:pPr>
        <w:pStyle w:val="16"/>
        <w:spacing w:line="360" w:lineRule="auto"/>
        <w:rPr>
          <w:rFonts w:hint="eastAsia" w:ascii="宋体" w:hAnsi="宋体" w:cs="宋体"/>
          <w:color w:val="auto"/>
          <w:sz w:val="24"/>
        </w:rPr>
      </w:pPr>
      <w:r>
        <w:rPr>
          <w:rFonts w:hint="eastAsia" w:ascii="宋体" w:hAnsi="宋体" w:cs="宋体"/>
          <w:color w:val="auto"/>
          <w:sz w:val="24"/>
        </w:rPr>
        <w:t>致：</w:t>
      </w:r>
      <w:r>
        <w:rPr>
          <w:rFonts w:hint="eastAsia" w:ascii="宋体" w:hAnsi="宋体" w:cs="宋体"/>
          <w:b w:val="0"/>
          <w:color w:val="auto"/>
          <w:sz w:val="24"/>
        </w:rPr>
        <w:t>（采购人和采购代理机构）</w:t>
      </w:r>
    </w:p>
    <w:p w14:paraId="1366F5FC">
      <w:pPr>
        <w:spacing w:line="360" w:lineRule="auto"/>
        <w:ind w:left="239" w:leftChars="114" w:firstLine="386" w:firstLineChars="161"/>
        <w:rPr>
          <w:rFonts w:hint="eastAsia" w:ascii="宋体" w:hAnsi="宋体" w:cs="宋体"/>
          <w:b/>
          <w:bCs/>
          <w:color w:val="auto"/>
          <w:sz w:val="24"/>
          <w:u w:val="single"/>
        </w:rPr>
      </w:pPr>
      <w:r>
        <w:rPr>
          <w:rFonts w:hint="eastAsia" w:ascii="宋体" w:hAnsi="宋体" w:cs="宋体"/>
          <w:color w:val="auto"/>
          <w:sz w:val="24"/>
        </w:rPr>
        <w:t>根据贵方“</w:t>
      </w:r>
      <w:r>
        <w:rPr>
          <w:rFonts w:hint="eastAsia" w:ascii="宋体" w:hAnsi="宋体" w:cs="宋体"/>
          <w:color w:val="auto"/>
          <w:sz w:val="24"/>
          <w:u w:val="single"/>
        </w:rPr>
        <w:t>项目名称</w:t>
      </w:r>
      <w:r>
        <w:rPr>
          <w:rFonts w:hint="eastAsia" w:ascii="宋体" w:hAnsi="宋体" w:cs="宋体"/>
          <w:color w:val="auto"/>
          <w:sz w:val="24"/>
        </w:rPr>
        <w:t>、</w:t>
      </w:r>
      <w:r>
        <w:rPr>
          <w:rFonts w:hint="eastAsia" w:ascii="宋体" w:hAnsi="宋体" w:cs="宋体"/>
          <w:color w:val="auto"/>
          <w:sz w:val="24"/>
          <w:u w:val="single"/>
        </w:rPr>
        <w:t>项目编号</w:t>
      </w:r>
      <w:r>
        <w:rPr>
          <w:rFonts w:hint="eastAsia" w:ascii="宋体" w:hAnsi="宋体" w:cs="宋体"/>
          <w:color w:val="auto"/>
          <w:sz w:val="24"/>
        </w:rPr>
        <w:t>”项目招标邀请书或招标公告，正式授权下述签字人</w:t>
      </w:r>
      <w:r>
        <w:rPr>
          <w:rFonts w:hint="eastAsia" w:ascii="宋体" w:hAnsi="宋体" w:cs="宋体"/>
          <w:color w:val="auto"/>
          <w:sz w:val="24"/>
          <w:u w:val="single"/>
        </w:rPr>
        <w:t xml:space="preserve">         　</w:t>
      </w:r>
      <w:r>
        <w:rPr>
          <w:rFonts w:hint="eastAsia" w:ascii="宋体" w:hAnsi="宋体" w:cs="宋体"/>
          <w:color w:val="auto"/>
          <w:sz w:val="24"/>
        </w:rPr>
        <w:t>（姓名）代表投标人</w:t>
      </w:r>
      <w:r>
        <w:rPr>
          <w:rFonts w:hint="eastAsia" w:ascii="宋体" w:hAnsi="宋体" w:cs="宋体"/>
          <w:color w:val="auto"/>
          <w:sz w:val="24"/>
          <w:u w:val="single"/>
        </w:rPr>
        <w:t xml:space="preserve">        　   </w:t>
      </w:r>
      <w:r>
        <w:rPr>
          <w:rFonts w:hint="eastAsia" w:ascii="宋体" w:hAnsi="宋体" w:cs="宋体"/>
          <w:color w:val="auto"/>
          <w:sz w:val="24"/>
        </w:rPr>
        <w:t>（投标人全称），提交规定形式的投标文件。</w:t>
      </w:r>
    </w:p>
    <w:p w14:paraId="6FF788CE">
      <w:pPr>
        <w:spacing w:line="360" w:lineRule="auto"/>
        <w:ind w:firstLine="630"/>
        <w:rPr>
          <w:rFonts w:hint="eastAsia" w:ascii="宋体" w:hAnsi="宋体" w:cs="宋体"/>
          <w:color w:val="auto"/>
          <w:sz w:val="24"/>
        </w:rPr>
      </w:pPr>
      <w:r>
        <w:rPr>
          <w:rFonts w:hint="eastAsia" w:ascii="宋体" w:hAnsi="宋体" w:cs="宋体"/>
          <w:color w:val="auto"/>
          <w:sz w:val="24"/>
        </w:rPr>
        <w:t>据此函，我方兹宣布同意如下：</w:t>
      </w:r>
    </w:p>
    <w:p w14:paraId="064832E3">
      <w:pPr>
        <w:spacing w:line="360" w:lineRule="auto"/>
        <w:ind w:firstLine="630"/>
        <w:rPr>
          <w:rFonts w:hint="eastAsia" w:ascii="宋体" w:hAnsi="宋体" w:cs="宋体"/>
          <w:color w:val="auto"/>
          <w:sz w:val="24"/>
        </w:rPr>
      </w:pPr>
      <w:r>
        <w:rPr>
          <w:rFonts w:hint="eastAsia" w:ascii="宋体" w:hAnsi="宋体" w:cs="宋体"/>
          <w:color w:val="auto"/>
          <w:sz w:val="24"/>
        </w:rPr>
        <w:t>（1）如我公司中标，愿意按招标文件规定提供交付货物（包括安装调试等工作）的总报价为人民币</w:t>
      </w:r>
      <w:r>
        <w:rPr>
          <w:rFonts w:hint="eastAsia" w:ascii="宋体" w:hAnsi="宋体" w:cs="宋体"/>
          <w:color w:val="auto"/>
          <w:sz w:val="24"/>
          <w:u w:val="single"/>
        </w:rPr>
        <w:t xml:space="preserve">             </w:t>
      </w:r>
      <w:r>
        <w:rPr>
          <w:rFonts w:hint="eastAsia" w:ascii="宋体" w:hAnsi="宋体" w:cs="宋体"/>
          <w:color w:val="auto"/>
          <w:sz w:val="24"/>
        </w:rPr>
        <w:t>元，供货期</w:t>
      </w:r>
      <w:r>
        <w:rPr>
          <w:rFonts w:hint="eastAsia" w:ascii="宋体" w:hAnsi="宋体" w:cs="宋体"/>
          <w:color w:val="auto"/>
          <w:sz w:val="24"/>
          <w:u w:val="single"/>
        </w:rPr>
        <w:t xml:space="preserve">        </w:t>
      </w:r>
      <w:r>
        <w:rPr>
          <w:rFonts w:hint="eastAsia" w:ascii="宋体" w:hAnsi="宋体" w:cs="宋体"/>
          <w:color w:val="auto"/>
          <w:sz w:val="24"/>
        </w:rPr>
        <w:t>。</w:t>
      </w:r>
    </w:p>
    <w:p w14:paraId="1AD4DF3F">
      <w:pPr>
        <w:spacing w:line="360" w:lineRule="auto"/>
        <w:ind w:firstLine="630"/>
        <w:rPr>
          <w:rFonts w:hint="eastAsia" w:ascii="宋体" w:hAnsi="宋体" w:cs="宋体"/>
          <w:color w:val="auto"/>
          <w:sz w:val="24"/>
        </w:rPr>
      </w:pPr>
      <w:r>
        <w:rPr>
          <w:rFonts w:hint="eastAsia" w:ascii="宋体" w:hAnsi="宋体" w:cs="宋体"/>
          <w:color w:val="auto"/>
          <w:sz w:val="24"/>
        </w:rPr>
        <w:t>（2）我方根据招标文件的规定，严格履行合同的责任和义务,并保证于买方要求的日期内完成供货、安装及服务，并通过买方验收。</w:t>
      </w:r>
    </w:p>
    <w:p w14:paraId="738530E0">
      <w:pPr>
        <w:spacing w:line="360" w:lineRule="auto"/>
        <w:ind w:firstLine="630"/>
        <w:rPr>
          <w:rFonts w:hint="eastAsia" w:ascii="宋体" w:hAnsi="宋体" w:cs="宋体"/>
          <w:color w:val="auto"/>
          <w:sz w:val="24"/>
        </w:rPr>
      </w:pPr>
      <w:r>
        <w:rPr>
          <w:rFonts w:hint="eastAsia" w:ascii="宋体" w:hAnsi="宋体" w:cs="宋体"/>
          <w:color w:val="auto"/>
          <w:sz w:val="24"/>
        </w:rPr>
        <w:t>（3）我方承诺报价低于同类货物和服务的市场平均价格。</w:t>
      </w:r>
    </w:p>
    <w:p w14:paraId="57B0FC08">
      <w:pPr>
        <w:spacing w:line="360" w:lineRule="auto"/>
        <w:ind w:firstLine="630"/>
        <w:rPr>
          <w:rFonts w:hint="eastAsia" w:ascii="宋体" w:hAnsi="宋体" w:cs="宋体"/>
          <w:color w:val="auto"/>
          <w:sz w:val="24"/>
        </w:rPr>
      </w:pPr>
      <w:r>
        <w:rPr>
          <w:rFonts w:hint="eastAsia" w:ascii="宋体" w:hAnsi="宋体" w:cs="宋体"/>
          <w:color w:val="auto"/>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BC1A615">
      <w:pPr>
        <w:spacing w:line="360" w:lineRule="auto"/>
        <w:ind w:firstLine="630"/>
        <w:rPr>
          <w:rFonts w:hint="eastAsia" w:ascii="宋体" w:hAnsi="宋体" w:cs="宋体"/>
          <w:color w:val="auto"/>
          <w:sz w:val="24"/>
        </w:rPr>
      </w:pPr>
      <w:r>
        <w:rPr>
          <w:rFonts w:hint="eastAsia" w:ascii="宋体" w:hAnsi="宋体" w:cs="宋体"/>
          <w:color w:val="auto"/>
          <w:sz w:val="24"/>
        </w:rPr>
        <w:t>（5）我方同意从招标文件规定的开标日期起遵循本投标文件，并在招标文件规定的投标有效期之前均具有约束力。</w:t>
      </w:r>
    </w:p>
    <w:p w14:paraId="0F0D520B">
      <w:pPr>
        <w:spacing w:line="360" w:lineRule="auto"/>
        <w:ind w:firstLine="630"/>
        <w:rPr>
          <w:rFonts w:hint="eastAsia" w:ascii="宋体" w:hAnsi="宋体" w:cs="宋体"/>
          <w:color w:val="auto"/>
          <w:sz w:val="24"/>
        </w:rPr>
      </w:pPr>
      <w:r>
        <w:rPr>
          <w:rFonts w:hint="eastAsia" w:ascii="宋体" w:hAnsi="宋体" w:cs="宋体"/>
          <w:color w:val="auto"/>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0D111E61">
      <w:pPr>
        <w:spacing w:line="360" w:lineRule="auto"/>
        <w:ind w:firstLine="630"/>
        <w:rPr>
          <w:rFonts w:hint="eastAsia" w:ascii="宋体" w:hAnsi="宋体" w:cs="宋体"/>
          <w:color w:val="auto"/>
          <w:sz w:val="24"/>
        </w:rPr>
      </w:pPr>
      <w:r>
        <w:rPr>
          <w:rFonts w:hint="eastAsia" w:ascii="宋体" w:hAnsi="宋体" w:cs="宋体"/>
          <w:color w:val="auto"/>
          <w:sz w:val="24"/>
        </w:rPr>
        <w:t>（7）我方完全理解贵方不一定接受最低报价的投标。</w:t>
      </w:r>
    </w:p>
    <w:p w14:paraId="64C7336C">
      <w:pPr>
        <w:spacing w:line="360" w:lineRule="auto"/>
        <w:ind w:firstLine="630"/>
        <w:rPr>
          <w:rFonts w:hint="eastAsia" w:ascii="宋体" w:hAnsi="宋体" w:cs="宋体"/>
          <w:color w:val="auto"/>
          <w:sz w:val="24"/>
        </w:rPr>
      </w:pPr>
      <w:r>
        <w:rPr>
          <w:rFonts w:hint="eastAsia" w:ascii="宋体" w:hAnsi="宋体" w:cs="宋体"/>
          <w:color w:val="auto"/>
          <w:sz w:val="24"/>
        </w:rPr>
        <w:t>（8）我方同意招标文件规定的付款方式。</w:t>
      </w:r>
    </w:p>
    <w:p w14:paraId="490C9B50">
      <w:pPr>
        <w:spacing w:line="360" w:lineRule="auto"/>
        <w:ind w:firstLine="630"/>
        <w:rPr>
          <w:rFonts w:hint="eastAsia" w:ascii="宋体" w:hAnsi="宋体" w:cs="宋体"/>
          <w:color w:val="auto"/>
          <w:sz w:val="24"/>
          <w:u w:val="single"/>
        </w:rPr>
      </w:pPr>
      <w:r>
        <w:rPr>
          <w:rFonts w:hint="eastAsia" w:ascii="宋体" w:hAnsi="宋体" w:cs="宋体"/>
          <w:color w:val="auto"/>
          <w:sz w:val="24"/>
        </w:rPr>
        <w:t>（9）与本投标有关的通讯地址：</w:t>
      </w:r>
      <w:r>
        <w:rPr>
          <w:rFonts w:hint="eastAsia" w:ascii="宋体" w:hAnsi="宋体" w:cs="宋体"/>
          <w:color w:val="auto"/>
          <w:sz w:val="24"/>
          <w:u w:val="single"/>
        </w:rPr>
        <w:t xml:space="preserve">                                  </w:t>
      </w:r>
    </w:p>
    <w:p w14:paraId="03AF272E">
      <w:pPr>
        <w:pStyle w:val="45"/>
        <w:ind w:firstLine="720" w:firstLineChars="300"/>
        <w:rPr>
          <w:rFonts w:hint="eastAsia" w:ascii="宋体" w:hAnsi="宋体" w:cs="宋体"/>
          <w:color w:val="auto"/>
          <w:sz w:val="24"/>
        </w:rPr>
      </w:pPr>
      <w:r>
        <w:rPr>
          <w:rFonts w:hint="eastAsia" w:ascii="宋体" w:hAnsi="宋体" w:cs="宋体"/>
          <w:color w:val="auto"/>
          <w:sz w:val="24"/>
        </w:rPr>
        <w:t>（10）本项目项目责任人：   电话：</w:t>
      </w:r>
    </w:p>
    <w:p w14:paraId="717EBE63">
      <w:pPr>
        <w:spacing w:line="380" w:lineRule="exact"/>
        <w:ind w:firstLine="3600" w:firstLineChars="1500"/>
        <w:rPr>
          <w:rFonts w:hint="eastAsia" w:ascii="宋体" w:hAnsi="宋体" w:cs="宋体"/>
          <w:color w:val="auto"/>
          <w:sz w:val="24"/>
        </w:rPr>
      </w:pPr>
    </w:p>
    <w:p w14:paraId="265AE263">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cs="宋体"/>
          <w:color w:val="auto"/>
          <w:sz w:val="24"/>
          <w:szCs w:val="28"/>
        </w:rPr>
        <w:t>电子签章</w:t>
      </w:r>
      <w:r>
        <w:rPr>
          <w:rFonts w:hint="eastAsia" w:ascii="宋体" w:hAnsi="宋体" w:cs="宋体"/>
          <w:color w:val="auto"/>
          <w:sz w:val="24"/>
        </w:rPr>
        <w:t>）</w:t>
      </w:r>
    </w:p>
    <w:p w14:paraId="07ABC4B6">
      <w:pPr>
        <w:spacing w:line="380" w:lineRule="exact"/>
        <w:ind w:right="640" w:firstLine="1560" w:firstLineChars="650"/>
        <w:rPr>
          <w:rFonts w:hint="eastAsia" w:ascii="宋体" w:hAnsi="宋体" w:cs="宋体"/>
          <w:color w:val="auto"/>
          <w:sz w:val="24"/>
        </w:rPr>
      </w:pPr>
    </w:p>
    <w:p w14:paraId="63A63E4D">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法定代表人：（签字）</w:t>
      </w:r>
    </w:p>
    <w:p w14:paraId="7BB0F50C">
      <w:pPr>
        <w:spacing w:line="380" w:lineRule="exact"/>
        <w:jc w:val="center"/>
        <w:rPr>
          <w:rFonts w:hint="eastAsia" w:ascii="宋体" w:hAnsi="宋体" w:cs="宋体"/>
          <w:color w:val="auto"/>
          <w:sz w:val="24"/>
        </w:rPr>
      </w:pPr>
    </w:p>
    <w:p w14:paraId="4EB5CED6">
      <w:pPr>
        <w:jc w:val="center"/>
        <w:rPr>
          <w:rFonts w:hint="eastAsia" w:ascii="宋体" w:hAnsi="宋体" w:cs="宋体"/>
          <w:color w:val="auto"/>
          <w:sz w:val="24"/>
        </w:rPr>
      </w:pPr>
      <w:r>
        <w:rPr>
          <w:rFonts w:hint="eastAsia" w:ascii="宋体" w:hAnsi="宋体" w:cs="宋体"/>
          <w:color w:val="auto"/>
          <w:sz w:val="24"/>
        </w:rPr>
        <w:t xml:space="preserve">               日期：      年   月    日</w:t>
      </w:r>
    </w:p>
    <w:bookmarkEnd w:id="129"/>
    <w:p w14:paraId="2FCCBCCA">
      <w:pPr>
        <w:pStyle w:val="4"/>
        <w:rPr>
          <w:rFonts w:hint="eastAsia" w:hAnsi="宋体" w:cs="宋体"/>
          <w:color w:val="auto"/>
          <w:sz w:val="28"/>
          <w:szCs w:val="36"/>
        </w:rPr>
      </w:pPr>
      <w:bookmarkStart w:id="134" w:name="_Toc40975452"/>
      <w:bookmarkStart w:id="135" w:name="_Toc24077_WPSOffice_Level2"/>
      <w:bookmarkStart w:id="136" w:name="_Toc220232409"/>
      <w:r>
        <w:rPr>
          <w:rFonts w:hint="eastAsia" w:hAnsi="宋体" w:cs="宋体"/>
          <w:color w:val="auto"/>
          <w:sz w:val="28"/>
        </w:rPr>
        <w:t>四．投标分项报价表</w:t>
      </w:r>
      <w:bookmarkEnd w:id="134"/>
      <w:bookmarkEnd w:id="135"/>
      <w:bookmarkEnd w:id="136"/>
    </w:p>
    <w:tbl>
      <w:tblPr>
        <w:tblStyle w:val="29"/>
        <w:tblW w:w="90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1185"/>
        <w:gridCol w:w="1411"/>
        <w:gridCol w:w="1352"/>
        <w:gridCol w:w="1069"/>
      </w:tblGrid>
      <w:tr w14:paraId="0506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C734B14">
            <w:pPr>
              <w:pStyle w:val="54"/>
              <w:widowControl w:val="0"/>
              <w:spacing w:before="0" w:beforeAutospacing="0" w:after="0" w:afterAutospacing="0"/>
              <w:rPr>
                <w:rFonts w:hint="eastAsia" w:cs="宋体"/>
                <w:bCs w:val="0"/>
                <w:color w:val="auto"/>
                <w:kern w:val="2"/>
                <w:sz w:val="24"/>
                <w:szCs w:val="20"/>
              </w:rPr>
            </w:pPr>
            <w:bookmarkStart w:id="137" w:name="_Toc197934552"/>
            <w:bookmarkStart w:id="138" w:name="_Toc27270_WPSOffice_Level2"/>
            <w:r>
              <w:rPr>
                <w:rFonts w:hint="eastAsia" w:cs="宋体"/>
                <w:bCs w:val="0"/>
                <w:color w:val="auto"/>
                <w:kern w:val="2"/>
                <w:sz w:val="24"/>
                <w:szCs w:val="20"/>
              </w:rPr>
              <w:t>序号</w:t>
            </w:r>
          </w:p>
        </w:tc>
        <w:tc>
          <w:tcPr>
            <w:tcW w:w="2205" w:type="dxa"/>
            <w:vAlign w:val="center"/>
          </w:tcPr>
          <w:p w14:paraId="4E1412DC">
            <w:pPr>
              <w:jc w:val="center"/>
              <w:rPr>
                <w:rFonts w:hint="eastAsia" w:ascii="宋体" w:hAnsi="宋体" w:cs="宋体"/>
                <w:b/>
                <w:color w:val="auto"/>
                <w:sz w:val="24"/>
              </w:rPr>
            </w:pPr>
            <w:r>
              <w:rPr>
                <w:rFonts w:hint="eastAsia" w:ascii="宋体" w:hAnsi="宋体" w:cs="宋体"/>
                <w:b/>
                <w:color w:val="auto"/>
                <w:sz w:val="24"/>
              </w:rPr>
              <w:t>品名品牌、规格型号、原产地及生产厂家</w:t>
            </w:r>
          </w:p>
        </w:tc>
        <w:tc>
          <w:tcPr>
            <w:tcW w:w="957" w:type="dxa"/>
            <w:vAlign w:val="center"/>
          </w:tcPr>
          <w:p w14:paraId="73245E88">
            <w:pPr>
              <w:jc w:val="center"/>
              <w:rPr>
                <w:rFonts w:hint="eastAsia" w:ascii="宋体" w:hAnsi="宋体" w:cs="宋体"/>
                <w:b/>
                <w:color w:val="auto"/>
                <w:sz w:val="24"/>
              </w:rPr>
            </w:pPr>
            <w:r>
              <w:rPr>
                <w:rFonts w:hint="eastAsia" w:ascii="宋体" w:hAnsi="宋体" w:cs="宋体"/>
                <w:b/>
                <w:color w:val="auto"/>
                <w:sz w:val="24"/>
              </w:rPr>
              <w:t>单位</w:t>
            </w:r>
          </w:p>
        </w:tc>
        <w:tc>
          <w:tcPr>
            <w:tcW w:w="1185" w:type="dxa"/>
            <w:vAlign w:val="center"/>
          </w:tcPr>
          <w:p w14:paraId="554B74BA">
            <w:pPr>
              <w:jc w:val="center"/>
              <w:rPr>
                <w:rFonts w:hint="eastAsia" w:ascii="宋体" w:hAnsi="宋体" w:cs="宋体"/>
                <w:b/>
                <w:color w:val="auto"/>
                <w:sz w:val="24"/>
              </w:rPr>
            </w:pPr>
            <w:r>
              <w:rPr>
                <w:rFonts w:hint="eastAsia" w:ascii="宋体" w:hAnsi="宋体" w:cs="宋体"/>
                <w:b/>
                <w:color w:val="auto"/>
                <w:sz w:val="24"/>
              </w:rPr>
              <w:t>数量</w:t>
            </w:r>
          </w:p>
        </w:tc>
        <w:tc>
          <w:tcPr>
            <w:tcW w:w="1411" w:type="dxa"/>
            <w:vAlign w:val="center"/>
          </w:tcPr>
          <w:p w14:paraId="4AC9DE02">
            <w:pPr>
              <w:jc w:val="center"/>
              <w:rPr>
                <w:rFonts w:hint="eastAsia" w:ascii="宋体" w:hAnsi="宋体" w:cs="宋体"/>
                <w:b/>
                <w:color w:val="auto"/>
                <w:sz w:val="24"/>
              </w:rPr>
            </w:pPr>
            <w:r>
              <w:rPr>
                <w:rFonts w:hint="eastAsia" w:ascii="宋体" w:hAnsi="宋体" w:cs="宋体"/>
                <w:b/>
                <w:color w:val="auto"/>
                <w:sz w:val="24"/>
              </w:rPr>
              <w:t>单价</w:t>
            </w:r>
          </w:p>
        </w:tc>
        <w:tc>
          <w:tcPr>
            <w:tcW w:w="1352" w:type="dxa"/>
            <w:vAlign w:val="center"/>
          </w:tcPr>
          <w:p w14:paraId="3D56D5C8">
            <w:pPr>
              <w:jc w:val="center"/>
              <w:rPr>
                <w:rFonts w:hint="eastAsia" w:ascii="宋体" w:hAnsi="宋体" w:cs="宋体"/>
                <w:b/>
                <w:color w:val="auto"/>
                <w:sz w:val="24"/>
              </w:rPr>
            </w:pPr>
            <w:r>
              <w:rPr>
                <w:rFonts w:hint="eastAsia" w:ascii="宋体" w:hAnsi="宋体" w:cs="宋体"/>
                <w:b/>
                <w:color w:val="auto"/>
                <w:sz w:val="24"/>
              </w:rPr>
              <w:t>小计</w:t>
            </w:r>
          </w:p>
        </w:tc>
        <w:tc>
          <w:tcPr>
            <w:tcW w:w="1069" w:type="dxa"/>
            <w:vAlign w:val="center"/>
          </w:tcPr>
          <w:p w14:paraId="47543871">
            <w:pPr>
              <w:jc w:val="center"/>
              <w:rPr>
                <w:rFonts w:hint="eastAsia" w:ascii="宋体" w:hAnsi="宋体" w:cs="宋体"/>
                <w:b/>
                <w:color w:val="auto"/>
                <w:sz w:val="24"/>
              </w:rPr>
            </w:pPr>
            <w:r>
              <w:rPr>
                <w:rFonts w:hint="eastAsia" w:ascii="宋体" w:hAnsi="宋体" w:cs="宋体"/>
                <w:b/>
                <w:color w:val="auto"/>
                <w:sz w:val="24"/>
              </w:rPr>
              <w:t>备注</w:t>
            </w:r>
          </w:p>
        </w:tc>
      </w:tr>
      <w:tr w14:paraId="5C2E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DE0B5F">
            <w:pPr>
              <w:jc w:val="center"/>
              <w:rPr>
                <w:rFonts w:hint="eastAsia" w:ascii="宋体" w:hAnsi="宋体" w:cs="宋体"/>
                <w:color w:val="auto"/>
                <w:sz w:val="24"/>
              </w:rPr>
            </w:pPr>
          </w:p>
        </w:tc>
        <w:tc>
          <w:tcPr>
            <w:tcW w:w="2205" w:type="dxa"/>
          </w:tcPr>
          <w:p w14:paraId="42672277">
            <w:pPr>
              <w:rPr>
                <w:rFonts w:hint="eastAsia" w:ascii="宋体" w:hAnsi="宋体" w:cs="宋体"/>
                <w:color w:val="auto"/>
                <w:sz w:val="24"/>
              </w:rPr>
            </w:pPr>
          </w:p>
        </w:tc>
        <w:tc>
          <w:tcPr>
            <w:tcW w:w="957" w:type="dxa"/>
          </w:tcPr>
          <w:p w14:paraId="09A1F8BD">
            <w:pPr>
              <w:rPr>
                <w:rFonts w:hint="eastAsia" w:ascii="宋体" w:hAnsi="宋体" w:cs="宋体"/>
                <w:color w:val="auto"/>
                <w:sz w:val="24"/>
              </w:rPr>
            </w:pPr>
          </w:p>
        </w:tc>
        <w:tc>
          <w:tcPr>
            <w:tcW w:w="1185" w:type="dxa"/>
          </w:tcPr>
          <w:p w14:paraId="25D02568">
            <w:pPr>
              <w:rPr>
                <w:rFonts w:hint="eastAsia" w:ascii="宋体" w:hAnsi="宋体" w:cs="宋体"/>
                <w:color w:val="auto"/>
                <w:sz w:val="24"/>
              </w:rPr>
            </w:pPr>
          </w:p>
        </w:tc>
        <w:tc>
          <w:tcPr>
            <w:tcW w:w="1411" w:type="dxa"/>
          </w:tcPr>
          <w:p w14:paraId="3D37C9D8">
            <w:pPr>
              <w:rPr>
                <w:rFonts w:hint="eastAsia" w:ascii="宋体" w:hAnsi="宋体" w:cs="宋体"/>
                <w:color w:val="auto"/>
                <w:sz w:val="24"/>
              </w:rPr>
            </w:pPr>
          </w:p>
        </w:tc>
        <w:tc>
          <w:tcPr>
            <w:tcW w:w="1352" w:type="dxa"/>
          </w:tcPr>
          <w:p w14:paraId="20472CC0">
            <w:pPr>
              <w:rPr>
                <w:rFonts w:hint="eastAsia" w:ascii="宋体" w:hAnsi="宋体" w:cs="宋体"/>
                <w:color w:val="auto"/>
                <w:sz w:val="24"/>
              </w:rPr>
            </w:pPr>
          </w:p>
        </w:tc>
        <w:tc>
          <w:tcPr>
            <w:tcW w:w="1069" w:type="dxa"/>
          </w:tcPr>
          <w:p w14:paraId="658C8DF3">
            <w:pPr>
              <w:rPr>
                <w:rFonts w:hint="eastAsia" w:ascii="宋体" w:hAnsi="宋体" w:cs="宋体"/>
                <w:color w:val="auto"/>
                <w:sz w:val="24"/>
              </w:rPr>
            </w:pPr>
          </w:p>
        </w:tc>
      </w:tr>
      <w:tr w14:paraId="3483E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2B2E956">
            <w:pPr>
              <w:jc w:val="center"/>
              <w:rPr>
                <w:rFonts w:hint="eastAsia" w:ascii="宋体" w:hAnsi="宋体" w:cs="宋体"/>
                <w:color w:val="auto"/>
                <w:sz w:val="24"/>
              </w:rPr>
            </w:pPr>
          </w:p>
        </w:tc>
        <w:tc>
          <w:tcPr>
            <w:tcW w:w="2205" w:type="dxa"/>
          </w:tcPr>
          <w:p w14:paraId="24AE38A6">
            <w:pPr>
              <w:rPr>
                <w:rFonts w:hint="eastAsia" w:ascii="宋体" w:hAnsi="宋体" w:cs="宋体"/>
                <w:color w:val="auto"/>
                <w:sz w:val="24"/>
              </w:rPr>
            </w:pPr>
          </w:p>
        </w:tc>
        <w:tc>
          <w:tcPr>
            <w:tcW w:w="957" w:type="dxa"/>
          </w:tcPr>
          <w:p w14:paraId="4ABFF8D2">
            <w:pPr>
              <w:rPr>
                <w:rFonts w:hint="eastAsia" w:ascii="宋体" w:hAnsi="宋体" w:cs="宋体"/>
                <w:color w:val="auto"/>
                <w:sz w:val="24"/>
              </w:rPr>
            </w:pPr>
          </w:p>
        </w:tc>
        <w:tc>
          <w:tcPr>
            <w:tcW w:w="1185" w:type="dxa"/>
          </w:tcPr>
          <w:p w14:paraId="41B969D4">
            <w:pPr>
              <w:rPr>
                <w:rFonts w:hint="eastAsia" w:ascii="宋体" w:hAnsi="宋体" w:cs="宋体"/>
                <w:color w:val="auto"/>
                <w:sz w:val="24"/>
              </w:rPr>
            </w:pPr>
          </w:p>
        </w:tc>
        <w:tc>
          <w:tcPr>
            <w:tcW w:w="1411" w:type="dxa"/>
          </w:tcPr>
          <w:p w14:paraId="011DC62E">
            <w:pPr>
              <w:rPr>
                <w:rFonts w:hint="eastAsia" w:ascii="宋体" w:hAnsi="宋体" w:cs="宋体"/>
                <w:color w:val="auto"/>
                <w:sz w:val="24"/>
              </w:rPr>
            </w:pPr>
          </w:p>
        </w:tc>
        <w:tc>
          <w:tcPr>
            <w:tcW w:w="1352" w:type="dxa"/>
          </w:tcPr>
          <w:p w14:paraId="6E489638">
            <w:pPr>
              <w:rPr>
                <w:rFonts w:hint="eastAsia" w:ascii="宋体" w:hAnsi="宋体" w:cs="宋体"/>
                <w:color w:val="auto"/>
                <w:sz w:val="24"/>
              </w:rPr>
            </w:pPr>
          </w:p>
        </w:tc>
        <w:tc>
          <w:tcPr>
            <w:tcW w:w="1069" w:type="dxa"/>
          </w:tcPr>
          <w:p w14:paraId="71B7D56F">
            <w:pPr>
              <w:rPr>
                <w:rFonts w:hint="eastAsia" w:ascii="宋体" w:hAnsi="宋体" w:cs="宋体"/>
                <w:color w:val="auto"/>
                <w:sz w:val="24"/>
              </w:rPr>
            </w:pPr>
          </w:p>
        </w:tc>
      </w:tr>
      <w:tr w14:paraId="24203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831217">
            <w:pPr>
              <w:jc w:val="center"/>
              <w:rPr>
                <w:rFonts w:hint="eastAsia" w:ascii="宋体" w:hAnsi="宋体" w:cs="宋体"/>
                <w:color w:val="auto"/>
                <w:sz w:val="24"/>
              </w:rPr>
            </w:pPr>
          </w:p>
        </w:tc>
        <w:tc>
          <w:tcPr>
            <w:tcW w:w="2205" w:type="dxa"/>
          </w:tcPr>
          <w:p w14:paraId="1659C7E3">
            <w:pPr>
              <w:rPr>
                <w:rFonts w:hint="eastAsia" w:ascii="宋体" w:hAnsi="宋体" w:cs="宋体"/>
                <w:color w:val="auto"/>
                <w:sz w:val="24"/>
              </w:rPr>
            </w:pPr>
          </w:p>
        </w:tc>
        <w:tc>
          <w:tcPr>
            <w:tcW w:w="957" w:type="dxa"/>
          </w:tcPr>
          <w:p w14:paraId="0D56068A">
            <w:pPr>
              <w:rPr>
                <w:rFonts w:hint="eastAsia" w:ascii="宋体" w:hAnsi="宋体" w:cs="宋体"/>
                <w:color w:val="auto"/>
                <w:sz w:val="24"/>
              </w:rPr>
            </w:pPr>
          </w:p>
        </w:tc>
        <w:tc>
          <w:tcPr>
            <w:tcW w:w="1185" w:type="dxa"/>
          </w:tcPr>
          <w:p w14:paraId="3845A304">
            <w:pPr>
              <w:rPr>
                <w:rFonts w:hint="eastAsia" w:ascii="宋体" w:hAnsi="宋体" w:cs="宋体"/>
                <w:color w:val="auto"/>
                <w:sz w:val="24"/>
              </w:rPr>
            </w:pPr>
          </w:p>
        </w:tc>
        <w:tc>
          <w:tcPr>
            <w:tcW w:w="1411" w:type="dxa"/>
          </w:tcPr>
          <w:p w14:paraId="628BA3D9">
            <w:pPr>
              <w:rPr>
                <w:rFonts w:hint="eastAsia" w:ascii="宋体" w:hAnsi="宋体" w:cs="宋体"/>
                <w:color w:val="auto"/>
                <w:sz w:val="24"/>
              </w:rPr>
            </w:pPr>
          </w:p>
        </w:tc>
        <w:tc>
          <w:tcPr>
            <w:tcW w:w="1352" w:type="dxa"/>
          </w:tcPr>
          <w:p w14:paraId="22199C0B">
            <w:pPr>
              <w:rPr>
                <w:rFonts w:hint="eastAsia" w:ascii="宋体" w:hAnsi="宋体" w:cs="宋体"/>
                <w:color w:val="auto"/>
                <w:sz w:val="24"/>
              </w:rPr>
            </w:pPr>
          </w:p>
        </w:tc>
        <w:tc>
          <w:tcPr>
            <w:tcW w:w="1069" w:type="dxa"/>
          </w:tcPr>
          <w:p w14:paraId="4B840E2A">
            <w:pPr>
              <w:rPr>
                <w:rFonts w:hint="eastAsia" w:ascii="宋体" w:hAnsi="宋体" w:cs="宋体"/>
                <w:color w:val="auto"/>
                <w:sz w:val="24"/>
              </w:rPr>
            </w:pPr>
          </w:p>
        </w:tc>
      </w:tr>
      <w:tr w14:paraId="6B42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2B62933">
            <w:pPr>
              <w:jc w:val="center"/>
              <w:rPr>
                <w:rFonts w:hint="eastAsia" w:ascii="宋体" w:hAnsi="宋体" w:cs="宋体"/>
                <w:color w:val="auto"/>
                <w:sz w:val="24"/>
              </w:rPr>
            </w:pPr>
          </w:p>
        </w:tc>
        <w:tc>
          <w:tcPr>
            <w:tcW w:w="2205" w:type="dxa"/>
          </w:tcPr>
          <w:p w14:paraId="2157367D">
            <w:pPr>
              <w:rPr>
                <w:rFonts w:hint="eastAsia" w:ascii="宋体" w:hAnsi="宋体" w:cs="宋体"/>
                <w:color w:val="auto"/>
                <w:sz w:val="24"/>
              </w:rPr>
            </w:pPr>
          </w:p>
        </w:tc>
        <w:tc>
          <w:tcPr>
            <w:tcW w:w="957" w:type="dxa"/>
          </w:tcPr>
          <w:p w14:paraId="29D20C4A">
            <w:pPr>
              <w:rPr>
                <w:rFonts w:hint="eastAsia" w:ascii="宋体" w:hAnsi="宋体" w:cs="宋体"/>
                <w:color w:val="auto"/>
                <w:sz w:val="24"/>
              </w:rPr>
            </w:pPr>
          </w:p>
        </w:tc>
        <w:tc>
          <w:tcPr>
            <w:tcW w:w="1185" w:type="dxa"/>
          </w:tcPr>
          <w:p w14:paraId="7A2E4A2C">
            <w:pPr>
              <w:rPr>
                <w:rFonts w:hint="eastAsia" w:ascii="宋体" w:hAnsi="宋体" w:cs="宋体"/>
                <w:color w:val="auto"/>
                <w:sz w:val="24"/>
              </w:rPr>
            </w:pPr>
          </w:p>
        </w:tc>
        <w:tc>
          <w:tcPr>
            <w:tcW w:w="1411" w:type="dxa"/>
          </w:tcPr>
          <w:p w14:paraId="5CE06B46">
            <w:pPr>
              <w:rPr>
                <w:rFonts w:hint="eastAsia" w:ascii="宋体" w:hAnsi="宋体" w:cs="宋体"/>
                <w:color w:val="auto"/>
                <w:sz w:val="24"/>
              </w:rPr>
            </w:pPr>
          </w:p>
        </w:tc>
        <w:tc>
          <w:tcPr>
            <w:tcW w:w="1352" w:type="dxa"/>
          </w:tcPr>
          <w:p w14:paraId="28804ED9">
            <w:pPr>
              <w:rPr>
                <w:rFonts w:hint="eastAsia" w:ascii="宋体" w:hAnsi="宋体" w:cs="宋体"/>
                <w:color w:val="auto"/>
                <w:sz w:val="24"/>
              </w:rPr>
            </w:pPr>
          </w:p>
        </w:tc>
        <w:tc>
          <w:tcPr>
            <w:tcW w:w="1069" w:type="dxa"/>
          </w:tcPr>
          <w:p w14:paraId="5D5D9C51">
            <w:pPr>
              <w:rPr>
                <w:rFonts w:hint="eastAsia" w:ascii="宋体" w:hAnsi="宋体" w:cs="宋体"/>
                <w:color w:val="auto"/>
                <w:sz w:val="24"/>
              </w:rPr>
            </w:pPr>
          </w:p>
        </w:tc>
      </w:tr>
      <w:tr w14:paraId="3AE55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B9F574">
            <w:pPr>
              <w:jc w:val="center"/>
              <w:rPr>
                <w:rFonts w:hint="eastAsia" w:ascii="宋体" w:hAnsi="宋体" w:cs="宋体"/>
                <w:color w:val="auto"/>
                <w:sz w:val="24"/>
              </w:rPr>
            </w:pPr>
          </w:p>
        </w:tc>
        <w:tc>
          <w:tcPr>
            <w:tcW w:w="2205" w:type="dxa"/>
          </w:tcPr>
          <w:p w14:paraId="280A5110">
            <w:pPr>
              <w:rPr>
                <w:rFonts w:hint="eastAsia" w:ascii="宋体" w:hAnsi="宋体" w:cs="宋体"/>
                <w:color w:val="auto"/>
                <w:sz w:val="24"/>
              </w:rPr>
            </w:pPr>
          </w:p>
        </w:tc>
        <w:tc>
          <w:tcPr>
            <w:tcW w:w="957" w:type="dxa"/>
          </w:tcPr>
          <w:p w14:paraId="2ED49846">
            <w:pPr>
              <w:rPr>
                <w:rFonts w:hint="eastAsia" w:ascii="宋体" w:hAnsi="宋体" w:cs="宋体"/>
                <w:color w:val="auto"/>
                <w:sz w:val="24"/>
              </w:rPr>
            </w:pPr>
          </w:p>
        </w:tc>
        <w:tc>
          <w:tcPr>
            <w:tcW w:w="1185" w:type="dxa"/>
          </w:tcPr>
          <w:p w14:paraId="2CE27785">
            <w:pPr>
              <w:rPr>
                <w:rFonts w:hint="eastAsia" w:ascii="宋体" w:hAnsi="宋体" w:cs="宋体"/>
                <w:color w:val="auto"/>
                <w:sz w:val="24"/>
              </w:rPr>
            </w:pPr>
          </w:p>
        </w:tc>
        <w:tc>
          <w:tcPr>
            <w:tcW w:w="1411" w:type="dxa"/>
          </w:tcPr>
          <w:p w14:paraId="070FE4BD">
            <w:pPr>
              <w:rPr>
                <w:rFonts w:hint="eastAsia" w:ascii="宋体" w:hAnsi="宋体" w:cs="宋体"/>
                <w:color w:val="auto"/>
                <w:sz w:val="24"/>
              </w:rPr>
            </w:pPr>
          </w:p>
        </w:tc>
        <w:tc>
          <w:tcPr>
            <w:tcW w:w="1352" w:type="dxa"/>
          </w:tcPr>
          <w:p w14:paraId="07C6DBB7">
            <w:pPr>
              <w:rPr>
                <w:rFonts w:hint="eastAsia" w:ascii="宋体" w:hAnsi="宋体" w:cs="宋体"/>
                <w:color w:val="auto"/>
                <w:sz w:val="24"/>
              </w:rPr>
            </w:pPr>
          </w:p>
        </w:tc>
        <w:tc>
          <w:tcPr>
            <w:tcW w:w="1069" w:type="dxa"/>
          </w:tcPr>
          <w:p w14:paraId="72E79FAB">
            <w:pPr>
              <w:rPr>
                <w:rFonts w:hint="eastAsia" w:ascii="宋体" w:hAnsi="宋体" w:cs="宋体"/>
                <w:color w:val="auto"/>
                <w:sz w:val="24"/>
              </w:rPr>
            </w:pPr>
          </w:p>
        </w:tc>
      </w:tr>
      <w:tr w14:paraId="255F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B966AB2">
            <w:pPr>
              <w:jc w:val="center"/>
              <w:rPr>
                <w:rFonts w:hint="eastAsia" w:ascii="宋体" w:hAnsi="宋体" w:cs="宋体"/>
                <w:color w:val="auto"/>
                <w:sz w:val="24"/>
              </w:rPr>
            </w:pPr>
          </w:p>
        </w:tc>
        <w:tc>
          <w:tcPr>
            <w:tcW w:w="2205" w:type="dxa"/>
          </w:tcPr>
          <w:p w14:paraId="2487E4C4">
            <w:pPr>
              <w:rPr>
                <w:rFonts w:hint="eastAsia" w:ascii="宋体" w:hAnsi="宋体" w:cs="宋体"/>
                <w:color w:val="auto"/>
                <w:sz w:val="24"/>
              </w:rPr>
            </w:pPr>
          </w:p>
        </w:tc>
        <w:tc>
          <w:tcPr>
            <w:tcW w:w="957" w:type="dxa"/>
          </w:tcPr>
          <w:p w14:paraId="0C5FEC3A">
            <w:pPr>
              <w:rPr>
                <w:rFonts w:hint="eastAsia" w:ascii="宋体" w:hAnsi="宋体" w:cs="宋体"/>
                <w:color w:val="auto"/>
                <w:sz w:val="24"/>
              </w:rPr>
            </w:pPr>
          </w:p>
        </w:tc>
        <w:tc>
          <w:tcPr>
            <w:tcW w:w="1185" w:type="dxa"/>
          </w:tcPr>
          <w:p w14:paraId="56F62950">
            <w:pPr>
              <w:rPr>
                <w:rFonts w:hint="eastAsia" w:ascii="宋体" w:hAnsi="宋体" w:cs="宋体"/>
                <w:color w:val="auto"/>
                <w:sz w:val="24"/>
              </w:rPr>
            </w:pPr>
          </w:p>
        </w:tc>
        <w:tc>
          <w:tcPr>
            <w:tcW w:w="1411" w:type="dxa"/>
          </w:tcPr>
          <w:p w14:paraId="3C9BBD67">
            <w:pPr>
              <w:rPr>
                <w:rFonts w:hint="eastAsia" w:ascii="宋体" w:hAnsi="宋体" w:cs="宋体"/>
                <w:color w:val="auto"/>
                <w:sz w:val="24"/>
              </w:rPr>
            </w:pPr>
          </w:p>
        </w:tc>
        <w:tc>
          <w:tcPr>
            <w:tcW w:w="1352" w:type="dxa"/>
          </w:tcPr>
          <w:p w14:paraId="3DBDDC01">
            <w:pPr>
              <w:rPr>
                <w:rFonts w:hint="eastAsia" w:ascii="宋体" w:hAnsi="宋体" w:cs="宋体"/>
                <w:color w:val="auto"/>
                <w:sz w:val="24"/>
              </w:rPr>
            </w:pPr>
          </w:p>
        </w:tc>
        <w:tc>
          <w:tcPr>
            <w:tcW w:w="1069" w:type="dxa"/>
          </w:tcPr>
          <w:p w14:paraId="37ADE60F">
            <w:pPr>
              <w:rPr>
                <w:rFonts w:hint="eastAsia" w:ascii="宋体" w:hAnsi="宋体" w:cs="宋体"/>
                <w:color w:val="auto"/>
                <w:sz w:val="24"/>
              </w:rPr>
            </w:pPr>
          </w:p>
        </w:tc>
      </w:tr>
      <w:tr w14:paraId="071E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037AAA">
            <w:pPr>
              <w:jc w:val="center"/>
              <w:rPr>
                <w:rFonts w:hint="eastAsia" w:ascii="宋体" w:hAnsi="宋体" w:cs="宋体"/>
                <w:color w:val="auto"/>
                <w:sz w:val="24"/>
              </w:rPr>
            </w:pPr>
          </w:p>
        </w:tc>
        <w:tc>
          <w:tcPr>
            <w:tcW w:w="2205" w:type="dxa"/>
          </w:tcPr>
          <w:p w14:paraId="5D85C7FD">
            <w:pPr>
              <w:rPr>
                <w:rFonts w:hint="eastAsia" w:ascii="宋体" w:hAnsi="宋体" w:cs="宋体"/>
                <w:color w:val="auto"/>
                <w:sz w:val="24"/>
              </w:rPr>
            </w:pPr>
          </w:p>
        </w:tc>
        <w:tc>
          <w:tcPr>
            <w:tcW w:w="957" w:type="dxa"/>
          </w:tcPr>
          <w:p w14:paraId="705614E4">
            <w:pPr>
              <w:rPr>
                <w:rFonts w:hint="eastAsia" w:ascii="宋体" w:hAnsi="宋体" w:cs="宋体"/>
                <w:color w:val="auto"/>
                <w:sz w:val="24"/>
              </w:rPr>
            </w:pPr>
          </w:p>
        </w:tc>
        <w:tc>
          <w:tcPr>
            <w:tcW w:w="1185" w:type="dxa"/>
          </w:tcPr>
          <w:p w14:paraId="316C62D1">
            <w:pPr>
              <w:rPr>
                <w:rFonts w:hint="eastAsia" w:ascii="宋体" w:hAnsi="宋体" w:cs="宋体"/>
                <w:color w:val="auto"/>
                <w:sz w:val="24"/>
              </w:rPr>
            </w:pPr>
          </w:p>
        </w:tc>
        <w:tc>
          <w:tcPr>
            <w:tcW w:w="1411" w:type="dxa"/>
          </w:tcPr>
          <w:p w14:paraId="2617CCA9">
            <w:pPr>
              <w:rPr>
                <w:rFonts w:hint="eastAsia" w:ascii="宋体" w:hAnsi="宋体" w:cs="宋体"/>
                <w:color w:val="auto"/>
                <w:sz w:val="24"/>
              </w:rPr>
            </w:pPr>
          </w:p>
        </w:tc>
        <w:tc>
          <w:tcPr>
            <w:tcW w:w="1352" w:type="dxa"/>
          </w:tcPr>
          <w:p w14:paraId="7A1335F9">
            <w:pPr>
              <w:rPr>
                <w:rFonts w:hint="eastAsia" w:ascii="宋体" w:hAnsi="宋体" w:cs="宋体"/>
                <w:color w:val="auto"/>
                <w:sz w:val="24"/>
              </w:rPr>
            </w:pPr>
          </w:p>
        </w:tc>
        <w:tc>
          <w:tcPr>
            <w:tcW w:w="1069" w:type="dxa"/>
          </w:tcPr>
          <w:p w14:paraId="4E0A95B4">
            <w:pPr>
              <w:rPr>
                <w:rFonts w:hint="eastAsia" w:ascii="宋体" w:hAnsi="宋体" w:cs="宋体"/>
                <w:color w:val="auto"/>
                <w:sz w:val="24"/>
              </w:rPr>
            </w:pPr>
          </w:p>
        </w:tc>
      </w:tr>
      <w:tr w14:paraId="5A83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9EE589">
            <w:pPr>
              <w:jc w:val="center"/>
              <w:rPr>
                <w:rFonts w:hint="eastAsia" w:ascii="宋体" w:hAnsi="宋体" w:cs="宋体"/>
                <w:color w:val="auto"/>
                <w:sz w:val="24"/>
              </w:rPr>
            </w:pPr>
          </w:p>
        </w:tc>
        <w:tc>
          <w:tcPr>
            <w:tcW w:w="2205" w:type="dxa"/>
          </w:tcPr>
          <w:p w14:paraId="38D870BE">
            <w:pPr>
              <w:rPr>
                <w:rFonts w:hint="eastAsia" w:ascii="宋体" w:hAnsi="宋体" w:cs="宋体"/>
                <w:color w:val="auto"/>
                <w:sz w:val="24"/>
              </w:rPr>
            </w:pPr>
          </w:p>
        </w:tc>
        <w:tc>
          <w:tcPr>
            <w:tcW w:w="957" w:type="dxa"/>
          </w:tcPr>
          <w:p w14:paraId="6269F6CC">
            <w:pPr>
              <w:rPr>
                <w:rFonts w:hint="eastAsia" w:ascii="宋体" w:hAnsi="宋体" w:cs="宋体"/>
                <w:color w:val="auto"/>
                <w:sz w:val="24"/>
              </w:rPr>
            </w:pPr>
          </w:p>
        </w:tc>
        <w:tc>
          <w:tcPr>
            <w:tcW w:w="1185" w:type="dxa"/>
          </w:tcPr>
          <w:p w14:paraId="162DDEC8">
            <w:pPr>
              <w:rPr>
                <w:rFonts w:hint="eastAsia" w:ascii="宋体" w:hAnsi="宋体" w:cs="宋体"/>
                <w:color w:val="auto"/>
                <w:sz w:val="24"/>
              </w:rPr>
            </w:pPr>
          </w:p>
        </w:tc>
        <w:tc>
          <w:tcPr>
            <w:tcW w:w="1411" w:type="dxa"/>
          </w:tcPr>
          <w:p w14:paraId="78C85CFE">
            <w:pPr>
              <w:rPr>
                <w:rFonts w:hint="eastAsia" w:ascii="宋体" w:hAnsi="宋体" w:cs="宋体"/>
                <w:color w:val="auto"/>
                <w:sz w:val="24"/>
              </w:rPr>
            </w:pPr>
          </w:p>
        </w:tc>
        <w:tc>
          <w:tcPr>
            <w:tcW w:w="1352" w:type="dxa"/>
          </w:tcPr>
          <w:p w14:paraId="39A48146">
            <w:pPr>
              <w:rPr>
                <w:rFonts w:hint="eastAsia" w:ascii="宋体" w:hAnsi="宋体" w:cs="宋体"/>
                <w:color w:val="auto"/>
                <w:sz w:val="24"/>
              </w:rPr>
            </w:pPr>
          </w:p>
        </w:tc>
        <w:tc>
          <w:tcPr>
            <w:tcW w:w="1069" w:type="dxa"/>
          </w:tcPr>
          <w:p w14:paraId="77001DCA">
            <w:pPr>
              <w:rPr>
                <w:rFonts w:hint="eastAsia" w:ascii="宋体" w:hAnsi="宋体" w:cs="宋体"/>
                <w:color w:val="auto"/>
                <w:sz w:val="24"/>
              </w:rPr>
            </w:pPr>
          </w:p>
        </w:tc>
      </w:tr>
      <w:tr w14:paraId="4883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8B7101">
            <w:pPr>
              <w:jc w:val="center"/>
              <w:rPr>
                <w:rFonts w:hint="eastAsia" w:ascii="宋体" w:hAnsi="宋体" w:cs="宋体"/>
                <w:color w:val="auto"/>
                <w:sz w:val="24"/>
              </w:rPr>
            </w:pPr>
          </w:p>
        </w:tc>
        <w:tc>
          <w:tcPr>
            <w:tcW w:w="2205" w:type="dxa"/>
          </w:tcPr>
          <w:p w14:paraId="457AEBDC">
            <w:pPr>
              <w:rPr>
                <w:rFonts w:hint="eastAsia" w:ascii="宋体" w:hAnsi="宋体" w:cs="宋体"/>
                <w:color w:val="auto"/>
                <w:sz w:val="24"/>
              </w:rPr>
            </w:pPr>
          </w:p>
        </w:tc>
        <w:tc>
          <w:tcPr>
            <w:tcW w:w="957" w:type="dxa"/>
          </w:tcPr>
          <w:p w14:paraId="17B72F1E">
            <w:pPr>
              <w:rPr>
                <w:rFonts w:hint="eastAsia" w:ascii="宋体" w:hAnsi="宋体" w:cs="宋体"/>
                <w:color w:val="auto"/>
                <w:sz w:val="24"/>
              </w:rPr>
            </w:pPr>
          </w:p>
        </w:tc>
        <w:tc>
          <w:tcPr>
            <w:tcW w:w="1185" w:type="dxa"/>
          </w:tcPr>
          <w:p w14:paraId="69973D5B">
            <w:pPr>
              <w:rPr>
                <w:rFonts w:hint="eastAsia" w:ascii="宋体" w:hAnsi="宋体" w:cs="宋体"/>
                <w:color w:val="auto"/>
                <w:sz w:val="24"/>
              </w:rPr>
            </w:pPr>
          </w:p>
        </w:tc>
        <w:tc>
          <w:tcPr>
            <w:tcW w:w="1411" w:type="dxa"/>
          </w:tcPr>
          <w:p w14:paraId="6A19B362">
            <w:pPr>
              <w:rPr>
                <w:rFonts w:hint="eastAsia" w:ascii="宋体" w:hAnsi="宋体" w:cs="宋体"/>
                <w:color w:val="auto"/>
                <w:sz w:val="24"/>
              </w:rPr>
            </w:pPr>
          </w:p>
        </w:tc>
        <w:tc>
          <w:tcPr>
            <w:tcW w:w="1352" w:type="dxa"/>
          </w:tcPr>
          <w:p w14:paraId="7703A2F2">
            <w:pPr>
              <w:rPr>
                <w:rFonts w:hint="eastAsia" w:ascii="宋体" w:hAnsi="宋体" w:cs="宋体"/>
                <w:color w:val="auto"/>
                <w:sz w:val="24"/>
              </w:rPr>
            </w:pPr>
          </w:p>
        </w:tc>
        <w:tc>
          <w:tcPr>
            <w:tcW w:w="1069" w:type="dxa"/>
          </w:tcPr>
          <w:p w14:paraId="618F10C7">
            <w:pPr>
              <w:rPr>
                <w:rFonts w:hint="eastAsia" w:ascii="宋体" w:hAnsi="宋体" w:cs="宋体"/>
                <w:color w:val="auto"/>
                <w:sz w:val="24"/>
              </w:rPr>
            </w:pPr>
          </w:p>
        </w:tc>
      </w:tr>
      <w:tr w14:paraId="533B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DE97C2">
            <w:pPr>
              <w:jc w:val="center"/>
              <w:rPr>
                <w:rFonts w:hint="eastAsia" w:ascii="宋体" w:hAnsi="宋体" w:cs="宋体"/>
                <w:color w:val="auto"/>
                <w:sz w:val="24"/>
              </w:rPr>
            </w:pPr>
          </w:p>
        </w:tc>
        <w:tc>
          <w:tcPr>
            <w:tcW w:w="2205" w:type="dxa"/>
          </w:tcPr>
          <w:p w14:paraId="6B70E7FB">
            <w:pPr>
              <w:rPr>
                <w:rFonts w:hint="eastAsia" w:ascii="宋体" w:hAnsi="宋体" w:cs="宋体"/>
                <w:color w:val="auto"/>
                <w:sz w:val="24"/>
              </w:rPr>
            </w:pPr>
          </w:p>
        </w:tc>
        <w:tc>
          <w:tcPr>
            <w:tcW w:w="957" w:type="dxa"/>
          </w:tcPr>
          <w:p w14:paraId="658087C9">
            <w:pPr>
              <w:rPr>
                <w:rFonts w:hint="eastAsia" w:ascii="宋体" w:hAnsi="宋体" w:cs="宋体"/>
                <w:color w:val="auto"/>
                <w:sz w:val="24"/>
              </w:rPr>
            </w:pPr>
          </w:p>
        </w:tc>
        <w:tc>
          <w:tcPr>
            <w:tcW w:w="1185" w:type="dxa"/>
          </w:tcPr>
          <w:p w14:paraId="0EE610C0">
            <w:pPr>
              <w:rPr>
                <w:rFonts w:hint="eastAsia" w:ascii="宋体" w:hAnsi="宋体" w:cs="宋体"/>
                <w:color w:val="auto"/>
                <w:sz w:val="24"/>
              </w:rPr>
            </w:pPr>
          </w:p>
        </w:tc>
        <w:tc>
          <w:tcPr>
            <w:tcW w:w="1411" w:type="dxa"/>
          </w:tcPr>
          <w:p w14:paraId="2B1D4A5A">
            <w:pPr>
              <w:rPr>
                <w:rFonts w:hint="eastAsia" w:ascii="宋体" w:hAnsi="宋体" w:cs="宋体"/>
                <w:color w:val="auto"/>
                <w:sz w:val="24"/>
              </w:rPr>
            </w:pPr>
          </w:p>
        </w:tc>
        <w:tc>
          <w:tcPr>
            <w:tcW w:w="1352" w:type="dxa"/>
          </w:tcPr>
          <w:p w14:paraId="1DBA25CE">
            <w:pPr>
              <w:rPr>
                <w:rFonts w:hint="eastAsia" w:ascii="宋体" w:hAnsi="宋体" w:cs="宋体"/>
                <w:color w:val="auto"/>
                <w:sz w:val="24"/>
              </w:rPr>
            </w:pPr>
          </w:p>
        </w:tc>
        <w:tc>
          <w:tcPr>
            <w:tcW w:w="1069" w:type="dxa"/>
          </w:tcPr>
          <w:p w14:paraId="094911C7">
            <w:pPr>
              <w:rPr>
                <w:rFonts w:hint="eastAsia" w:ascii="宋体" w:hAnsi="宋体" w:cs="宋体"/>
                <w:color w:val="auto"/>
                <w:sz w:val="24"/>
              </w:rPr>
            </w:pPr>
          </w:p>
        </w:tc>
      </w:tr>
      <w:tr w14:paraId="09E19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600B96">
            <w:pPr>
              <w:jc w:val="center"/>
              <w:rPr>
                <w:rFonts w:hint="eastAsia" w:ascii="宋体" w:hAnsi="宋体" w:cs="宋体"/>
                <w:color w:val="auto"/>
                <w:sz w:val="24"/>
              </w:rPr>
            </w:pPr>
          </w:p>
        </w:tc>
        <w:tc>
          <w:tcPr>
            <w:tcW w:w="2205" w:type="dxa"/>
          </w:tcPr>
          <w:p w14:paraId="06A9434D">
            <w:pPr>
              <w:rPr>
                <w:rFonts w:hint="eastAsia" w:ascii="宋体" w:hAnsi="宋体" w:cs="宋体"/>
                <w:color w:val="auto"/>
                <w:sz w:val="24"/>
              </w:rPr>
            </w:pPr>
          </w:p>
        </w:tc>
        <w:tc>
          <w:tcPr>
            <w:tcW w:w="957" w:type="dxa"/>
          </w:tcPr>
          <w:p w14:paraId="2687913A">
            <w:pPr>
              <w:rPr>
                <w:rFonts w:hint="eastAsia" w:ascii="宋体" w:hAnsi="宋体" w:cs="宋体"/>
                <w:color w:val="auto"/>
                <w:sz w:val="24"/>
              </w:rPr>
            </w:pPr>
          </w:p>
        </w:tc>
        <w:tc>
          <w:tcPr>
            <w:tcW w:w="1185" w:type="dxa"/>
          </w:tcPr>
          <w:p w14:paraId="39DB3703">
            <w:pPr>
              <w:rPr>
                <w:rFonts w:hint="eastAsia" w:ascii="宋体" w:hAnsi="宋体" w:cs="宋体"/>
                <w:color w:val="auto"/>
                <w:sz w:val="24"/>
              </w:rPr>
            </w:pPr>
          </w:p>
        </w:tc>
        <w:tc>
          <w:tcPr>
            <w:tcW w:w="1411" w:type="dxa"/>
          </w:tcPr>
          <w:p w14:paraId="29DA38DF">
            <w:pPr>
              <w:rPr>
                <w:rFonts w:hint="eastAsia" w:ascii="宋体" w:hAnsi="宋体" w:cs="宋体"/>
                <w:color w:val="auto"/>
                <w:sz w:val="24"/>
              </w:rPr>
            </w:pPr>
          </w:p>
        </w:tc>
        <w:tc>
          <w:tcPr>
            <w:tcW w:w="1352" w:type="dxa"/>
          </w:tcPr>
          <w:p w14:paraId="33C48121">
            <w:pPr>
              <w:rPr>
                <w:rFonts w:hint="eastAsia" w:ascii="宋体" w:hAnsi="宋体" w:cs="宋体"/>
                <w:color w:val="auto"/>
                <w:sz w:val="24"/>
              </w:rPr>
            </w:pPr>
          </w:p>
        </w:tc>
        <w:tc>
          <w:tcPr>
            <w:tcW w:w="1069" w:type="dxa"/>
          </w:tcPr>
          <w:p w14:paraId="149A98B8">
            <w:pPr>
              <w:rPr>
                <w:rFonts w:hint="eastAsia" w:ascii="宋体" w:hAnsi="宋体" w:cs="宋体"/>
                <w:color w:val="auto"/>
                <w:sz w:val="24"/>
              </w:rPr>
            </w:pPr>
          </w:p>
        </w:tc>
      </w:tr>
      <w:tr w14:paraId="0BB03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F0B0D6">
            <w:pPr>
              <w:jc w:val="center"/>
              <w:rPr>
                <w:rFonts w:hint="eastAsia" w:ascii="宋体" w:hAnsi="宋体" w:cs="宋体"/>
                <w:color w:val="auto"/>
                <w:sz w:val="24"/>
              </w:rPr>
            </w:pPr>
          </w:p>
        </w:tc>
        <w:tc>
          <w:tcPr>
            <w:tcW w:w="2205" w:type="dxa"/>
          </w:tcPr>
          <w:p w14:paraId="62BCCC25">
            <w:pPr>
              <w:rPr>
                <w:rFonts w:hint="eastAsia" w:ascii="宋体" w:hAnsi="宋体" w:cs="宋体"/>
                <w:color w:val="auto"/>
                <w:sz w:val="24"/>
              </w:rPr>
            </w:pPr>
          </w:p>
        </w:tc>
        <w:tc>
          <w:tcPr>
            <w:tcW w:w="957" w:type="dxa"/>
          </w:tcPr>
          <w:p w14:paraId="7FF08F70">
            <w:pPr>
              <w:rPr>
                <w:rFonts w:hint="eastAsia" w:ascii="宋体" w:hAnsi="宋体" w:cs="宋体"/>
                <w:color w:val="auto"/>
                <w:sz w:val="24"/>
              </w:rPr>
            </w:pPr>
          </w:p>
        </w:tc>
        <w:tc>
          <w:tcPr>
            <w:tcW w:w="1185" w:type="dxa"/>
          </w:tcPr>
          <w:p w14:paraId="4ABBC063">
            <w:pPr>
              <w:rPr>
                <w:rFonts w:hint="eastAsia" w:ascii="宋体" w:hAnsi="宋体" w:cs="宋体"/>
                <w:color w:val="auto"/>
                <w:sz w:val="24"/>
              </w:rPr>
            </w:pPr>
          </w:p>
        </w:tc>
        <w:tc>
          <w:tcPr>
            <w:tcW w:w="1411" w:type="dxa"/>
          </w:tcPr>
          <w:p w14:paraId="1FD063D1">
            <w:pPr>
              <w:rPr>
                <w:rFonts w:hint="eastAsia" w:ascii="宋体" w:hAnsi="宋体" w:cs="宋体"/>
                <w:color w:val="auto"/>
                <w:sz w:val="24"/>
              </w:rPr>
            </w:pPr>
          </w:p>
        </w:tc>
        <w:tc>
          <w:tcPr>
            <w:tcW w:w="1352" w:type="dxa"/>
          </w:tcPr>
          <w:p w14:paraId="18921834">
            <w:pPr>
              <w:rPr>
                <w:rFonts w:hint="eastAsia" w:ascii="宋体" w:hAnsi="宋体" w:cs="宋体"/>
                <w:color w:val="auto"/>
                <w:sz w:val="24"/>
              </w:rPr>
            </w:pPr>
          </w:p>
        </w:tc>
        <w:tc>
          <w:tcPr>
            <w:tcW w:w="1069" w:type="dxa"/>
          </w:tcPr>
          <w:p w14:paraId="37B73D1C">
            <w:pPr>
              <w:rPr>
                <w:rFonts w:hint="eastAsia" w:ascii="宋体" w:hAnsi="宋体" w:cs="宋体"/>
                <w:color w:val="auto"/>
                <w:sz w:val="24"/>
              </w:rPr>
            </w:pPr>
          </w:p>
        </w:tc>
      </w:tr>
      <w:tr w14:paraId="46DA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B4DCD8">
            <w:pPr>
              <w:jc w:val="center"/>
              <w:rPr>
                <w:rFonts w:hint="eastAsia" w:ascii="宋体" w:hAnsi="宋体" w:cs="宋体"/>
                <w:color w:val="auto"/>
                <w:sz w:val="24"/>
              </w:rPr>
            </w:pPr>
          </w:p>
        </w:tc>
        <w:tc>
          <w:tcPr>
            <w:tcW w:w="2205" w:type="dxa"/>
          </w:tcPr>
          <w:p w14:paraId="6F88EDAF">
            <w:pPr>
              <w:rPr>
                <w:rFonts w:hint="eastAsia" w:ascii="宋体" w:hAnsi="宋体" w:cs="宋体"/>
                <w:color w:val="auto"/>
                <w:sz w:val="24"/>
              </w:rPr>
            </w:pPr>
          </w:p>
        </w:tc>
        <w:tc>
          <w:tcPr>
            <w:tcW w:w="957" w:type="dxa"/>
          </w:tcPr>
          <w:p w14:paraId="73133AA6">
            <w:pPr>
              <w:rPr>
                <w:rFonts w:hint="eastAsia" w:ascii="宋体" w:hAnsi="宋体" w:cs="宋体"/>
                <w:color w:val="auto"/>
                <w:sz w:val="24"/>
              </w:rPr>
            </w:pPr>
          </w:p>
        </w:tc>
        <w:tc>
          <w:tcPr>
            <w:tcW w:w="1185" w:type="dxa"/>
          </w:tcPr>
          <w:p w14:paraId="43BDEE9C">
            <w:pPr>
              <w:rPr>
                <w:rFonts w:hint="eastAsia" w:ascii="宋体" w:hAnsi="宋体" w:cs="宋体"/>
                <w:color w:val="auto"/>
                <w:sz w:val="24"/>
              </w:rPr>
            </w:pPr>
          </w:p>
        </w:tc>
        <w:tc>
          <w:tcPr>
            <w:tcW w:w="1411" w:type="dxa"/>
          </w:tcPr>
          <w:p w14:paraId="6877BDB2">
            <w:pPr>
              <w:rPr>
                <w:rFonts w:hint="eastAsia" w:ascii="宋体" w:hAnsi="宋体" w:cs="宋体"/>
                <w:color w:val="auto"/>
                <w:sz w:val="24"/>
              </w:rPr>
            </w:pPr>
          </w:p>
        </w:tc>
        <w:tc>
          <w:tcPr>
            <w:tcW w:w="1352" w:type="dxa"/>
          </w:tcPr>
          <w:p w14:paraId="54B54C80">
            <w:pPr>
              <w:rPr>
                <w:rFonts w:hint="eastAsia" w:ascii="宋体" w:hAnsi="宋体" w:cs="宋体"/>
                <w:color w:val="auto"/>
                <w:sz w:val="24"/>
              </w:rPr>
            </w:pPr>
          </w:p>
        </w:tc>
        <w:tc>
          <w:tcPr>
            <w:tcW w:w="1069" w:type="dxa"/>
          </w:tcPr>
          <w:p w14:paraId="4A44A77C">
            <w:pPr>
              <w:rPr>
                <w:rFonts w:hint="eastAsia" w:ascii="宋体" w:hAnsi="宋体" w:cs="宋体"/>
                <w:color w:val="auto"/>
                <w:sz w:val="24"/>
              </w:rPr>
            </w:pPr>
          </w:p>
        </w:tc>
      </w:tr>
      <w:tr w14:paraId="4BE3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842F97">
            <w:pPr>
              <w:jc w:val="center"/>
              <w:rPr>
                <w:rFonts w:hint="eastAsia" w:ascii="宋体" w:hAnsi="宋体" w:cs="宋体"/>
                <w:color w:val="auto"/>
                <w:sz w:val="24"/>
              </w:rPr>
            </w:pPr>
          </w:p>
        </w:tc>
        <w:tc>
          <w:tcPr>
            <w:tcW w:w="2205" w:type="dxa"/>
            <w:vAlign w:val="center"/>
          </w:tcPr>
          <w:p w14:paraId="7C2291D0">
            <w:pPr>
              <w:pStyle w:val="53"/>
              <w:rPr>
                <w:rFonts w:hint="eastAsia" w:ascii="宋体" w:hAnsi="宋体" w:cs="宋体"/>
                <w:color w:val="auto"/>
              </w:rPr>
            </w:pPr>
          </w:p>
        </w:tc>
        <w:tc>
          <w:tcPr>
            <w:tcW w:w="957" w:type="dxa"/>
          </w:tcPr>
          <w:p w14:paraId="5540D039">
            <w:pPr>
              <w:rPr>
                <w:rFonts w:hint="eastAsia" w:ascii="宋体" w:hAnsi="宋体" w:cs="宋体"/>
                <w:color w:val="auto"/>
                <w:sz w:val="24"/>
              </w:rPr>
            </w:pPr>
          </w:p>
        </w:tc>
        <w:tc>
          <w:tcPr>
            <w:tcW w:w="1185" w:type="dxa"/>
          </w:tcPr>
          <w:p w14:paraId="3280F7B2">
            <w:pPr>
              <w:rPr>
                <w:rFonts w:hint="eastAsia" w:ascii="宋体" w:hAnsi="宋体" w:cs="宋体"/>
                <w:color w:val="auto"/>
                <w:sz w:val="24"/>
              </w:rPr>
            </w:pPr>
          </w:p>
        </w:tc>
        <w:tc>
          <w:tcPr>
            <w:tcW w:w="1411" w:type="dxa"/>
          </w:tcPr>
          <w:p w14:paraId="18AB2B1A">
            <w:pPr>
              <w:rPr>
                <w:rFonts w:hint="eastAsia" w:ascii="宋体" w:hAnsi="宋体" w:cs="宋体"/>
                <w:color w:val="auto"/>
                <w:sz w:val="24"/>
              </w:rPr>
            </w:pPr>
          </w:p>
        </w:tc>
        <w:tc>
          <w:tcPr>
            <w:tcW w:w="1352" w:type="dxa"/>
          </w:tcPr>
          <w:p w14:paraId="79A14A33">
            <w:pPr>
              <w:rPr>
                <w:rFonts w:hint="eastAsia" w:ascii="宋体" w:hAnsi="宋体" w:cs="宋体"/>
                <w:color w:val="auto"/>
                <w:sz w:val="24"/>
              </w:rPr>
            </w:pPr>
          </w:p>
        </w:tc>
        <w:tc>
          <w:tcPr>
            <w:tcW w:w="1069" w:type="dxa"/>
          </w:tcPr>
          <w:p w14:paraId="3BA88ADA">
            <w:pPr>
              <w:rPr>
                <w:rFonts w:hint="eastAsia" w:ascii="宋体" w:hAnsi="宋体" w:cs="宋体"/>
                <w:color w:val="auto"/>
                <w:sz w:val="24"/>
              </w:rPr>
            </w:pPr>
          </w:p>
        </w:tc>
      </w:tr>
      <w:tr w14:paraId="0609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9E46C">
            <w:pPr>
              <w:jc w:val="center"/>
              <w:rPr>
                <w:rFonts w:hint="eastAsia" w:ascii="宋体" w:hAnsi="宋体" w:cs="宋体"/>
                <w:color w:val="auto"/>
                <w:sz w:val="24"/>
              </w:rPr>
            </w:pPr>
          </w:p>
        </w:tc>
        <w:tc>
          <w:tcPr>
            <w:tcW w:w="2205" w:type="dxa"/>
            <w:vAlign w:val="center"/>
          </w:tcPr>
          <w:p w14:paraId="0BCD0431">
            <w:pPr>
              <w:pStyle w:val="53"/>
              <w:rPr>
                <w:rFonts w:hint="eastAsia" w:ascii="宋体" w:hAnsi="宋体" w:cs="宋体"/>
                <w:color w:val="auto"/>
              </w:rPr>
            </w:pPr>
            <w:r>
              <w:rPr>
                <w:rFonts w:hint="eastAsia" w:ascii="宋体" w:hAnsi="宋体" w:cs="宋体"/>
                <w:color w:val="auto"/>
              </w:rPr>
              <w:t>合计</w:t>
            </w:r>
          </w:p>
        </w:tc>
        <w:tc>
          <w:tcPr>
            <w:tcW w:w="957" w:type="dxa"/>
          </w:tcPr>
          <w:p w14:paraId="53267024">
            <w:pPr>
              <w:rPr>
                <w:rFonts w:hint="eastAsia" w:ascii="宋体" w:hAnsi="宋体" w:cs="宋体"/>
                <w:color w:val="auto"/>
                <w:sz w:val="24"/>
              </w:rPr>
            </w:pPr>
          </w:p>
        </w:tc>
        <w:tc>
          <w:tcPr>
            <w:tcW w:w="1185" w:type="dxa"/>
          </w:tcPr>
          <w:p w14:paraId="04A8F298">
            <w:pPr>
              <w:rPr>
                <w:rFonts w:hint="eastAsia" w:ascii="宋体" w:hAnsi="宋体" w:cs="宋体"/>
                <w:color w:val="auto"/>
                <w:sz w:val="24"/>
              </w:rPr>
            </w:pPr>
          </w:p>
        </w:tc>
        <w:tc>
          <w:tcPr>
            <w:tcW w:w="1411" w:type="dxa"/>
          </w:tcPr>
          <w:p w14:paraId="606F58B4">
            <w:pPr>
              <w:rPr>
                <w:rFonts w:hint="eastAsia" w:ascii="宋体" w:hAnsi="宋体" w:cs="宋体"/>
                <w:color w:val="auto"/>
                <w:sz w:val="24"/>
              </w:rPr>
            </w:pPr>
          </w:p>
        </w:tc>
        <w:tc>
          <w:tcPr>
            <w:tcW w:w="1352" w:type="dxa"/>
          </w:tcPr>
          <w:p w14:paraId="2AAAE708">
            <w:pPr>
              <w:rPr>
                <w:rFonts w:hint="eastAsia" w:ascii="宋体" w:hAnsi="宋体" w:cs="宋体"/>
                <w:color w:val="auto"/>
                <w:sz w:val="24"/>
              </w:rPr>
            </w:pPr>
          </w:p>
        </w:tc>
        <w:tc>
          <w:tcPr>
            <w:tcW w:w="1069" w:type="dxa"/>
          </w:tcPr>
          <w:p w14:paraId="796DD81F">
            <w:pPr>
              <w:rPr>
                <w:rFonts w:hint="eastAsia" w:ascii="宋体" w:hAnsi="宋体" w:cs="宋体"/>
                <w:color w:val="auto"/>
                <w:sz w:val="24"/>
              </w:rPr>
            </w:pPr>
          </w:p>
        </w:tc>
        <w:bookmarkStart w:id="139" w:name="_Hlt533408944"/>
        <w:bookmarkStart w:id="140" w:name="_Hlt514495724"/>
      </w:tr>
      <w:bookmarkEnd w:id="139"/>
      <w:bookmarkEnd w:id="140"/>
    </w:tbl>
    <w:p w14:paraId="278286FB">
      <w:pPr>
        <w:pStyle w:val="16"/>
        <w:spacing w:line="360" w:lineRule="auto"/>
        <w:rPr>
          <w:rFonts w:hint="eastAsia" w:ascii="宋体" w:hAnsi="宋体" w:cs="宋体"/>
          <w:color w:val="auto"/>
          <w:sz w:val="24"/>
        </w:rPr>
      </w:pPr>
    </w:p>
    <w:p w14:paraId="558114C3">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供应商名称：（电子公章）</w:t>
      </w:r>
    </w:p>
    <w:p w14:paraId="540664EA">
      <w:pPr>
        <w:spacing w:line="380" w:lineRule="exact"/>
        <w:ind w:right="640" w:firstLine="1560" w:firstLineChars="650"/>
        <w:rPr>
          <w:rFonts w:hint="eastAsia" w:ascii="宋体" w:hAnsi="宋体" w:cs="宋体"/>
          <w:color w:val="auto"/>
          <w:sz w:val="24"/>
        </w:rPr>
      </w:pPr>
    </w:p>
    <w:p w14:paraId="145A4A50">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法定代表人：（签字）</w:t>
      </w:r>
    </w:p>
    <w:p w14:paraId="66E1A8B7">
      <w:pPr>
        <w:spacing w:line="380" w:lineRule="exact"/>
        <w:jc w:val="center"/>
        <w:rPr>
          <w:rFonts w:hint="eastAsia" w:ascii="宋体" w:hAnsi="宋体" w:cs="宋体"/>
          <w:color w:val="auto"/>
          <w:sz w:val="24"/>
        </w:rPr>
      </w:pPr>
    </w:p>
    <w:p w14:paraId="7A126385">
      <w:pPr>
        <w:jc w:val="center"/>
        <w:rPr>
          <w:rFonts w:hint="eastAsia" w:ascii="宋体" w:hAnsi="宋体" w:cs="宋体"/>
          <w:color w:val="auto"/>
          <w:sz w:val="24"/>
        </w:rPr>
      </w:pPr>
      <w:r>
        <w:rPr>
          <w:rFonts w:hint="eastAsia" w:ascii="宋体" w:hAnsi="宋体" w:cs="宋体"/>
          <w:color w:val="auto"/>
          <w:sz w:val="24"/>
        </w:rPr>
        <w:t xml:space="preserve">               日期：      年   月    日</w:t>
      </w:r>
    </w:p>
    <w:p w14:paraId="2E80ECDD">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230BA464">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报价为所投货物的单价组成。包括货物出厂价格、运费、税金及其它。</w:t>
      </w:r>
    </w:p>
    <w:p w14:paraId="10AE5C75">
      <w:pPr>
        <w:pStyle w:val="20"/>
        <w:rPr>
          <w:color w:val="auto"/>
        </w:rPr>
      </w:pPr>
    </w:p>
    <w:p w14:paraId="0C1DBCF7">
      <w:pPr>
        <w:pStyle w:val="16"/>
        <w:spacing w:line="360" w:lineRule="auto"/>
        <w:rPr>
          <w:rFonts w:hint="eastAsia" w:ascii="宋体" w:hAnsi="宋体" w:cs="宋体"/>
          <w:color w:val="auto"/>
          <w:sz w:val="24"/>
        </w:rPr>
      </w:pPr>
    </w:p>
    <w:p w14:paraId="6BE6F5A4">
      <w:pPr>
        <w:spacing w:line="380" w:lineRule="exact"/>
        <w:ind w:firstLine="3600" w:firstLineChars="1500"/>
        <w:rPr>
          <w:rFonts w:hint="eastAsia" w:ascii="宋体" w:hAnsi="宋体" w:cs="宋体"/>
          <w:color w:val="auto"/>
          <w:sz w:val="24"/>
        </w:rPr>
      </w:pPr>
    </w:p>
    <w:p w14:paraId="166A9156">
      <w:pPr>
        <w:spacing w:line="380" w:lineRule="exact"/>
        <w:ind w:firstLine="3600" w:firstLineChars="1500"/>
        <w:rPr>
          <w:rFonts w:hint="eastAsia" w:ascii="宋体" w:hAnsi="宋体" w:cs="宋体"/>
          <w:color w:val="auto"/>
          <w:sz w:val="24"/>
        </w:rPr>
      </w:pPr>
    </w:p>
    <w:p w14:paraId="1156545B">
      <w:pPr>
        <w:spacing w:line="380" w:lineRule="exact"/>
        <w:ind w:firstLine="3600" w:firstLineChars="1500"/>
        <w:rPr>
          <w:rFonts w:hint="eastAsia" w:ascii="宋体" w:hAnsi="宋体" w:cs="宋体"/>
          <w:color w:val="auto"/>
          <w:sz w:val="24"/>
        </w:rPr>
      </w:pPr>
    </w:p>
    <w:p w14:paraId="37EEDECE">
      <w:pPr>
        <w:spacing w:line="380" w:lineRule="exact"/>
        <w:ind w:firstLine="3600" w:firstLineChars="1500"/>
        <w:rPr>
          <w:rFonts w:hint="eastAsia" w:ascii="宋体" w:hAnsi="宋体" w:cs="宋体"/>
          <w:color w:val="auto"/>
          <w:sz w:val="24"/>
        </w:rPr>
      </w:pPr>
    </w:p>
    <w:p w14:paraId="61E66411">
      <w:pPr>
        <w:pStyle w:val="20"/>
        <w:rPr>
          <w:color w:val="auto"/>
        </w:rPr>
      </w:pPr>
    </w:p>
    <w:p w14:paraId="5E99DB35">
      <w:pPr>
        <w:pStyle w:val="4"/>
        <w:rPr>
          <w:rFonts w:hint="eastAsia" w:hAnsi="宋体" w:cs="宋体"/>
          <w:color w:val="auto"/>
          <w:sz w:val="28"/>
        </w:rPr>
      </w:pPr>
      <w:bookmarkStart w:id="141" w:name="_Toc40975453"/>
      <w:r>
        <w:rPr>
          <w:rFonts w:hint="eastAsia" w:hAnsi="宋体" w:cs="宋体"/>
          <w:color w:val="auto"/>
          <w:sz w:val="28"/>
        </w:rPr>
        <w:t>五．投标响应表</w:t>
      </w:r>
      <w:bookmarkEnd w:id="137"/>
      <w:bookmarkEnd w:id="138"/>
      <w:bookmarkEnd w:id="141"/>
    </w:p>
    <w:tbl>
      <w:tblPr>
        <w:tblStyle w:val="2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7EDB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4F7B63D5">
            <w:pPr>
              <w:pStyle w:val="15"/>
              <w:jc w:val="center"/>
              <w:rPr>
                <w:rFonts w:hint="eastAsia" w:hAnsi="宋体" w:cs="宋体"/>
                <w:b/>
                <w:color w:val="auto"/>
                <w:sz w:val="24"/>
              </w:rPr>
            </w:pPr>
            <w:r>
              <w:rPr>
                <w:rFonts w:hint="eastAsia" w:hAnsi="宋体" w:cs="宋体"/>
                <w:b/>
                <w:color w:val="auto"/>
                <w:sz w:val="24"/>
              </w:rPr>
              <w:t>按招标文件规定填写</w:t>
            </w:r>
          </w:p>
        </w:tc>
        <w:tc>
          <w:tcPr>
            <w:tcW w:w="3534" w:type="dxa"/>
            <w:gridSpan w:val="2"/>
            <w:vAlign w:val="center"/>
          </w:tcPr>
          <w:p w14:paraId="4BB1CB94">
            <w:pPr>
              <w:pStyle w:val="15"/>
              <w:jc w:val="center"/>
              <w:rPr>
                <w:rFonts w:hint="eastAsia" w:hAnsi="宋体" w:cs="宋体"/>
                <w:b/>
                <w:color w:val="auto"/>
                <w:sz w:val="24"/>
              </w:rPr>
            </w:pPr>
            <w:r>
              <w:rPr>
                <w:rFonts w:hint="eastAsia" w:hAnsi="宋体" w:cs="宋体"/>
                <w:b/>
                <w:color w:val="auto"/>
                <w:sz w:val="24"/>
              </w:rPr>
              <w:t>按投标人所投内容填写</w:t>
            </w:r>
          </w:p>
        </w:tc>
      </w:tr>
      <w:tr w14:paraId="11F5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5081786E">
            <w:pPr>
              <w:pStyle w:val="15"/>
              <w:jc w:val="center"/>
              <w:rPr>
                <w:rFonts w:hint="eastAsia" w:hAnsi="宋体" w:cs="宋体"/>
                <w:b/>
                <w:color w:val="auto"/>
                <w:sz w:val="24"/>
              </w:rPr>
            </w:pPr>
            <w:r>
              <w:rPr>
                <w:rFonts w:hint="eastAsia" w:hAnsi="宋体" w:cs="宋体"/>
                <w:b/>
                <w:color w:val="auto"/>
                <w:sz w:val="24"/>
              </w:rPr>
              <w:t>第一部分：技术部分响应</w:t>
            </w:r>
          </w:p>
        </w:tc>
      </w:tr>
      <w:tr w14:paraId="113F9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20FBB6CE">
            <w:pPr>
              <w:pStyle w:val="15"/>
              <w:jc w:val="center"/>
              <w:rPr>
                <w:rFonts w:hint="eastAsia" w:hAnsi="宋体" w:cs="宋体"/>
                <w:b/>
                <w:color w:val="auto"/>
                <w:sz w:val="24"/>
              </w:rPr>
            </w:pPr>
            <w:r>
              <w:rPr>
                <w:rFonts w:hint="eastAsia" w:hAnsi="宋体" w:cs="宋体"/>
                <w:b/>
                <w:color w:val="auto"/>
                <w:sz w:val="24"/>
              </w:rPr>
              <w:t>序号</w:t>
            </w:r>
          </w:p>
        </w:tc>
        <w:tc>
          <w:tcPr>
            <w:tcW w:w="1470" w:type="dxa"/>
            <w:vAlign w:val="center"/>
          </w:tcPr>
          <w:p w14:paraId="73A0BC72">
            <w:pPr>
              <w:pStyle w:val="15"/>
              <w:jc w:val="center"/>
              <w:rPr>
                <w:rFonts w:hint="eastAsia" w:hAnsi="宋体" w:cs="宋体"/>
                <w:b/>
                <w:color w:val="auto"/>
                <w:sz w:val="24"/>
              </w:rPr>
            </w:pPr>
            <w:r>
              <w:rPr>
                <w:rFonts w:hint="eastAsia" w:hAnsi="宋体" w:cs="宋体"/>
                <w:b/>
                <w:color w:val="auto"/>
                <w:sz w:val="24"/>
              </w:rPr>
              <w:t>品名</w:t>
            </w:r>
          </w:p>
        </w:tc>
        <w:tc>
          <w:tcPr>
            <w:tcW w:w="2520" w:type="dxa"/>
            <w:vAlign w:val="center"/>
          </w:tcPr>
          <w:p w14:paraId="786A69C8">
            <w:pPr>
              <w:pStyle w:val="15"/>
              <w:jc w:val="center"/>
              <w:rPr>
                <w:rFonts w:hint="eastAsia" w:hAnsi="宋体" w:cs="宋体"/>
                <w:b/>
                <w:color w:val="auto"/>
                <w:sz w:val="24"/>
                <w:szCs w:val="24"/>
              </w:rPr>
            </w:pPr>
            <w:r>
              <w:rPr>
                <w:rFonts w:hint="eastAsia" w:hAnsi="宋体" w:cs="宋体"/>
                <w:b/>
                <w:color w:val="auto"/>
                <w:sz w:val="24"/>
              </w:rPr>
              <w:t>技术规格及配置</w:t>
            </w:r>
          </w:p>
        </w:tc>
        <w:tc>
          <w:tcPr>
            <w:tcW w:w="2310" w:type="dxa"/>
            <w:vAlign w:val="center"/>
          </w:tcPr>
          <w:p w14:paraId="25690DFA">
            <w:pPr>
              <w:pStyle w:val="15"/>
              <w:rPr>
                <w:rFonts w:hint="eastAsia" w:hAnsi="宋体" w:cs="宋体"/>
                <w:b/>
                <w:color w:val="auto"/>
                <w:sz w:val="24"/>
                <w:szCs w:val="24"/>
              </w:rPr>
            </w:pPr>
            <w:r>
              <w:rPr>
                <w:rFonts w:hint="eastAsia" w:hAnsi="宋体" w:cs="宋体"/>
                <w:b/>
                <w:color w:val="auto"/>
                <w:sz w:val="24"/>
              </w:rPr>
              <w:t>生产厂家、品牌、规格参数等</w:t>
            </w:r>
          </w:p>
        </w:tc>
        <w:tc>
          <w:tcPr>
            <w:tcW w:w="1224" w:type="dxa"/>
            <w:vAlign w:val="center"/>
          </w:tcPr>
          <w:p w14:paraId="4A49EE16">
            <w:pPr>
              <w:pStyle w:val="15"/>
              <w:jc w:val="center"/>
              <w:rPr>
                <w:rFonts w:hint="eastAsia" w:hAnsi="宋体" w:cs="宋体"/>
                <w:b/>
                <w:color w:val="auto"/>
                <w:sz w:val="24"/>
              </w:rPr>
            </w:pPr>
            <w:r>
              <w:rPr>
                <w:rFonts w:hint="eastAsia" w:hAnsi="宋体" w:cs="宋体"/>
                <w:b/>
                <w:color w:val="auto"/>
                <w:sz w:val="24"/>
              </w:rPr>
              <w:t>偏离说明</w:t>
            </w:r>
          </w:p>
        </w:tc>
      </w:tr>
      <w:tr w14:paraId="49FB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FF6AFCD">
            <w:pPr>
              <w:jc w:val="center"/>
              <w:rPr>
                <w:rFonts w:hint="eastAsia" w:ascii="宋体" w:hAnsi="宋体" w:cs="宋体"/>
                <w:color w:val="auto"/>
                <w:sz w:val="24"/>
              </w:rPr>
            </w:pPr>
            <w:r>
              <w:rPr>
                <w:rFonts w:hint="eastAsia" w:ascii="宋体" w:hAnsi="宋体" w:cs="宋体"/>
                <w:color w:val="auto"/>
                <w:sz w:val="24"/>
              </w:rPr>
              <w:t>1</w:t>
            </w:r>
          </w:p>
        </w:tc>
        <w:tc>
          <w:tcPr>
            <w:tcW w:w="1470" w:type="dxa"/>
          </w:tcPr>
          <w:p w14:paraId="45C32948">
            <w:pPr>
              <w:rPr>
                <w:rFonts w:hint="eastAsia" w:ascii="宋体" w:hAnsi="宋体" w:cs="宋体"/>
                <w:color w:val="auto"/>
                <w:sz w:val="24"/>
              </w:rPr>
            </w:pPr>
          </w:p>
        </w:tc>
        <w:tc>
          <w:tcPr>
            <w:tcW w:w="2520" w:type="dxa"/>
          </w:tcPr>
          <w:p w14:paraId="6B1398E1">
            <w:pPr>
              <w:rPr>
                <w:rFonts w:hint="eastAsia" w:ascii="宋体" w:hAnsi="宋体" w:cs="宋体"/>
                <w:color w:val="auto"/>
                <w:sz w:val="24"/>
              </w:rPr>
            </w:pPr>
          </w:p>
        </w:tc>
        <w:tc>
          <w:tcPr>
            <w:tcW w:w="2310" w:type="dxa"/>
          </w:tcPr>
          <w:p w14:paraId="69DCD4E4">
            <w:pPr>
              <w:rPr>
                <w:rFonts w:hint="eastAsia" w:ascii="宋体" w:hAnsi="宋体" w:cs="宋体"/>
                <w:color w:val="auto"/>
                <w:sz w:val="24"/>
              </w:rPr>
            </w:pPr>
          </w:p>
        </w:tc>
        <w:tc>
          <w:tcPr>
            <w:tcW w:w="1224" w:type="dxa"/>
          </w:tcPr>
          <w:p w14:paraId="57E0110F">
            <w:pPr>
              <w:rPr>
                <w:rFonts w:hint="eastAsia" w:ascii="宋体" w:hAnsi="宋体" w:cs="宋体"/>
                <w:color w:val="auto"/>
                <w:sz w:val="24"/>
              </w:rPr>
            </w:pPr>
          </w:p>
        </w:tc>
      </w:tr>
      <w:tr w14:paraId="4159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884EDE4">
            <w:pPr>
              <w:jc w:val="center"/>
              <w:rPr>
                <w:rFonts w:hint="eastAsia" w:ascii="宋体" w:hAnsi="宋体" w:cs="宋体"/>
                <w:color w:val="auto"/>
                <w:sz w:val="24"/>
              </w:rPr>
            </w:pPr>
            <w:r>
              <w:rPr>
                <w:rFonts w:hint="eastAsia" w:ascii="宋体" w:hAnsi="宋体" w:cs="宋体"/>
                <w:color w:val="auto"/>
                <w:sz w:val="24"/>
              </w:rPr>
              <w:t>2</w:t>
            </w:r>
          </w:p>
        </w:tc>
        <w:tc>
          <w:tcPr>
            <w:tcW w:w="1470" w:type="dxa"/>
          </w:tcPr>
          <w:p w14:paraId="2EA715A7">
            <w:pPr>
              <w:rPr>
                <w:rFonts w:hint="eastAsia" w:ascii="宋体" w:hAnsi="宋体" w:cs="宋体"/>
                <w:color w:val="auto"/>
                <w:sz w:val="24"/>
              </w:rPr>
            </w:pPr>
          </w:p>
        </w:tc>
        <w:tc>
          <w:tcPr>
            <w:tcW w:w="2520" w:type="dxa"/>
          </w:tcPr>
          <w:p w14:paraId="5AF668A1">
            <w:pPr>
              <w:rPr>
                <w:rFonts w:hint="eastAsia" w:ascii="宋体" w:hAnsi="宋体" w:cs="宋体"/>
                <w:color w:val="auto"/>
                <w:sz w:val="24"/>
              </w:rPr>
            </w:pPr>
          </w:p>
        </w:tc>
        <w:tc>
          <w:tcPr>
            <w:tcW w:w="2310" w:type="dxa"/>
          </w:tcPr>
          <w:p w14:paraId="3A18D4D6">
            <w:pPr>
              <w:rPr>
                <w:rFonts w:hint="eastAsia" w:ascii="宋体" w:hAnsi="宋体" w:cs="宋体"/>
                <w:color w:val="auto"/>
                <w:sz w:val="24"/>
              </w:rPr>
            </w:pPr>
          </w:p>
        </w:tc>
        <w:tc>
          <w:tcPr>
            <w:tcW w:w="1224" w:type="dxa"/>
          </w:tcPr>
          <w:p w14:paraId="65A9E23E">
            <w:pPr>
              <w:rPr>
                <w:rFonts w:hint="eastAsia" w:ascii="宋体" w:hAnsi="宋体" w:cs="宋体"/>
                <w:color w:val="auto"/>
                <w:sz w:val="24"/>
              </w:rPr>
            </w:pPr>
          </w:p>
        </w:tc>
      </w:tr>
      <w:tr w14:paraId="1869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A580954">
            <w:pPr>
              <w:jc w:val="center"/>
              <w:rPr>
                <w:rFonts w:hint="eastAsia" w:ascii="宋体" w:hAnsi="宋体" w:cs="宋体"/>
                <w:color w:val="auto"/>
                <w:sz w:val="24"/>
              </w:rPr>
            </w:pPr>
            <w:r>
              <w:rPr>
                <w:rFonts w:hint="eastAsia" w:ascii="宋体" w:hAnsi="宋体" w:cs="宋体"/>
                <w:color w:val="auto"/>
                <w:sz w:val="24"/>
              </w:rPr>
              <w:t>3</w:t>
            </w:r>
          </w:p>
        </w:tc>
        <w:tc>
          <w:tcPr>
            <w:tcW w:w="1470" w:type="dxa"/>
          </w:tcPr>
          <w:p w14:paraId="3E6A8D6B">
            <w:pPr>
              <w:rPr>
                <w:rFonts w:hint="eastAsia" w:ascii="宋体" w:hAnsi="宋体" w:cs="宋体"/>
                <w:color w:val="auto"/>
                <w:sz w:val="24"/>
              </w:rPr>
            </w:pPr>
          </w:p>
        </w:tc>
        <w:tc>
          <w:tcPr>
            <w:tcW w:w="2520" w:type="dxa"/>
          </w:tcPr>
          <w:p w14:paraId="18C01AAA">
            <w:pPr>
              <w:rPr>
                <w:rFonts w:hint="eastAsia" w:ascii="宋体" w:hAnsi="宋体" w:cs="宋体"/>
                <w:color w:val="auto"/>
                <w:sz w:val="24"/>
              </w:rPr>
            </w:pPr>
          </w:p>
        </w:tc>
        <w:tc>
          <w:tcPr>
            <w:tcW w:w="2310" w:type="dxa"/>
          </w:tcPr>
          <w:p w14:paraId="1CCBA89A">
            <w:pPr>
              <w:pStyle w:val="53"/>
              <w:rPr>
                <w:rFonts w:hint="eastAsia" w:ascii="宋体" w:hAnsi="宋体" w:cs="宋体"/>
                <w:color w:val="auto"/>
              </w:rPr>
            </w:pPr>
          </w:p>
        </w:tc>
        <w:tc>
          <w:tcPr>
            <w:tcW w:w="1224" w:type="dxa"/>
          </w:tcPr>
          <w:p w14:paraId="4C0FE24D">
            <w:pPr>
              <w:rPr>
                <w:rFonts w:hint="eastAsia" w:ascii="宋体" w:hAnsi="宋体" w:cs="宋体"/>
                <w:color w:val="auto"/>
                <w:sz w:val="24"/>
              </w:rPr>
            </w:pPr>
          </w:p>
        </w:tc>
      </w:tr>
      <w:tr w14:paraId="4BF3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545611F">
            <w:pPr>
              <w:jc w:val="center"/>
              <w:rPr>
                <w:rFonts w:hint="eastAsia" w:ascii="宋体" w:hAnsi="宋体" w:cs="宋体"/>
                <w:color w:val="auto"/>
                <w:sz w:val="24"/>
              </w:rPr>
            </w:pPr>
            <w:r>
              <w:rPr>
                <w:rFonts w:hint="eastAsia" w:ascii="宋体" w:hAnsi="宋体" w:cs="宋体"/>
                <w:color w:val="auto"/>
                <w:sz w:val="24"/>
              </w:rPr>
              <w:t>4</w:t>
            </w:r>
          </w:p>
        </w:tc>
        <w:tc>
          <w:tcPr>
            <w:tcW w:w="1470" w:type="dxa"/>
          </w:tcPr>
          <w:p w14:paraId="71AB9BCE">
            <w:pPr>
              <w:rPr>
                <w:rFonts w:hint="eastAsia" w:ascii="宋体" w:hAnsi="宋体" w:cs="宋体"/>
                <w:color w:val="auto"/>
                <w:sz w:val="24"/>
              </w:rPr>
            </w:pPr>
          </w:p>
        </w:tc>
        <w:tc>
          <w:tcPr>
            <w:tcW w:w="2520" w:type="dxa"/>
          </w:tcPr>
          <w:p w14:paraId="5F851ADB">
            <w:pPr>
              <w:rPr>
                <w:rFonts w:hint="eastAsia" w:ascii="宋体" w:hAnsi="宋体" w:cs="宋体"/>
                <w:color w:val="auto"/>
                <w:sz w:val="24"/>
              </w:rPr>
            </w:pPr>
          </w:p>
        </w:tc>
        <w:tc>
          <w:tcPr>
            <w:tcW w:w="2310" w:type="dxa"/>
          </w:tcPr>
          <w:p w14:paraId="1064287D">
            <w:pPr>
              <w:rPr>
                <w:rFonts w:hint="eastAsia" w:ascii="宋体" w:hAnsi="宋体" w:cs="宋体"/>
                <w:color w:val="auto"/>
                <w:sz w:val="24"/>
              </w:rPr>
            </w:pPr>
          </w:p>
        </w:tc>
        <w:tc>
          <w:tcPr>
            <w:tcW w:w="1224" w:type="dxa"/>
          </w:tcPr>
          <w:p w14:paraId="6D721095">
            <w:pPr>
              <w:rPr>
                <w:rFonts w:hint="eastAsia" w:ascii="宋体" w:hAnsi="宋体" w:cs="宋体"/>
                <w:color w:val="auto"/>
                <w:sz w:val="24"/>
              </w:rPr>
            </w:pPr>
          </w:p>
        </w:tc>
      </w:tr>
      <w:tr w14:paraId="0E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4A49DCAD">
            <w:pPr>
              <w:pStyle w:val="15"/>
              <w:jc w:val="center"/>
              <w:rPr>
                <w:rFonts w:hint="eastAsia" w:hAnsi="宋体" w:cs="宋体"/>
                <w:color w:val="auto"/>
                <w:sz w:val="24"/>
              </w:rPr>
            </w:pPr>
            <w:r>
              <w:rPr>
                <w:rFonts w:hint="eastAsia" w:hAnsi="宋体" w:cs="宋体"/>
                <w:b/>
                <w:color w:val="auto"/>
                <w:sz w:val="24"/>
              </w:rPr>
              <w:t>第二部分：资信及报价部分响应</w:t>
            </w:r>
          </w:p>
        </w:tc>
      </w:tr>
      <w:tr w14:paraId="70EA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A5B2C7B">
            <w:pPr>
              <w:pStyle w:val="15"/>
              <w:jc w:val="center"/>
              <w:rPr>
                <w:rFonts w:hint="eastAsia" w:hAnsi="宋体" w:cs="宋体"/>
                <w:b/>
                <w:color w:val="auto"/>
                <w:sz w:val="24"/>
              </w:rPr>
            </w:pPr>
            <w:r>
              <w:rPr>
                <w:rFonts w:hint="eastAsia" w:hAnsi="宋体" w:cs="宋体"/>
                <w:b/>
                <w:color w:val="auto"/>
                <w:sz w:val="24"/>
              </w:rPr>
              <w:t>序号</w:t>
            </w:r>
          </w:p>
        </w:tc>
        <w:tc>
          <w:tcPr>
            <w:tcW w:w="1470" w:type="dxa"/>
            <w:vAlign w:val="center"/>
          </w:tcPr>
          <w:p w14:paraId="56C62E45">
            <w:pPr>
              <w:pStyle w:val="15"/>
              <w:jc w:val="center"/>
              <w:rPr>
                <w:rFonts w:hint="eastAsia" w:hAnsi="宋体" w:cs="宋体"/>
                <w:b/>
                <w:color w:val="auto"/>
                <w:sz w:val="24"/>
              </w:rPr>
            </w:pPr>
            <w:r>
              <w:rPr>
                <w:rFonts w:hint="eastAsia" w:hAnsi="宋体" w:cs="宋体"/>
                <w:b/>
                <w:color w:val="auto"/>
                <w:sz w:val="24"/>
              </w:rPr>
              <w:t>内容</w:t>
            </w:r>
          </w:p>
        </w:tc>
        <w:tc>
          <w:tcPr>
            <w:tcW w:w="2520" w:type="dxa"/>
            <w:vAlign w:val="center"/>
          </w:tcPr>
          <w:p w14:paraId="0BE9E0C4">
            <w:pPr>
              <w:pStyle w:val="15"/>
              <w:jc w:val="center"/>
              <w:rPr>
                <w:rFonts w:hint="eastAsia" w:hAnsi="宋体" w:cs="宋体"/>
                <w:b/>
                <w:color w:val="auto"/>
                <w:sz w:val="24"/>
              </w:rPr>
            </w:pPr>
            <w:r>
              <w:rPr>
                <w:rFonts w:hint="eastAsia" w:hAnsi="宋体" w:cs="宋体"/>
                <w:b/>
                <w:color w:val="auto"/>
                <w:sz w:val="24"/>
              </w:rPr>
              <w:t>招标要求</w:t>
            </w:r>
          </w:p>
        </w:tc>
        <w:tc>
          <w:tcPr>
            <w:tcW w:w="2310" w:type="dxa"/>
            <w:vAlign w:val="center"/>
          </w:tcPr>
          <w:p w14:paraId="26606E8F">
            <w:pPr>
              <w:pStyle w:val="15"/>
              <w:jc w:val="center"/>
              <w:rPr>
                <w:rFonts w:hint="eastAsia" w:hAnsi="宋体" w:cs="宋体"/>
                <w:b/>
                <w:color w:val="auto"/>
                <w:sz w:val="24"/>
              </w:rPr>
            </w:pPr>
            <w:r>
              <w:rPr>
                <w:rFonts w:hint="eastAsia" w:hAnsi="宋体" w:cs="宋体"/>
                <w:b/>
                <w:color w:val="auto"/>
                <w:sz w:val="24"/>
              </w:rPr>
              <w:t>投标承诺</w:t>
            </w:r>
          </w:p>
        </w:tc>
        <w:tc>
          <w:tcPr>
            <w:tcW w:w="1224" w:type="dxa"/>
            <w:vAlign w:val="center"/>
          </w:tcPr>
          <w:p w14:paraId="5C7E35FF">
            <w:pPr>
              <w:pStyle w:val="15"/>
              <w:jc w:val="center"/>
              <w:rPr>
                <w:rFonts w:hint="eastAsia" w:hAnsi="宋体" w:cs="宋体"/>
                <w:b/>
                <w:color w:val="auto"/>
                <w:sz w:val="24"/>
              </w:rPr>
            </w:pPr>
            <w:r>
              <w:rPr>
                <w:rFonts w:hint="eastAsia" w:hAnsi="宋体" w:cs="宋体"/>
                <w:b/>
                <w:color w:val="auto"/>
                <w:sz w:val="24"/>
              </w:rPr>
              <w:t>偏离说明</w:t>
            </w:r>
          </w:p>
        </w:tc>
      </w:tr>
      <w:tr w14:paraId="2C9F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7AC2DD8">
            <w:pPr>
              <w:jc w:val="center"/>
              <w:rPr>
                <w:rFonts w:hint="eastAsia" w:ascii="宋体" w:hAnsi="宋体" w:cs="宋体"/>
                <w:color w:val="auto"/>
                <w:sz w:val="24"/>
              </w:rPr>
            </w:pPr>
            <w:r>
              <w:rPr>
                <w:rFonts w:hint="eastAsia" w:ascii="宋体" w:hAnsi="宋体" w:cs="宋体"/>
                <w:color w:val="auto"/>
                <w:sz w:val="24"/>
              </w:rPr>
              <w:t>1</w:t>
            </w:r>
          </w:p>
        </w:tc>
        <w:tc>
          <w:tcPr>
            <w:tcW w:w="1470" w:type="dxa"/>
            <w:vAlign w:val="center"/>
          </w:tcPr>
          <w:p w14:paraId="5367AB88">
            <w:pPr>
              <w:jc w:val="center"/>
              <w:rPr>
                <w:rFonts w:hint="eastAsia" w:ascii="宋体" w:hAnsi="宋体" w:cs="宋体"/>
                <w:color w:val="auto"/>
                <w:sz w:val="24"/>
              </w:rPr>
            </w:pPr>
            <w:r>
              <w:rPr>
                <w:rFonts w:hint="eastAsia" w:ascii="宋体" w:hAnsi="宋体" w:cs="宋体"/>
                <w:color w:val="auto"/>
                <w:sz w:val="24"/>
              </w:rPr>
              <w:t>供货期</w:t>
            </w:r>
          </w:p>
        </w:tc>
        <w:tc>
          <w:tcPr>
            <w:tcW w:w="2520" w:type="dxa"/>
          </w:tcPr>
          <w:p w14:paraId="4B2C681B">
            <w:pPr>
              <w:rPr>
                <w:rFonts w:hint="eastAsia" w:ascii="宋体" w:hAnsi="宋体" w:cs="宋体"/>
                <w:color w:val="auto"/>
                <w:sz w:val="24"/>
              </w:rPr>
            </w:pPr>
          </w:p>
        </w:tc>
        <w:tc>
          <w:tcPr>
            <w:tcW w:w="2310" w:type="dxa"/>
          </w:tcPr>
          <w:p w14:paraId="01A2BCA3">
            <w:pPr>
              <w:rPr>
                <w:rFonts w:hint="eastAsia" w:ascii="宋体" w:hAnsi="宋体" w:cs="宋体"/>
                <w:color w:val="auto"/>
                <w:sz w:val="24"/>
              </w:rPr>
            </w:pPr>
          </w:p>
        </w:tc>
        <w:tc>
          <w:tcPr>
            <w:tcW w:w="1224" w:type="dxa"/>
          </w:tcPr>
          <w:p w14:paraId="5B2B711C">
            <w:pPr>
              <w:rPr>
                <w:rFonts w:hint="eastAsia" w:ascii="宋体" w:hAnsi="宋体" w:cs="宋体"/>
                <w:color w:val="auto"/>
                <w:sz w:val="24"/>
              </w:rPr>
            </w:pPr>
          </w:p>
        </w:tc>
      </w:tr>
      <w:tr w14:paraId="7E4B4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17503DB">
            <w:pPr>
              <w:jc w:val="center"/>
              <w:rPr>
                <w:rFonts w:hint="eastAsia" w:ascii="宋体" w:hAnsi="宋体" w:cs="宋体"/>
                <w:color w:val="auto"/>
                <w:sz w:val="24"/>
              </w:rPr>
            </w:pPr>
            <w:r>
              <w:rPr>
                <w:rFonts w:hint="eastAsia" w:ascii="宋体" w:hAnsi="宋体" w:cs="宋体"/>
                <w:color w:val="auto"/>
                <w:sz w:val="24"/>
              </w:rPr>
              <w:t>2</w:t>
            </w:r>
          </w:p>
        </w:tc>
        <w:tc>
          <w:tcPr>
            <w:tcW w:w="1470" w:type="dxa"/>
            <w:vAlign w:val="center"/>
          </w:tcPr>
          <w:p w14:paraId="3121EB3C">
            <w:pPr>
              <w:rPr>
                <w:rFonts w:hint="eastAsia" w:ascii="宋体" w:hAnsi="宋体" w:cs="宋体"/>
                <w:color w:val="auto"/>
                <w:sz w:val="24"/>
              </w:rPr>
            </w:pPr>
            <w:r>
              <w:rPr>
                <w:rFonts w:hint="eastAsia" w:ascii="宋体" w:hAnsi="宋体" w:cs="宋体"/>
                <w:color w:val="auto"/>
                <w:sz w:val="24"/>
              </w:rPr>
              <w:t>免费质保期</w:t>
            </w:r>
          </w:p>
        </w:tc>
        <w:tc>
          <w:tcPr>
            <w:tcW w:w="2520" w:type="dxa"/>
          </w:tcPr>
          <w:p w14:paraId="7D4A2E3E">
            <w:pPr>
              <w:rPr>
                <w:rFonts w:hint="eastAsia" w:ascii="宋体" w:hAnsi="宋体" w:cs="宋体"/>
                <w:color w:val="auto"/>
                <w:sz w:val="24"/>
              </w:rPr>
            </w:pPr>
          </w:p>
        </w:tc>
        <w:tc>
          <w:tcPr>
            <w:tcW w:w="2310" w:type="dxa"/>
          </w:tcPr>
          <w:p w14:paraId="21DCEB60">
            <w:pPr>
              <w:rPr>
                <w:rFonts w:hint="eastAsia" w:ascii="宋体" w:hAnsi="宋体" w:cs="宋体"/>
                <w:color w:val="auto"/>
                <w:sz w:val="24"/>
              </w:rPr>
            </w:pPr>
          </w:p>
        </w:tc>
        <w:tc>
          <w:tcPr>
            <w:tcW w:w="1224" w:type="dxa"/>
          </w:tcPr>
          <w:p w14:paraId="333E7640">
            <w:pPr>
              <w:rPr>
                <w:rFonts w:hint="eastAsia" w:ascii="宋体" w:hAnsi="宋体" w:cs="宋体"/>
                <w:color w:val="auto"/>
                <w:sz w:val="24"/>
              </w:rPr>
            </w:pPr>
          </w:p>
        </w:tc>
      </w:tr>
      <w:tr w14:paraId="76A3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9F5193A">
            <w:pPr>
              <w:jc w:val="center"/>
              <w:rPr>
                <w:rFonts w:hint="eastAsia" w:ascii="宋体" w:hAnsi="宋体" w:cs="宋体"/>
                <w:color w:val="auto"/>
                <w:sz w:val="24"/>
              </w:rPr>
            </w:pPr>
            <w:r>
              <w:rPr>
                <w:rFonts w:hint="eastAsia" w:ascii="宋体" w:hAnsi="宋体" w:cs="宋体"/>
                <w:color w:val="auto"/>
                <w:sz w:val="24"/>
              </w:rPr>
              <w:t>3</w:t>
            </w:r>
          </w:p>
        </w:tc>
        <w:tc>
          <w:tcPr>
            <w:tcW w:w="1470" w:type="dxa"/>
            <w:vAlign w:val="center"/>
          </w:tcPr>
          <w:p w14:paraId="3AD598DE">
            <w:pPr>
              <w:jc w:val="center"/>
              <w:rPr>
                <w:rFonts w:hint="eastAsia" w:ascii="宋体" w:hAnsi="宋体" w:cs="宋体"/>
                <w:color w:val="auto"/>
                <w:sz w:val="24"/>
              </w:rPr>
            </w:pPr>
            <w:r>
              <w:rPr>
                <w:rFonts w:hint="eastAsia" w:ascii="宋体" w:hAnsi="宋体" w:cs="宋体"/>
                <w:color w:val="auto"/>
                <w:sz w:val="24"/>
              </w:rPr>
              <w:t>付款响应</w:t>
            </w:r>
          </w:p>
        </w:tc>
        <w:tc>
          <w:tcPr>
            <w:tcW w:w="2520" w:type="dxa"/>
          </w:tcPr>
          <w:p w14:paraId="2F564B79">
            <w:pPr>
              <w:rPr>
                <w:rFonts w:hint="eastAsia" w:ascii="宋体" w:hAnsi="宋体" w:cs="宋体"/>
                <w:color w:val="auto"/>
                <w:sz w:val="24"/>
              </w:rPr>
            </w:pPr>
          </w:p>
        </w:tc>
        <w:tc>
          <w:tcPr>
            <w:tcW w:w="2310" w:type="dxa"/>
          </w:tcPr>
          <w:p w14:paraId="1C9A3E18">
            <w:pPr>
              <w:rPr>
                <w:rFonts w:hint="eastAsia" w:ascii="宋体" w:hAnsi="宋体" w:cs="宋体"/>
                <w:color w:val="auto"/>
                <w:sz w:val="24"/>
              </w:rPr>
            </w:pPr>
          </w:p>
        </w:tc>
        <w:tc>
          <w:tcPr>
            <w:tcW w:w="1224" w:type="dxa"/>
          </w:tcPr>
          <w:p w14:paraId="644CF017">
            <w:pPr>
              <w:rPr>
                <w:rFonts w:hint="eastAsia" w:ascii="宋体" w:hAnsi="宋体" w:cs="宋体"/>
                <w:color w:val="auto"/>
                <w:sz w:val="24"/>
              </w:rPr>
            </w:pPr>
          </w:p>
        </w:tc>
      </w:tr>
      <w:tr w14:paraId="64D5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A618A81">
            <w:pPr>
              <w:jc w:val="center"/>
              <w:rPr>
                <w:rFonts w:hint="eastAsia" w:ascii="宋体" w:hAnsi="宋体" w:cs="宋体"/>
                <w:color w:val="auto"/>
                <w:sz w:val="24"/>
              </w:rPr>
            </w:pPr>
            <w:r>
              <w:rPr>
                <w:rFonts w:hint="eastAsia" w:ascii="宋体" w:hAnsi="宋体" w:cs="宋体"/>
                <w:color w:val="auto"/>
                <w:sz w:val="24"/>
              </w:rPr>
              <w:t>4</w:t>
            </w:r>
          </w:p>
        </w:tc>
        <w:tc>
          <w:tcPr>
            <w:tcW w:w="1470" w:type="dxa"/>
            <w:vAlign w:val="center"/>
          </w:tcPr>
          <w:p w14:paraId="0B0B677C">
            <w:pPr>
              <w:jc w:val="center"/>
              <w:rPr>
                <w:rFonts w:hint="eastAsia" w:ascii="宋体" w:hAnsi="宋体" w:cs="宋体"/>
                <w:color w:val="auto"/>
                <w:sz w:val="24"/>
              </w:rPr>
            </w:pPr>
            <w:r>
              <w:rPr>
                <w:rFonts w:hint="eastAsia" w:ascii="宋体" w:hAnsi="宋体" w:cs="宋体"/>
                <w:color w:val="auto"/>
                <w:sz w:val="24"/>
              </w:rPr>
              <w:t>其他</w:t>
            </w:r>
          </w:p>
        </w:tc>
        <w:tc>
          <w:tcPr>
            <w:tcW w:w="2520" w:type="dxa"/>
          </w:tcPr>
          <w:p w14:paraId="4F8DB3D2">
            <w:pPr>
              <w:rPr>
                <w:rFonts w:hint="eastAsia" w:ascii="宋体" w:hAnsi="宋体" w:cs="宋体"/>
                <w:color w:val="auto"/>
                <w:sz w:val="24"/>
              </w:rPr>
            </w:pPr>
          </w:p>
        </w:tc>
        <w:tc>
          <w:tcPr>
            <w:tcW w:w="2310" w:type="dxa"/>
          </w:tcPr>
          <w:p w14:paraId="0A386CD6">
            <w:pPr>
              <w:rPr>
                <w:rFonts w:hint="eastAsia" w:ascii="宋体" w:hAnsi="宋体" w:cs="宋体"/>
                <w:color w:val="auto"/>
                <w:sz w:val="24"/>
              </w:rPr>
            </w:pPr>
          </w:p>
        </w:tc>
        <w:tc>
          <w:tcPr>
            <w:tcW w:w="1224" w:type="dxa"/>
          </w:tcPr>
          <w:p w14:paraId="31B416A6">
            <w:pPr>
              <w:rPr>
                <w:rFonts w:hint="eastAsia" w:ascii="宋体" w:hAnsi="宋体" w:cs="宋体"/>
                <w:color w:val="auto"/>
                <w:sz w:val="24"/>
              </w:rPr>
            </w:pPr>
          </w:p>
        </w:tc>
      </w:tr>
      <w:tr w14:paraId="70305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4822692">
            <w:pPr>
              <w:jc w:val="center"/>
              <w:rPr>
                <w:rFonts w:hint="eastAsia" w:ascii="宋体" w:hAnsi="宋体" w:cs="宋体"/>
                <w:color w:val="auto"/>
                <w:sz w:val="24"/>
              </w:rPr>
            </w:pPr>
          </w:p>
        </w:tc>
        <w:tc>
          <w:tcPr>
            <w:tcW w:w="1470" w:type="dxa"/>
            <w:vAlign w:val="center"/>
          </w:tcPr>
          <w:p w14:paraId="400E9BAF">
            <w:pPr>
              <w:jc w:val="center"/>
              <w:rPr>
                <w:rFonts w:hint="eastAsia" w:ascii="宋体" w:hAnsi="宋体" w:cs="宋体"/>
                <w:color w:val="auto"/>
                <w:sz w:val="24"/>
              </w:rPr>
            </w:pPr>
          </w:p>
        </w:tc>
        <w:tc>
          <w:tcPr>
            <w:tcW w:w="2520" w:type="dxa"/>
          </w:tcPr>
          <w:p w14:paraId="0B77711A">
            <w:pPr>
              <w:rPr>
                <w:rFonts w:hint="eastAsia" w:ascii="宋体" w:hAnsi="宋体" w:cs="宋体"/>
                <w:color w:val="auto"/>
                <w:sz w:val="24"/>
              </w:rPr>
            </w:pPr>
          </w:p>
        </w:tc>
        <w:tc>
          <w:tcPr>
            <w:tcW w:w="2310" w:type="dxa"/>
          </w:tcPr>
          <w:p w14:paraId="003AB4D6">
            <w:pPr>
              <w:rPr>
                <w:rFonts w:hint="eastAsia" w:ascii="宋体" w:hAnsi="宋体" w:cs="宋体"/>
                <w:color w:val="auto"/>
                <w:sz w:val="24"/>
              </w:rPr>
            </w:pPr>
          </w:p>
        </w:tc>
        <w:tc>
          <w:tcPr>
            <w:tcW w:w="1224" w:type="dxa"/>
          </w:tcPr>
          <w:p w14:paraId="673826AB">
            <w:pPr>
              <w:rPr>
                <w:rFonts w:hint="eastAsia" w:ascii="宋体" w:hAnsi="宋体" w:cs="宋体"/>
                <w:color w:val="auto"/>
                <w:sz w:val="24"/>
              </w:rPr>
            </w:pPr>
          </w:p>
        </w:tc>
      </w:tr>
    </w:tbl>
    <w:p w14:paraId="0AC93FF3">
      <w:pPr>
        <w:spacing w:line="380" w:lineRule="exact"/>
        <w:jc w:val="left"/>
        <w:rPr>
          <w:rFonts w:hint="eastAsia" w:ascii="宋体" w:hAnsi="宋体" w:cs="宋体"/>
          <w:color w:val="auto"/>
          <w:sz w:val="24"/>
        </w:rPr>
      </w:pPr>
      <w:r>
        <w:rPr>
          <w:rFonts w:hint="eastAsia" w:ascii="宋体" w:hAnsi="宋体" w:cs="宋体"/>
          <w:color w:val="auto"/>
          <w:sz w:val="24"/>
        </w:rPr>
        <w:t>供应商名称：（电子公章）</w:t>
      </w:r>
    </w:p>
    <w:p w14:paraId="65A70A0B">
      <w:pPr>
        <w:spacing w:line="380" w:lineRule="exact"/>
        <w:ind w:right="640" w:firstLine="1560" w:firstLineChars="650"/>
        <w:jc w:val="left"/>
        <w:rPr>
          <w:rFonts w:hint="eastAsia" w:ascii="宋体" w:hAnsi="宋体" w:cs="宋体"/>
          <w:color w:val="auto"/>
          <w:sz w:val="24"/>
        </w:rPr>
      </w:pPr>
    </w:p>
    <w:p w14:paraId="54392DBF">
      <w:pPr>
        <w:spacing w:line="380" w:lineRule="exact"/>
        <w:ind w:right="640"/>
        <w:rPr>
          <w:rFonts w:hint="eastAsia" w:ascii="宋体" w:hAnsi="宋体" w:cs="宋体"/>
          <w:color w:val="auto"/>
          <w:sz w:val="24"/>
        </w:rPr>
      </w:pPr>
      <w:r>
        <w:rPr>
          <w:rFonts w:hint="eastAsia" w:ascii="宋体" w:hAnsi="宋体" w:cs="宋体"/>
          <w:color w:val="auto"/>
          <w:sz w:val="24"/>
        </w:rPr>
        <w:t>法定代表人：（签字）</w:t>
      </w:r>
    </w:p>
    <w:p w14:paraId="309CEBDA">
      <w:pPr>
        <w:jc w:val="right"/>
        <w:rPr>
          <w:rFonts w:hint="eastAsia" w:ascii="宋体" w:hAnsi="宋体" w:cs="宋体"/>
          <w:color w:val="auto"/>
          <w:sz w:val="24"/>
        </w:rPr>
      </w:pPr>
      <w:r>
        <w:rPr>
          <w:rFonts w:hint="eastAsia" w:ascii="宋体" w:hAnsi="宋体" w:cs="宋体"/>
          <w:color w:val="auto"/>
          <w:sz w:val="24"/>
        </w:rPr>
        <w:t xml:space="preserve">               日期：      年   月    日</w:t>
      </w:r>
    </w:p>
    <w:p w14:paraId="0F10E084">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1581E506">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1、投标人必须逐项对应描述投标货物主要参数、配置及服务要求，如不进行描述，仅在响应栏填“响应”或未填写的，将可能导致投标无效；</w:t>
      </w:r>
    </w:p>
    <w:p w14:paraId="333BCC15">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2、投标人所投产品如与招标文件要求的规格及配置不一致，则须在上表偏离说明中详细注明。</w:t>
      </w:r>
    </w:p>
    <w:p w14:paraId="1810FE40">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3、响应部分可后附详细说明及技术资料，并应注明投标文件中对应的页码范围。</w:t>
      </w:r>
    </w:p>
    <w:p w14:paraId="5EF68EB3">
      <w:pPr>
        <w:pStyle w:val="20"/>
        <w:rPr>
          <w:color w:val="auto"/>
        </w:rPr>
      </w:pPr>
    </w:p>
    <w:p w14:paraId="33CD64BC">
      <w:pPr>
        <w:pStyle w:val="20"/>
        <w:rPr>
          <w:color w:val="auto"/>
        </w:rPr>
      </w:pPr>
    </w:p>
    <w:p w14:paraId="699E55DD">
      <w:pPr>
        <w:pStyle w:val="20"/>
        <w:rPr>
          <w:color w:val="auto"/>
        </w:rPr>
      </w:pPr>
    </w:p>
    <w:p w14:paraId="7A50E9C1">
      <w:pPr>
        <w:pStyle w:val="20"/>
        <w:rPr>
          <w:color w:val="auto"/>
        </w:rPr>
      </w:pPr>
    </w:p>
    <w:p w14:paraId="0D249597">
      <w:pPr>
        <w:pStyle w:val="20"/>
        <w:rPr>
          <w:color w:val="auto"/>
        </w:rPr>
      </w:pPr>
    </w:p>
    <w:p w14:paraId="4F8B7ABA">
      <w:pPr>
        <w:pStyle w:val="20"/>
        <w:rPr>
          <w:color w:val="auto"/>
        </w:rPr>
      </w:pPr>
    </w:p>
    <w:p w14:paraId="34F0063E">
      <w:pPr>
        <w:rPr>
          <w:rFonts w:hint="eastAsia" w:hAnsi="宋体" w:cs="宋体"/>
          <w:color w:val="auto"/>
          <w:sz w:val="28"/>
        </w:rPr>
      </w:pPr>
      <w:bookmarkStart w:id="142" w:name="_Hlt509738950"/>
      <w:bookmarkEnd w:id="142"/>
      <w:bookmarkStart w:id="143" w:name="_Toc220232400"/>
      <w:bookmarkStart w:id="144" w:name="_Toc40975454"/>
      <w:bookmarkStart w:id="145" w:name="_Toc2238_WPSOffice_Level2"/>
      <w:r>
        <w:rPr>
          <w:rFonts w:hint="eastAsia" w:hAnsi="宋体" w:cs="宋体"/>
          <w:color w:val="auto"/>
          <w:sz w:val="28"/>
        </w:rPr>
        <w:br w:type="page"/>
      </w:r>
    </w:p>
    <w:bookmarkEnd w:id="143"/>
    <w:bookmarkEnd w:id="144"/>
    <w:bookmarkEnd w:id="145"/>
    <w:p w14:paraId="772C35BD">
      <w:pPr>
        <w:pStyle w:val="4"/>
        <w:rPr>
          <w:rFonts w:hint="eastAsia" w:hAnsi="宋体" w:cs="宋体"/>
          <w:color w:val="auto"/>
          <w:sz w:val="28"/>
          <w:szCs w:val="36"/>
        </w:rPr>
      </w:pPr>
      <w:r>
        <w:rPr>
          <w:rFonts w:hint="eastAsia" w:hAnsi="宋体" w:cs="宋体"/>
          <w:color w:val="auto"/>
          <w:sz w:val="28"/>
        </w:rPr>
        <w:t>六．产品质量承诺</w:t>
      </w:r>
    </w:p>
    <w:p w14:paraId="76167CDB">
      <w:pPr>
        <w:spacing w:before="48" w:beforeLines="20" w:after="48" w:afterLines="20" w:line="360" w:lineRule="auto"/>
        <w:ind w:firstLine="480" w:firstLineChars="200"/>
        <w:jc w:val="center"/>
        <w:rPr>
          <w:rFonts w:hint="eastAsia" w:ascii="宋体" w:hAnsi="宋体" w:cs="宋体"/>
          <w:color w:val="auto"/>
          <w:sz w:val="24"/>
        </w:rPr>
      </w:pPr>
      <w:r>
        <w:rPr>
          <w:rFonts w:hint="eastAsia" w:ascii="宋体" w:hAnsi="宋体" w:cs="宋体"/>
          <w:color w:val="auto"/>
          <w:sz w:val="24"/>
        </w:rPr>
        <w:t>(投标人可自行制作格式)</w:t>
      </w:r>
    </w:p>
    <w:p w14:paraId="57C0DEA9">
      <w:pPr>
        <w:spacing w:before="48" w:beforeLines="20" w:after="48" w:afterLines="20" w:line="360" w:lineRule="auto"/>
        <w:rPr>
          <w:rFonts w:hint="eastAsia" w:ascii="宋体" w:hAnsi="宋体" w:cs="宋体"/>
          <w:color w:val="auto"/>
          <w:sz w:val="28"/>
        </w:rPr>
      </w:pPr>
    </w:p>
    <w:p w14:paraId="1D2AD20A">
      <w:pPr>
        <w:spacing w:before="48" w:beforeLines="20" w:after="48" w:afterLines="20" w:line="360" w:lineRule="auto"/>
        <w:rPr>
          <w:rFonts w:hint="eastAsia" w:ascii="宋体" w:hAnsi="宋体" w:cs="宋体"/>
          <w:color w:val="auto"/>
          <w:sz w:val="28"/>
        </w:rPr>
      </w:pPr>
    </w:p>
    <w:p w14:paraId="0EC8788B">
      <w:pPr>
        <w:pStyle w:val="20"/>
        <w:rPr>
          <w:color w:val="auto"/>
        </w:rPr>
      </w:pPr>
    </w:p>
    <w:p w14:paraId="3BC514BC">
      <w:pPr>
        <w:pStyle w:val="20"/>
        <w:rPr>
          <w:color w:val="auto"/>
        </w:rPr>
      </w:pPr>
    </w:p>
    <w:p w14:paraId="12B93888">
      <w:pPr>
        <w:pStyle w:val="20"/>
        <w:rPr>
          <w:color w:val="auto"/>
        </w:rPr>
      </w:pPr>
    </w:p>
    <w:p w14:paraId="66BA70C7">
      <w:pPr>
        <w:pStyle w:val="20"/>
        <w:rPr>
          <w:color w:val="auto"/>
        </w:rPr>
      </w:pPr>
    </w:p>
    <w:p w14:paraId="1985650D">
      <w:pPr>
        <w:pStyle w:val="20"/>
        <w:rPr>
          <w:color w:val="auto"/>
        </w:rPr>
      </w:pPr>
    </w:p>
    <w:p w14:paraId="2D8266A3">
      <w:pPr>
        <w:pStyle w:val="20"/>
        <w:rPr>
          <w:color w:val="auto"/>
        </w:rPr>
      </w:pPr>
    </w:p>
    <w:p w14:paraId="7EA8368E">
      <w:pPr>
        <w:pStyle w:val="20"/>
        <w:rPr>
          <w:color w:val="auto"/>
        </w:rPr>
      </w:pPr>
    </w:p>
    <w:p w14:paraId="1641E065">
      <w:pPr>
        <w:pStyle w:val="20"/>
        <w:rPr>
          <w:color w:val="auto"/>
        </w:rPr>
      </w:pPr>
    </w:p>
    <w:p w14:paraId="784A5170">
      <w:pPr>
        <w:pStyle w:val="20"/>
        <w:rPr>
          <w:color w:val="auto"/>
        </w:rPr>
      </w:pPr>
    </w:p>
    <w:p w14:paraId="56233238">
      <w:pPr>
        <w:pStyle w:val="20"/>
        <w:rPr>
          <w:color w:val="auto"/>
        </w:rPr>
      </w:pPr>
    </w:p>
    <w:p w14:paraId="1F4A63FD">
      <w:pPr>
        <w:pStyle w:val="20"/>
        <w:rPr>
          <w:color w:val="auto"/>
        </w:rPr>
      </w:pPr>
    </w:p>
    <w:p w14:paraId="03EAABFE">
      <w:pPr>
        <w:pStyle w:val="20"/>
        <w:rPr>
          <w:color w:val="auto"/>
        </w:rPr>
      </w:pPr>
    </w:p>
    <w:p w14:paraId="5CD4E2E6">
      <w:pPr>
        <w:pStyle w:val="20"/>
        <w:rPr>
          <w:color w:val="auto"/>
        </w:rPr>
      </w:pPr>
    </w:p>
    <w:p w14:paraId="6E117129">
      <w:pPr>
        <w:pStyle w:val="20"/>
        <w:rPr>
          <w:color w:val="auto"/>
        </w:rPr>
      </w:pPr>
    </w:p>
    <w:p w14:paraId="2E2F2968">
      <w:pPr>
        <w:pStyle w:val="20"/>
        <w:rPr>
          <w:color w:val="auto"/>
        </w:rPr>
      </w:pPr>
    </w:p>
    <w:p w14:paraId="625449D4">
      <w:pPr>
        <w:pStyle w:val="20"/>
        <w:rPr>
          <w:color w:val="auto"/>
        </w:rPr>
      </w:pPr>
    </w:p>
    <w:p w14:paraId="56A13C0E">
      <w:pPr>
        <w:pStyle w:val="20"/>
        <w:rPr>
          <w:color w:val="auto"/>
        </w:rPr>
      </w:pPr>
    </w:p>
    <w:p w14:paraId="0289D076">
      <w:pPr>
        <w:pStyle w:val="20"/>
        <w:rPr>
          <w:color w:val="auto"/>
        </w:rPr>
      </w:pPr>
    </w:p>
    <w:p w14:paraId="7C0EFD81">
      <w:pPr>
        <w:pStyle w:val="20"/>
        <w:rPr>
          <w:color w:val="auto"/>
        </w:rPr>
      </w:pPr>
    </w:p>
    <w:p w14:paraId="6620385F">
      <w:pPr>
        <w:pStyle w:val="20"/>
        <w:rPr>
          <w:color w:val="auto"/>
        </w:rPr>
      </w:pPr>
    </w:p>
    <w:p w14:paraId="7D1F84AD">
      <w:pPr>
        <w:pStyle w:val="20"/>
        <w:rPr>
          <w:color w:val="auto"/>
        </w:rPr>
      </w:pPr>
    </w:p>
    <w:p w14:paraId="3D31DDD4">
      <w:pPr>
        <w:pStyle w:val="20"/>
        <w:rPr>
          <w:color w:val="auto"/>
        </w:rPr>
      </w:pPr>
    </w:p>
    <w:p w14:paraId="3D17E6F5">
      <w:pPr>
        <w:pStyle w:val="20"/>
        <w:rPr>
          <w:color w:val="auto"/>
        </w:rPr>
      </w:pPr>
    </w:p>
    <w:p w14:paraId="59040FC8">
      <w:pPr>
        <w:pStyle w:val="20"/>
        <w:rPr>
          <w:color w:val="auto"/>
        </w:rPr>
      </w:pPr>
    </w:p>
    <w:p w14:paraId="0BDE5023">
      <w:pPr>
        <w:pStyle w:val="20"/>
        <w:rPr>
          <w:color w:val="auto"/>
        </w:rPr>
      </w:pPr>
    </w:p>
    <w:p w14:paraId="6AB51871">
      <w:pPr>
        <w:pStyle w:val="20"/>
        <w:rPr>
          <w:color w:val="auto"/>
        </w:rPr>
      </w:pPr>
    </w:p>
    <w:p w14:paraId="40779D10">
      <w:pPr>
        <w:pStyle w:val="20"/>
        <w:rPr>
          <w:color w:val="auto"/>
        </w:rPr>
      </w:pPr>
    </w:p>
    <w:p w14:paraId="47D14BE0">
      <w:pPr>
        <w:pStyle w:val="20"/>
        <w:rPr>
          <w:color w:val="auto"/>
        </w:rPr>
      </w:pPr>
    </w:p>
    <w:p w14:paraId="43589AC7">
      <w:pPr>
        <w:pStyle w:val="20"/>
        <w:rPr>
          <w:color w:val="auto"/>
        </w:rPr>
      </w:pPr>
    </w:p>
    <w:p w14:paraId="3936AC4B">
      <w:pPr>
        <w:pStyle w:val="20"/>
        <w:rPr>
          <w:color w:val="auto"/>
        </w:rPr>
      </w:pPr>
    </w:p>
    <w:p w14:paraId="017C9796">
      <w:pPr>
        <w:pStyle w:val="20"/>
        <w:rPr>
          <w:color w:val="auto"/>
        </w:rPr>
      </w:pPr>
    </w:p>
    <w:p w14:paraId="23CFFCE8">
      <w:pPr>
        <w:pStyle w:val="20"/>
        <w:rPr>
          <w:color w:val="auto"/>
        </w:rPr>
      </w:pPr>
    </w:p>
    <w:p w14:paraId="7D261896">
      <w:pPr>
        <w:pStyle w:val="20"/>
        <w:rPr>
          <w:color w:val="auto"/>
        </w:rPr>
      </w:pPr>
    </w:p>
    <w:p w14:paraId="398A22B3">
      <w:pPr>
        <w:pStyle w:val="20"/>
        <w:rPr>
          <w:color w:val="auto"/>
        </w:rPr>
      </w:pPr>
    </w:p>
    <w:p w14:paraId="0361F3FD">
      <w:pPr>
        <w:pStyle w:val="20"/>
        <w:rPr>
          <w:color w:val="auto"/>
        </w:rPr>
      </w:pPr>
    </w:p>
    <w:p w14:paraId="5FD9E4E9">
      <w:pPr>
        <w:pStyle w:val="20"/>
        <w:rPr>
          <w:color w:val="auto"/>
        </w:rPr>
      </w:pPr>
    </w:p>
    <w:p w14:paraId="452F9ABB">
      <w:pPr>
        <w:pStyle w:val="20"/>
        <w:rPr>
          <w:color w:val="auto"/>
        </w:rPr>
      </w:pPr>
    </w:p>
    <w:p w14:paraId="4E4FDAD7">
      <w:pPr>
        <w:pStyle w:val="20"/>
        <w:rPr>
          <w:color w:val="auto"/>
        </w:rPr>
      </w:pPr>
    </w:p>
    <w:p w14:paraId="688B3AF3">
      <w:pPr>
        <w:pStyle w:val="20"/>
        <w:rPr>
          <w:color w:val="auto"/>
        </w:rPr>
      </w:pPr>
    </w:p>
    <w:p w14:paraId="40617C1B">
      <w:pPr>
        <w:pStyle w:val="20"/>
        <w:rPr>
          <w:color w:val="auto"/>
        </w:rPr>
      </w:pPr>
    </w:p>
    <w:p w14:paraId="76E2ED00">
      <w:pPr>
        <w:pStyle w:val="20"/>
        <w:rPr>
          <w:color w:val="auto"/>
        </w:rPr>
      </w:pPr>
    </w:p>
    <w:p w14:paraId="7AAB06FE">
      <w:pPr>
        <w:pStyle w:val="20"/>
        <w:rPr>
          <w:color w:val="auto"/>
        </w:rPr>
      </w:pPr>
    </w:p>
    <w:p w14:paraId="0E3830FE">
      <w:pPr>
        <w:pStyle w:val="20"/>
        <w:rPr>
          <w:color w:val="auto"/>
        </w:rPr>
      </w:pPr>
    </w:p>
    <w:p w14:paraId="1CBC3759">
      <w:pPr>
        <w:pStyle w:val="20"/>
        <w:rPr>
          <w:color w:val="auto"/>
        </w:rPr>
      </w:pPr>
    </w:p>
    <w:p w14:paraId="7BA41836">
      <w:pPr>
        <w:pStyle w:val="20"/>
        <w:rPr>
          <w:color w:val="auto"/>
        </w:rPr>
      </w:pPr>
    </w:p>
    <w:p w14:paraId="6141C960">
      <w:pPr>
        <w:pStyle w:val="20"/>
        <w:rPr>
          <w:color w:val="auto"/>
        </w:rPr>
      </w:pPr>
    </w:p>
    <w:p w14:paraId="33D74829">
      <w:pPr>
        <w:pStyle w:val="20"/>
        <w:rPr>
          <w:color w:val="auto"/>
        </w:rPr>
      </w:pPr>
    </w:p>
    <w:p w14:paraId="64F81007">
      <w:pPr>
        <w:pStyle w:val="20"/>
        <w:rPr>
          <w:color w:val="auto"/>
        </w:rPr>
      </w:pPr>
    </w:p>
    <w:p w14:paraId="1B8BD328">
      <w:pPr>
        <w:pStyle w:val="20"/>
        <w:rPr>
          <w:color w:val="auto"/>
        </w:rPr>
      </w:pPr>
    </w:p>
    <w:p w14:paraId="5E306D9C">
      <w:pPr>
        <w:pStyle w:val="20"/>
        <w:rPr>
          <w:color w:val="auto"/>
        </w:rPr>
      </w:pPr>
    </w:p>
    <w:p w14:paraId="02E9EFD6">
      <w:pPr>
        <w:pStyle w:val="20"/>
        <w:rPr>
          <w:color w:val="auto"/>
        </w:rPr>
      </w:pPr>
    </w:p>
    <w:p w14:paraId="63A2A960">
      <w:pPr>
        <w:pStyle w:val="4"/>
        <w:rPr>
          <w:rFonts w:hint="eastAsia" w:hAnsi="宋体" w:cs="宋体"/>
          <w:color w:val="auto"/>
          <w:sz w:val="28"/>
          <w:szCs w:val="36"/>
        </w:rPr>
      </w:pPr>
      <w:bookmarkStart w:id="146" w:name="_Toc40975455"/>
      <w:bookmarkStart w:id="147" w:name="_Toc516969104"/>
      <w:bookmarkStart w:id="148" w:name="_Toc31042_WPSOffice_Level2"/>
      <w:bookmarkStart w:id="149" w:name="_Toc220232401"/>
      <w:bookmarkStart w:id="150" w:name="_Hlt510342906"/>
      <w:r>
        <w:rPr>
          <w:rFonts w:hint="eastAsia" w:hAnsi="宋体" w:cs="宋体"/>
          <w:color w:val="auto"/>
          <w:sz w:val="28"/>
        </w:rPr>
        <w:t>七．所</w:t>
      </w:r>
      <w:bookmarkStart w:id="151" w:name="_Hlt510342883"/>
      <w:bookmarkEnd w:id="151"/>
      <w:r>
        <w:rPr>
          <w:rFonts w:hint="eastAsia" w:hAnsi="宋体" w:cs="宋体"/>
          <w:color w:val="auto"/>
          <w:sz w:val="28"/>
        </w:rPr>
        <w:t>供货物组部件、备品、备件清单</w:t>
      </w:r>
      <w:bookmarkEnd w:id="146"/>
      <w:bookmarkEnd w:id="147"/>
      <w:bookmarkEnd w:id="148"/>
      <w:bookmarkEnd w:id="149"/>
      <w:r>
        <w:rPr>
          <w:rFonts w:hint="eastAsia" w:hAnsi="宋体" w:cs="宋体"/>
          <w:color w:val="auto"/>
          <w:sz w:val="28"/>
        </w:rPr>
        <w:t>（可不填写）</w:t>
      </w:r>
    </w:p>
    <w:bookmarkEnd w:id="150"/>
    <w:tbl>
      <w:tblPr>
        <w:tblStyle w:val="2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16DC6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7248B066">
            <w:pPr>
              <w:pStyle w:val="15"/>
              <w:jc w:val="center"/>
              <w:rPr>
                <w:rFonts w:hint="eastAsia" w:hAnsi="宋体" w:cs="宋体"/>
                <w:b/>
                <w:color w:val="auto"/>
                <w:sz w:val="24"/>
              </w:rPr>
            </w:pPr>
            <w:r>
              <w:rPr>
                <w:rFonts w:hint="eastAsia" w:hAnsi="宋体" w:cs="宋体"/>
                <w:b/>
                <w:color w:val="auto"/>
                <w:sz w:val="24"/>
              </w:rPr>
              <w:t>序号</w:t>
            </w:r>
          </w:p>
        </w:tc>
        <w:tc>
          <w:tcPr>
            <w:tcW w:w="1186" w:type="dxa"/>
            <w:vAlign w:val="center"/>
          </w:tcPr>
          <w:p w14:paraId="69A438CE">
            <w:pPr>
              <w:pStyle w:val="15"/>
              <w:jc w:val="center"/>
              <w:rPr>
                <w:rFonts w:hint="eastAsia" w:hAnsi="宋体" w:cs="宋体"/>
                <w:b/>
                <w:color w:val="auto"/>
                <w:sz w:val="24"/>
              </w:rPr>
            </w:pPr>
            <w:r>
              <w:rPr>
                <w:rFonts w:hint="eastAsia" w:hAnsi="宋体" w:cs="宋体"/>
                <w:b/>
                <w:color w:val="auto"/>
                <w:sz w:val="24"/>
              </w:rPr>
              <w:t>名称</w:t>
            </w:r>
          </w:p>
        </w:tc>
        <w:tc>
          <w:tcPr>
            <w:tcW w:w="1730" w:type="dxa"/>
            <w:vAlign w:val="center"/>
          </w:tcPr>
          <w:p w14:paraId="5C242B7F">
            <w:pPr>
              <w:pStyle w:val="15"/>
              <w:jc w:val="center"/>
              <w:rPr>
                <w:rFonts w:hint="eastAsia" w:hAnsi="宋体" w:cs="宋体"/>
                <w:b/>
                <w:color w:val="auto"/>
                <w:sz w:val="24"/>
              </w:rPr>
            </w:pPr>
            <w:r>
              <w:rPr>
                <w:rFonts w:hint="eastAsia" w:hAnsi="宋体" w:cs="宋体"/>
                <w:b/>
                <w:color w:val="auto"/>
                <w:sz w:val="24"/>
              </w:rPr>
              <w:t>规格型号</w:t>
            </w:r>
          </w:p>
        </w:tc>
        <w:tc>
          <w:tcPr>
            <w:tcW w:w="1037" w:type="dxa"/>
            <w:vAlign w:val="center"/>
          </w:tcPr>
          <w:p w14:paraId="72A5A038">
            <w:pPr>
              <w:pStyle w:val="15"/>
              <w:jc w:val="center"/>
              <w:rPr>
                <w:rFonts w:hint="eastAsia" w:hAnsi="宋体" w:cs="宋体"/>
                <w:b/>
                <w:color w:val="auto"/>
                <w:sz w:val="24"/>
              </w:rPr>
            </w:pPr>
            <w:r>
              <w:rPr>
                <w:rFonts w:hint="eastAsia" w:hAnsi="宋体" w:cs="宋体"/>
                <w:b/>
                <w:color w:val="auto"/>
                <w:sz w:val="24"/>
              </w:rPr>
              <w:t>数量</w:t>
            </w:r>
          </w:p>
        </w:tc>
        <w:tc>
          <w:tcPr>
            <w:tcW w:w="1286" w:type="dxa"/>
            <w:vAlign w:val="center"/>
          </w:tcPr>
          <w:p w14:paraId="57007290">
            <w:pPr>
              <w:pStyle w:val="15"/>
              <w:jc w:val="center"/>
              <w:rPr>
                <w:rFonts w:hint="eastAsia" w:hAnsi="宋体" w:cs="宋体"/>
                <w:b/>
                <w:color w:val="auto"/>
                <w:sz w:val="24"/>
              </w:rPr>
            </w:pPr>
            <w:r>
              <w:rPr>
                <w:rFonts w:hint="eastAsia" w:hAnsi="宋体" w:cs="宋体"/>
                <w:b/>
                <w:color w:val="auto"/>
                <w:sz w:val="24"/>
              </w:rPr>
              <w:t>单价</w:t>
            </w:r>
          </w:p>
        </w:tc>
        <w:tc>
          <w:tcPr>
            <w:tcW w:w="1236" w:type="dxa"/>
            <w:vAlign w:val="center"/>
          </w:tcPr>
          <w:p w14:paraId="4737DFA5">
            <w:pPr>
              <w:pStyle w:val="15"/>
              <w:jc w:val="center"/>
              <w:rPr>
                <w:rFonts w:hint="eastAsia" w:hAnsi="宋体" w:cs="宋体"/>
                <w:b/>
                <w:color w:val="auto"/>
                <w:sz w:val="24"/>
              </w:rPr>
            </w:pPr>
            <w:r>
              <w:rPr>
                <w:rFonts w:hint="eastAsia" w:hAnsi="宋体" w:cs="宋体"/>
                <w:b/>
                <w:color w:val="auto"/>
                <w:sz w:val="24"/>
              </w:rPr>
              <w:t>小计</w:t>
            </w:r>
          </w:p>
        </w:tc>
        <w:tc>
          <w:tcPr>
            <w:tcW w:w="1098" w:type="dxa"/>
            <w:vAlign w:val="center"/>
          </w:tcPr>
          <w:p w14:paraId="458B94E8">
            <w:pPr>
              <w:pStyle w:val="15"/>
              <w:jc w:val="center"/>
              <w:rPr>
                <w:rFonts w:hint="eastAsia" w:hAnsi="宋体" w:cs="宋体"/>
                <w:b/>
                <w:color w:val="auto"/>
                <w:sz w:val="24"/>
              </w:rPr>
            </w:pPr>
            <w:r>
              <w:rPr>
                <w:rFonts w:hint="eastAsia" w:hAnsi="宋体" w:cs="宋体"/>
                <w:b/>
                <w:color w:val="auto"/>
                <w:sz w:val="24"/>
              </w:rPr>
              <w:t>备注</w:t>
            </w:r>
          </w:p>
        </w:tc>
      </w:tr>
      <w:tr w14:paraId="1CEE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11740A4">
            <w:pPr>
              <w:pStyle w:val="15"/>
              <w:jc w:val="center"/>
              <w:rPr>
                <w:rFonts w:hint="eastAsia" w:hAnsi="宋体" w:cs="宋体"/>
                <w:color w:val="auto"/>
                <w:sz w:val="24"/>
              </w:rPr>
            </w:pPr>
            <w:r>
              <w:rPr>
                <w:rFonts w:hint="eastAsia" w:hAnsi="宋体" w:cs="宋体"/>
                <w:color w:val="auto"/>
                <w:sz w:val="24"/>
              </w:rPr>
              <w:t>1</w:t>
            </w:r>
          </w:p>
        </w:tc>
        <w:tc>
          <w:tcPr>
            <w:tcW w:w="1186" w:type="dxa"/>
          </w:tcPr>
          <w:p w14:paraId="14179871">
            <w:pPr>
              <w:rPr>
                <w:rFonts w:hint="eastAsia" w:ascii="宋体" w:hAnsi="宋体" w:cs="宋体"/>
                <w:color w:val="auto"/>
                <w:sz w:val="24"/>
              </w:rPr>
            </w:pPr>
          </w:p>
        </w:tc>
        <w:tc>
          <w:tcPr>
            <w:tcW w:w="1730" w:type="dxa"/>
          </w:tcPr>
          <w:p w14:paraId="683FD7C1">
            <w:pPr>
              <w:rPr>
                <w:rFonts w:hint="eastAsia" w:ascii="宋体" w:hAnsi="宋体" w:cs="宋体"/>
                <w:color w:val="auto"/>
                <w:sz w:val="24"/>
              </w:rPr>
            </w:pPr>
          </w:p>
        </w:tc>
        <w:tc>
          <w:tcPr>
            <w:tcW w:w="1037" w:type="dxa"/>
          </w:tcPr>
          <w:p w14:paraId="7444E37F">
            <w:pPr>
              <w:rPr>
                <w:rFonts w:hint="eastAsia" w:ascii="宋体" w:hAnsi="宋体" w:cs="宋体"/>
                <w:color w:val="auto"/>
                <w:sz w:val="24"/>
              </w:rPr>
            </w:pPr>
          </w:p>
        </w:tc>
        <w:tc>
          <w:tcPr>
            <w:tcW w:w="1286" w:type="dxa"/>
          </w:tcPr>
          <w:p w14:paraId="11D87DEB">
            <w:pPr>
              <w:pStyle w:val="15"/>
              <w:rPr>
                <w:rFonts w:hint="eastAsia" w:hAnsi="宋体" w:cs="宋体"/>
                <w:color w:val="auto"/>
                <w:sz w:val="24"/>
              </w:rPr>
            </w:pPr>
          </w:p>
        </w:tc>
        <w:tc>
          <w:tcPr>
            <w:tcW w:w="1236" w:type="dxa"/>
          </w:tcPr>
          <w:p w14:paraId="396360BC">
            <w:pPr>
              <w:pStyle w:val="15"/>
              <w:rPr>
                <w:rFonts w:hint="eastAsia" w:hAnsi="宋体" w:cs="宋体"/>
                <w:color w:val="auto"/>
                <w:sz w:val="24"/>
              </w:rPr>
            </w:pPr>
          </w:p>
        </w:tc>
        <w:tc>
          <w:tcPr>
            <w:tcW w:w="1098" w:type="dxa"/>
          </w:tcPr>
          <w:p w14:paraId="3482E743">
            <w:pPr>
              <w:pStyle w:val="15"/>
              <w:rPr>
                <w:rFonts w:hint="eastAsia" w:hAnsi="宋体" w:cs="宋体"/>
                <w:color w:val="auto"/>
                <w:sz w:val="24"/>
              </w:rPr>
            </w:pPr>
          </w:p>
        </w:tc>
      </w:tr>
      <w:tr w14:paraId="6D4F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DC049B8">
            <w:pPr>
              <w:pStyle w:val="15"/>
              <w:jc w:val="center"/>
              <w:rPr>
                <w:rFonts w:hint="eastAsia" w:hAnsi="宋体" w:cs="宋体"/>
                <w:color w:val="auto"/>
                <w:sz w:val="24"/>
              </w:rPr>
            </w:pPr>
            <w:r>
              <w:rPr>
                <w:rFonts w:hint="eastAsia" w:hAnsi="宋体" w:cs="宋体"/>
                <w:color w:val="auto"/>
                <w:sz w:val="24"/>
              </w:rPr>
              <w:t>2</w:t>
            </w:r>
          </w:p>
        </w:tc>
        <w:tc>
          <w:tcPr>
            <w:tcW w:w="1186" w:type="dxa"/>
          </w:tcPr>
          <w:p w14:paraId="24D8C554">
            <w:pPr>
              <w:rPr>
                <w:rFonts w:hint="eastAsia" w:ascii="宋体" w:hAnsi="宋体" w:cs="宋体"/>
                <w:color w:val="auto"/>
                <w:sz w:val="24"/>
              </w:rPr>
            </w:pPr>
          </w:p>
        </w:tc>
        <w:tc>
          <w:tcPr>
            <w:tcW w:w="1730" w:type="dxa"/>
          </w:tcPr>
          <w:p w14:paraId="2B16E4CF">
            <w:pPr>
              <w:rPr>
                <w:rFonts w:hint="eastAsia" w:ascii="宋体" w:hAnsi="宋体" w:cs="宋体"/>
                <w:color w:val="auto"/>
                <w:sz w:val="24"/>
              </w:rPr>
            </w:pPr>
          </w:p>
        </w:tc>
        <w:tc>
          <w:tcPr>
            <w:tcW w:w="1037" w:type="dxa"/>
          </w:tcPr>
          <w:p w14:paraId="2854A301">
            <w:pPr>
              <w:rPr>
                <w:rFonts w:hint="eastAsia" w:ascii="宋体" w:hAnsi="宋体" w:cs="宋体"/>
                <w:color w:val="auto"/>
                <w:sz w:val="24"/>
              </w:rPr>
            </w:pPr>
          </w:p>
        </w:tc>
        <w:tc>
          <w:tcPr>
            <w:tcW w:w="1286" w:type="dxa"/>
          </w:tcPr>
          <w:p w14:paraId="51FE33FB">
            <w:pPr>
              <w:pStyle w:val="15"/>
              <w:rPr>
                <w:rFonts w:hint="eastAsia" w:hAnsi="宋体" w:cs="宋体"/>
                <w:color w:val="auto"/>
                <w:sz w:val="24"/>
              </w:rPr>
            </w:pPr>
          </w:p>
        </w:tc>
        <w:tc>
          <w:tcPr>
            <w:tcW w:w="1236" w:type="dxa"/>
          </w:tcPr>
          <w:p w14:paraId="201CFD20">
            <w:pPr>
              <w:pStyle w:val="15"/>
              <w:rPr>
                <w:rFonts w:hint="eastAsia" w:hAnsi="宋体" w:cs="宋体"/>
                <w:color w:val="auto"/>
                <w:sz w:val="24"/>
              </w:rPr>
            </w:pPr>
          </w:p>
        </w:tc>
        <w:tc>
          <w:tcPr>
            <w:tcW w:w="1098" w:type="dxa"/>
          </w:tcPr>
          <w:p w14:paraId="13277F68">
            <w:pPr>
              <w:pStyle w:val="15"/>
              <w:rPr>
                <w:rFonts w:hint="eastAsia" w:hAnsi="宋体" w:cs="宋体"/>
                <w:color w:val="auto"/>
                <w:sz w:val="24"/>
              </w:rPr>
            </w:pPr>
          </w:p>
        </w:tc>
      </w:tr>
      <w:tr w14:paraId="54CF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C911F49">
            <w:pPr>
              <w:pStyle w:val="15"/>
              <w:jc w:val="center"/>
              <w:rPr>
                <w:rFonts w:hint="eastAsia" w:hAnsi="宋体" w:cs="宋体"/>
                <w:color w:val="auto"/>
                <w:sz w:val="24"/>
              </w:rPr>
            </w:pPr>
            <w:r>
              <w:rPr>
                <w:rFonts w:hint="eastAsia" w:hAnsi="宋体" w:cs="宋体"/>
                <w:color w:val="auto"/>
                <w:sz w:val="24"/>
              </w:rPr>
              <w:t>3</w:t>
            </w:r>
          </w:p>
        </w:tc>
        <w:tc>
          <w:tcPr>
            <w:tcW w:w="1186" w:type="dxa"/>
          </w:tcPr>
          <w:p w14:paraId="066A032C">
            <w:pPr>
              <w:rPr>
                <w:rFonts w:hint="eastAsia" w:ascii="宋体" w:hAnsi="宋体" w:cs="宋体"/>
                <w:color w:val="auto"/>
                <w:sz w:val="24"/>
              </w:rPr>
            </w:pPr>
          </w:p>
        </w:tc>
        <w:tc>
          <w:tcPr>
            <w:tcW w:w="1730" w:type="dxa"/>
          </w:tcPr>
          <w:p w14:paraId="2C0865AF">
            <w:pPr>
              <w:rPr>
                <w:rFonts w:hint="eastAsia" w:ascii="宋体" w:hAnsi="宋体" w:cs="宋体"/>
                <w:color w:val="auto"/>
                <w:sz w:val="24"/>
              </w:rPr>
            </w:pPr>
          </w:p>
        </w:tc>
        <w:tc>
          <w:tcPr>
            <w:tcW w:w="1037" w:type="dxa"/>
          </w:tcPr>
          <w:p w14:paraId="5931B4FA">
            <w:pPr>
              <w:rPr>
                <w:rFonts w:hint="eastAsia" w:ascii="宋体" w:hAnsi="宋体" w:cs="宋体"/>
                <w:color w:val="auto"/>
                <w:sz w:val="24"/>
              </w:rPr>
            </w:pPr>
          </w:p>
        </w:tc>
        <w:tc>
          <w:tcPr>
            <w:tcW w:w="1286" w:type="dxa"/>
          </w:tcPr>
          <w:p w14:paraId="62F8C2D2">
            <w:pPr>
              <w:pStyle w:val="15"/>
              <w:rPr>
                <w:rFonts w:hint="eastAsia" w:hAnsi="宋体" w:cs="宋体"/>
                <w:color w:val="auto"/>
                <w:sz w:val="24"/>
              </w:rPr>
            </w:pPr>
          </w:p>
        </w:tc>
        <w:tc>
          <w:tcPr>
            <w:tcW w:w="1236" w:type="dxa"/>
          </w:tcPr>
          <w:p w14:paraId="7C56D09F">
            <w:pPr>
              <w:pStyle w:val="15"/>
              <w:rPr>
                <w:rFonts w:hint="eastAsia" w:hAnsi="宋体" w:cs="宋体"/>
                <w:color w:val="auto"/>
                <w:sz w:val="24"/>
              </w:rPr>
            </w:pPr>
          </w:p>
        </w:tc>
        <w:tc>
          <w:tcPr>
            <w:tcW w:w="1098" w:type="dxa"/>
          </w:tcPr>
          <w:p w14:paraId="298E57E7">
            <w:pPr>
              <w:pStyle w:val="15"/>
              <w:rPr>
                <w:rFonts w:hint="eastAsia" w:hAnsi="宋体" w:cs="宋体"/>
                <w:color w:val="auto"/>
                <w:sz w:val="24"/>
              </w:rPr>
            </w:pPr>
          </w:p>
        </w:tc>
      </w:tr>
      <w:tr w14:paraId="6B5A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4748C27">
            <w:pPr>
              <w:pStyle w:val="15"/>
              <w:jc w:val="center"/>
              <w:rPr>
                <w:rFonts w:hint="eastAsia" w:hAnsi="宋体" w:cs="宋体"/>
                <w:color w:val="auto"/>
                <w:sz w:val="24"/>
              </w:rPr>
            </w:pPr>
            <w:r>
              <w:rPr>
                <w:rFonts w:hint="eastAsia" w:hAnsi="宋体" w:cs="宋体"/>
                <w:color w:val="auto"/>
                <w:sz w:val="24"/>
              </w:rPr>
              <w:t>4</w:t>
            </w:r>
          </w:p>
        </w:tc>
        <w:tc>
          <w:tcPr>
            <w:tcW w:w="1186" w:type="dxa"/>
            <w:tcBorders>
              <w:right w:val="single" w:color="auto" w:sz="4" w:space="0"/>
            </w:tcBorders>
          </w:tcPr>
          <w:p w14:paraId="26318A90">
            <w:pPr>
              <w:rPr>
                <w:rFonts w:hint="eastAsia" w:ascii="宋体" w:hAnsi="宋体" w:cs="宋体"/>
                <w:color w:val="auto"/>
                <w:sz w:val="24"/>
              </w:rPr>
            </w:pPr>
          </w:p>
        </w:tc>
        <w:tc>
          <w:tcPr>
            <w:tcW w:w="1730" w:type="dxa"/>
            <w:tcBorders>
              <w:right w:val="single" w:color="auto" w:sz="4" w:space="0"/>
            </w:tcBorders>
          </w:tcPr>
          <w:p w14:paraId="559D7A59">
            <w:pPr>
              <w:rPr>
                <w:rFonts w:hint="eastAsia" w:ascii="宋体" w:hAnsi="宋体" w:cs="宋体"/>
                <w:color w:val="auto"/>
                <w:sz w:val="24"/>
              </w:rPr>
            </w:pPr>
          </w:p>
        </w:tc>
        <w:tc>
          <w:tcPr>
            <w:tcW w:w="1037" w:type="dxa"/>
            <w:tcBorders>
              <w:left w:val="single" w:color="auto" w:sz="4" w:space="0"/>
            </w:tcBorders>
          </w:tcPr>
          <w:p w14:paraId="156B7F7A">
            <w:pPr>
              <w:rPr>
                <w:rFonts w:hint="eastAsia" w:ascii="宋体" w:hAnsi="宋体" w:cs="宋体"/>
                <w:color w:val="auto"/>
                <w:sz w:val="24"/>
              </w:rPr>
            </w:pPr>
          </w:p>
        </w:tc>
        <w:tc>
          <w:tcPr>
            <w:tcW w:w="1286" w:type="dxa"/>
            <w:tcBorders>
              <w:left w:val="single" w:color="auto" w:sz="4" w:space="0"/>
            </w:tcBorders>
          </w:tcPr>
          <w:p w14:paraId="58062850">
            <w:pPr>
              <w:pStyle w:val="15"/>
              <w:rPr>
                <w:rFonts w:hint="eastAsia" w:hAnsi="宋体" w:cs="宋体"/>
                <w:color w:val="auto"/>
                <w:sz w:val="24"/>
              </w:rPr>
            </w:pPr>
          </w:p>
        </w:tc>
        <w:tc>
          <w:tcPr>
            <w:tcW w:w="1236" w:type="dxa"/>
            <w:tcBorders>
              <w:left w:val="nil"/>
            </w:tcBorders>
          </w:tcPr>
          <w:p w14:paraId="7F45595A">
            <w:pPr>
              <w:pStyle w:val="15"/>
              <w:rPr>
                <w:rFonts w:hint="eastAsia" w:hAnsi="宋体" w:cs="宋体"/>
                <w:color w:val="auto"/>
                <w:sz w:val="24"/>
              </w:rPr>
            </w:pPr>
          </w:p>
        </w:tc>
        <w:tc>
          <w:tcPr>
            <w:tcW w:w="1098" w:type="dxa"/>
          </w:tcPr>
          <w:p w14:paraId="2281DF29">
            <w:pPr>
              <w:pStyle w:val="15"/>
              <w:rPr>
                <w:rFonts w:hint="eastAsia" w:hAnsi="宋体" w:cs="宋体"/>
                <w:color w:val="auto"/>
                <w:sz w:val="24"/>
              </w:rPr>
            </w:pPr>
          </w:p>
        </w:tc>
      </w:tr>
      <w:tr w14:paraId="11EA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D025F1C">
            <w:pPr>
              <w:pStyle w:val="15"/>
              <w:jc w:val="center"/>
              <w:rPr>
                <w:rFonts w:hint="eastAsia" w:hAnsi="宋体" w:cs="宋体"/>
                <w:color w:val="auto"/>
                <w:sz w:val="24"/>
              </w:rPr>
            </w:pPr>
            <w:r>
              <w:rPr>
                <w:rFonts w:hint="eastAsia" w:hAnsi="宋体" w:cs="宋体"/>
                <w:color w:val="auto"/>
                <w:sz w:val="24"/>
              </w:rPr>
              <w:t>5</w:t>
            </w:r>
          </w:p>
        </w:tc>
        <w:tc>
          <w:tcPr>
            <w:tcW w:w="1186" w:type="dxa"/>
          </w:tcPr>
          <w:p w14:paraId="7F077921">
            <w:pPr>
              <w:rPr>
                <w:rFonts w:hint="eastAsia" w:ascii="宋体" w:hAnsi="宋体" w:cs="宋体"/>
                <w:color w:val="auto"/>
                <w:sz w:val="24"/>
              </w:rPr>
            </w:pPr>
          </w:p>
        </w:tc>
        <w:tc>
          <w:tcPr>
            <w:tcW w:w="1730" w:type="dxa"/>
          </w:tcPr>
          <w:p w14:paraId="5CBEDD86">
            <w:pPr>
              <w:rPr>
                <w:rFonts w:hint="eastAsia" w:ascii="宋体" w:hAnsi="宋体" w:cs="宋体"/>
                <w:color w:val="auto"/>
                <w:sz w:val="24"/>
              </w:rPr>
            </w:pPr>
          </w:p>
        </w:tc>
        <w:tc>
          <w:tcPr>
            <w:tcW w:w="1037" w:type="dxa"/>
          </w:tcPr>
          <w:p w14:paraId="2145454F">
            <w:pPr>
              <w:rPr>
                <w:rFonts w:hint="eastAsia" w:ascii="宋体" w:hAnsi="宋体" w:cs="宋体"/>
                <w:color w:val="auto"/>
                <w:sz w:val="24"/>
              </w:rPr>
            </w:pPr>
          </w:p>
        </w:tc>
        <w:tc>
          <w:tcPr>
            <w:tcW w:w="1286" w:type="dxa"/>
          </w:tcPr>
          <w:p w14:paraId="7980A330">
            <w:pPr>
              <w:pStyle w:val="15"/>
              <w:rPr>
                <w:rFonts w:hint="eastAsia" w:hAnsi="宋体" w:cs="宋体"/>
                <w:color w:val="auto"/>
                <w:sz w:val="24"/>
              </w:rPr>
            </w:pPr>
          </w:p>
        </w:tc>
        <w:tc>
          <w:tcPr>
            <w:tcW w:w="1236" w:type="dxa"/>
          </w:tcPr>
          <w:p w14:paraId="5701712E">
            <w:pPr>
              <w:pStyle w:val="15"/>
              <w:rPr>
                <w:rFonts w:hint="eastAsia" w:hAnsi="宋体" w:cs="宋体"/>
                <w:color w:val="auto"/>
                <w:sz w:val="24"/>
              </w:rPr>
            </w:pPr>
          </w:p>
        </w:tc>
        <w:tc>
          <w:tcPr>
            <w:tcW w:w="1098" w:type="dxa"/>
          </w:tcPr>
          <w:p w14:paraId="6D5FDE94">
            <w:pPr>
              <w:pStyle w:val="15"/>
              <w:rPr>
                <w:rFonts w:hint="eastAsia" w:hAnsi="宋体" w:cs="宋体"/>
                <w:color w:val="auto"/>
                <w:sz w:val="24"/>
              </w:rPr>
            </w:pPr>
          </w:p>
        </w:tc>
      </w:tr>
      <w:tr w14:paraId="61A4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86287CE">
            <w:pPr>
              <w:pStyle w:val="15"/>
              <w:jc w:val="center"/>
              <w:rPr>
                <w:rFonts w:hint="eastAsia" w:hAnsi="宋体" w:cs="宋体"/>
                <w:color w:val="auto"/>
                <w:sz w:val="24"/>
              </w:rPr>
            </w:pPr>
            <w:r>
              <w:rPr>
                <w:rFonts w:hint="eastAsia" w:hAnsi="宋体" w:cs="宋体"/>
                <w:color w:val="auto"/>
                <w:sz w:val="24"/>
              </w:rPr>
              <w:t>6</w:t>
            </w:r>
          </w:p>
        </w:tc>
        <w:tc>
          <w:tcPr>
            <w:tcW w:w="1186" w:type="dxa"/>
          </w:tcPr>
          <w:p w14:paraId="7700F0DB">
            <w:pPr>
              <w:rPr>
                <w:rFonts w:hint="eastAsia" w:ascii="宋体" w:hAnsi="宋体" w:cs="宋体"/>
                <w:color w:val="auto"/>
                <w:sz w:val="24"/>
              </w:rPr>
            </w:pPr>
          </w:p>
        </w:tc>
        <w:tc>
          <w:tcPr>
            <w:tcW w:w="1730" w:type="dxa"/>
          </w:tcPr>
          <w:p w14:paraId="7A24E7AF">
            <w:pPr>
              <w:rPr>
                <w:rFonts w:hint="eastAsia" w:ascii="宋体" w:hAnsi="宋体" w:cs="宋体"/>
                <w:color w:val="auto"/>
                <w:sz w:val="24"/>
              </w:rPr>
            </w:pPr>
          </w:p>
        </w:tc>
        <w:tc>
          <w:tcPr>
            <w:tcW w:w="1037" w:type="dxa"/>
          </w:tcPr>
          <w:p w14:paraId="74D91497">
            <w:pPr>
              <w:rPr>
                <w:rFonts w:hint="eastAsia" w:ascii="宋体" w:hAnsi="宋体" w:cs="宋体"/>
                <w:color w:val="auto"/>
                <w:sz w:val="24"/>
              </w:rPr>
            </w:pPr>
          </w:p>
        </w:tc>
        <w:tc>
          <w:tcPr>
            <w:tcW w:w="1286" w:type="dxa"/>
          </w:tcPr>
          <w:p w14:paraId="46F7D3F9">
            <w:pPr>
              <w:pStyle w:val="15"/>
              <w:rPr>
                <w:rFonts w:hint="eastAsia" w:hAnsi="宋体" w:cs="宋体"/>
                <w:color w:val="auto"/>
                <w:sz w:val="24"/>
              </w:rPr>
            </w:pPr>
          </w:p>
        </w:tc>
        <w:tc>
          <w:tcPr>
            <w:tcW w:w="1236" w:type="dxa"/>
          </w:tcPr>
          <w:p w14:paraId="2C8BDFAF">
            <w:pPr>
              <w:pStyle w:val="15"/>
              <w:rPr>
                <w:rFonts w:hint="eastAsia" w:hAnsi="宋体" w:cs="宋体"/>
                <w:color w:val="auto"/>
                <w:sz w:val="24"/>
              </w:rPr>
            </w:pPr>
          </w:p>
        </w:tc>
        <w:tc>
          <w:tcPr>
            <w:tcW w:w="1098" w:type="dxa"/>
          </w:tcPr>
          <w:p w14:paraId="0D110974">
            <w:pPr>
              <w:pStyle w:val="15"/>
              <w:rPr>
                <w:rFonts w:hint="eastAsia" w:hAnsi="宋体" w:cs="宋体"/>
                <w:color w:val="auto"/>
                <w:sz w:val="24"/>
              </w:rPr>
            </w:pPr>
          </w:p>
        </w:tc>
      </w:tr>
      <w:tr w14:paraId="21B0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B4BD903">
            <w:pPr>
              <w:pStyle w:val="15"/>
              <w:jc w:val="center"/>
              <w:rPr>
                <w:rFonts w:hint="eastAsia" w:hAnsi="宋体" w:cs="宋体"/>
                <w:color w:val="auto"/>
                <w:sz w:val="24"/>
              </w:rPr>
            </w:pPr>
            <w:r>
              <w:rPr>
                <w:rFonts w:hint="eastAsia" w:hAnsi="宋体" w:cs="宋体"/>
                <w:color w:val="auto"/>
                <w:sz w:val="24"/>
              </w:rPr>
              <w:t>7</w:t>
            </w:r>
          </w:p>
        </w:tc>
        <w:tc>
          <w:tcPr>
            <w:tcW w:w="1186" w:type="dxa"/>
          </w:tcPr>
          <w:p w14:paraId="27D14898">
            <w:pPr>
              <w:rPr>
                <w:rFonts w:hint="eastAsia" w:ascii="宋体" w:hAnsi="宋体" w:cs="宋体"/>
                <w:color w:val="auto"/>
                <w:sz w:val="24"/>
              </w:rPr>
            </w:pPr>
          </w:p>
        </w:tc>
        <w:tc>
          <w:tcPr>
            <w:tcW w:w="1730" w:type="dxa"/>
          </w:tcPr>
          <w:p w14:paraId="22DAB67A">
            <w:pPr>
              <w:rPr>
                <w:rFonts w:hint="eastAsia" w:ascii="宋体" w:hAnsi="宋体" w:cs="宋体"/>
                <w:color w:val="auto"/>
                <w:sz w:val="24"/>
              </w:rPr>
            </w:pPr>
          </w:p>
        </w:tc>
        <w:tc>
          <w:tcPr>
            <w:tcW w:w="1037" w:type="dxa"/>
          </w:tcPr>
          <w:p w14:paraId="3B973632">
            <w:pPr>
              <w:rPr>
                <w:rFonts w:hint="eastAsia" w:ascii="宋体" w:hAnsi="宋体" w:cs="宋体"/>
                <w:color w:val="auto"/>
                <w:sz w:val="24"/>
              </w:rPr>
            </w:pPr>
          </w:p>
        </w:tc>
        <w:tc>
          <w:tcPr>
            <w:tcW w:w="1286" w:type="dxa"/>
          </w:tcPr>
          <w:p w14:paraId="3306E7C5">
            <w:pPr>
              <w:pStyle w:val="15"/>
              <w:rPr>
                <w:rFonts w:hint="eastAsia" w:hAnsi="宋体" w:cs="宋体"/>
                <w:color w:val="auto"/>
                <w:sz w:val="24"/>
              </w:rPr>
            </w:pPr>
          </w:p>
        </w:tc>
        <w:tc>
          <w:tcPr>
            <w:tcW w:w="1236" w:type="dxa"/>
          </w:tcPr>
          <w:p w14:paraId="2AF62E9C">
            <w:pPr>
              <w:pStyle w:val="15"/>
              <w:rPr>
                <w:rFonts w:hint="eastAsia" w:hAnsi="宋体" w:cs="宋体"/>
                <w:color w:val="auto"/>
                <w:sz w:val="24"/>
              </w:rPr>
            </w:pPr>
          </w:p>
        </w:tc>
        <w:tc>
          <w:tcPr>
            <w:tcW w:w="1098" w:type="dxa"/>
          </w:tcPr>
          <w:p w14:paraId="4166D96F">
            <w:pPr>
              <w:pStyle w:val="15"/>
              <w:rPr>
                <w:rFonts w:hint="eastAsia" w:hAnsi="宋体" w:cs="宋体"/>
                <w:color w:val="auto"/>
                <w:sz w:val="24"/>
              </w:rPr>
            </w:pPr>
          </w:p>
        </w:tc>
      </w:tr>
      <w:tr w14:paraId="6D83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33DB469">
            <w:pPr>
              <w:pStyle w:val="15"/>
              <w:jc w:val="center"/>
              <w:rPr>
                <w:rFonts w:hint="eastAsia" w:hAnsi="宋体" w:cs="宋体"/>
                <w:color w:val="auto"/>
                <w:sz w:val="24"/>
              </w:rPr>
            </w:pPr>
            <w:r>
              <w:rPr>
                <w:rFonts w:hint="eastAsia" w:hAnsi="宋体" w:cs="宋体"/>
                <w:color w:val="auto"/>
                <w:sz w:val="24"/>
              </w:rPr>
              <w:t>8</w:t>
            </w:r>
          </w:p>
        </w:tc>
        <w:tc>
          <w:tcPr>
            <w:tcW w:w="1186" w:type="dxa"/>
          </w:tcPr>
          <w:p w14:paraId="713EC7B4">
            <w:pPr>
              <w:rPr>
                <w:rFonts w:hint="eastAsia" w:ascii="宋体" w:hAnsi="宋体" w:cs="宋体"/>
                <w:color w:val="auto"/>
                <w:sz w:val="24"/>
              </w:rPr>
            </w:pPr>
          </w:p>
        </w:tc>
        <w:tc>
          <w:tcPr>
            <w:tcW w:w="1730" w:type="dxa"/>
          </w:tcPr>
          <w:p w14:paraId="10804100">
            <w:pPr>
              <w:rPr>
                <w:rFonts w:hint="eastAsia" w:ascii="宋体" w:hAnsi="宋体" w:cs="宋体"/>
                <w:color w:val="auto"/>
                <w:sz w:val="24"/>
              </w:rPr>
            </w:pPr>
          </w:p>
        </w:tc>
        <w:tc>
          <w:tcPr>
            <w:tcW w:w="1037" w:type="dxa"/>
          </w:tcPr>
          <w:p w14:paraId="234A6A1A">
            <w:pPr>
              <w:rPr>
                <w:rFonts w:hint="eastAsia" w:ascii="宋体" w:hAnsi="宋体" w:cs="宋体"/>
                <w:color w:val="auto"/>
                <w:sz w:val="24"/>
              </w:rPr>
            </w:pPr>
          </w:p>
        </w:tc>
        <w:tc>
          <w:tcPr>
            <w:tcW w:w="1286" w:type="dxa"/>
          </w:tcPr>
          <w:p w14:paraId="78D53DC2">
            <w:pPr>
              <w:pStyle w:val="15"/>
              <w:rPr>
                <w:rFonts w:hint="eastAsia" w:hAnsi="宋体" w:cs="宋体"/>
                <w:color w:val="auto"/>
                <w:sz w:val="24"/>
              </w:rPr>
            </w:pPr>
          </w:p>
        </w:tc>
        <w:tc>
          <w:tcPr>
            <w:tcW w:w="1236" w:type="dxa"/>
          </w:tcPr>
          <w:p w14:paraId="27AF4546">
            <w:pPr>
              <w:pStyle w:val="15"/>
              <w:rPr>
                <w:rFonts w:hint="eastAsia" w:hAnsi="宋体" w:cs="宋体"/>
                <w:color w:val="auto"/>
                <w:sz w:val="24"/>
              </w:rPr>
            </w:pPr>
          </w:p>
        </w:tc>
        <w:tc>
          <w:tcPr>
            <w:tcW w:w="1098" w:type="dxa"/>
          </w:tcPr>
          <w:p w14:paraId="0A014368">
            <w:pPr>
              <w:pStyle w:val="15"/>
              <w:rPr>
                <w:rFonts w:hint="eastAsia" w:hAnsi="宋体" w:cs="宋体"/>
                <w:color w:val="auto"/>
                <w:sz w:val="24"/>
              </w:rPr>
            </w:pPr>
          </w:p>
        </w:tc>
      </w:tr>
      <w:tr w14:paraId="521D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011D9D7">
            <w:pPr>
              <w:pStyle w:val="15"/>
              <w:jc w:val="center"/>
              <w:rPr>
                <w:rFonts w:hint="eastAsia" w:hAnsi="宋体" w:cs="宋体"/>
                <w:color w:val="auto"/>
                <w:sz w:val="24"/>
              </w:rPr>
            </w:pPr>
            <w:r>
              <w:rPr>
                <w:rFonts w:hint="eastAsia" w:hAnsi="宋体" w:cs="宋体"/>
                <w:color w:val="auto"/>
                <w:sz w:val="24"/>
              </w:rPr>
              <w:t>9</w:t>
            </w:r>
          </w:p>
        </w:tc>
        <w:tc>
          <w:tcPr>
            <w:tcW w:w="1186" w:type="dxa"/>
          </w:tcPr>
          <w:p w14:paraId="77DF0942">
            <w:pPr>
              <w:rPr>
                <w:rFonts w:hint="eastAsia" w:ascii="宋体" w:hAnsi="宋体" w:cs="宋体"/>
                <w:color w:val="auto"/>
                <w:sz w:val="24"/>
              </w:rPr>
            </w:pPr>
          </w:p>
        </w:tc>
        <w:tc>
          <w:tcPr>
            <w:tcW w:w="1730" w:type="dxa"/>
          </w:tcPr>
          <w:p w14:paraId="4273286E">
            <w:pPr>
              <w:rPr>
                <w:rFonts w:hint="eastAsia" w:ascii="宋体" w:hAnsi="宋体" w:cs="宋体"/>
                <w:color w:val="auto"/>
                <w:sz w:val="24"/>
              </w:rPr>
            </w:pPr>
          </w:p>
        </w:tc>
        <w:tc>
          <w:tcPr>
            <w:tcW w:w="1037" w:type="dxa"/>
          </w:tcPr>
          <w:p w14:paraId="56E2DCC0">
            <w:pPr>
              <w:rPr>
                <w:rFonts w:hint="eastAsia" w:ascii="宋体" w:hAnsi="宋体" w:cs="宋体"/>
                <w:color w:val="auto"/>
                <w:sz w:val="24"/>
              </w:rPr>
            </w:pPr>
          </w:p>
        </w:tc>
        <w:tc>
          <w:tcPr>
            <w:tcW w:w="1286" w:type="dxa"/>
          </w:tcPr>
          <w:p w14:paraId="583B94F4">
            <w:pPr>
              <w:pStyle w:val="15"/>
              <w:rPr>
                <w:rFonts w:hint="eastAsia" w:hAnsi="宋体" w:cs="宋体"/>
                <w:color w:val="auto"/>
                <w:sz w:val="24"/>
              </w:rPr>
            </w:pPr>
          </w:p>
        </w:tc>
        <w:tc>
          <w:tcPr>
            <w:tcW w:w="1236" w:type="dxa"/>
          </w:tcPr>
          <w:p w14:paraId="00CE415E">
            <w:pPr>
              <w:pStyle w:val="15"/>
              <w:rPr>
                <w:rFonts w:hint="eastAsia" w:hAnsi="宋体" w:cs="宋体"/>
                <w:color w:val="auto"/>
                <w:sz w:val="24"/>
              </w:rPr>
            </w:pPr>
          </w:p>
        </w:tc>
        <w:tc>
          <w:tcPr>
            <w:tcW w:w="1098" w:type="dxa"/>
          </w:tcPr>
          <w:p w14:paraId="03AE55C5">
            <w:pPr>
              <w:pStyle w:val="15"/>
              <w:rPr>
                <w:rFonts w:hint="eastAsia" w:hAnsi="宋体" w:cs="宋体"/>
                <w:color w:val="auto"/>
                <w:sz w:val="24"/>
              </w:rPr>
            </w:pPr>
          </w:p>
        </w:tc>
      </w:tr>
      <w:tr w14:paraId="0C90F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41043A99">
            <w:pPr>
              <w:pStyle w:val="15"/>
              <w:jc w:val="center"/>
              <w:rPr>
                <w:rFonts w:hint="eastAsia" w:hAnsi="宋体" w:cs="宋体"/>
                <w:color w:val="auto"/>
                <w:sz w:val="24"/>
              </w:rPr>
            </w:pPr>
            <w:r>
              <w:rPr>
                <w:rFonts w:hint="eastAsia" w:hAnsi="宋体" w:cs="宋体"/>
                <w:b/>
                <w:color w:val="auto"/>
                <w:sz w:val="24"/>
              </w:rPr>
              <w:t>合计</w:t>
            </w:r>
          </w:p>
        </w:tc>
        <w:tc>
          <w:tcPr>
            <w:tcW w:w="1236" w:type="dxa"/>
            <w:vAlign w:val="center"/>
          </w:tcPr>
          <w:p w14:paraId="5A48CD48">
            <w:pPr>
              <w:pStyle w:val="15"/>
              <w:jc w:val="center"/>
              <w:rPr>
                <w:rFonts w:hint="eastAsia" w:hAnsi="宋体" w:cs="宋体"/>
                <w:color w:val="auto"/>
                <w:sz w:val="24"/>
              </w:rPr>
            </w:pPr>
          </w:p>
        </w:tc>
        <w:tc>
          <w:tcPr>
            <w:tcW w:w="1098" w:type="dxa"/>
            <w:vAlign w:val="center"/>
          </w:tcPr>
          <w:p w14:paraId="35F82ADC">
            <w:pPr>
              <w:pStyle w:val="15"/>
              <w:jc w:val="center"/>
              <w:rPr>
                <w:rFonts w:hint="eastAsia" w:hAnsi="宋体" w:cs="宋体"/>
                <w:color w:val="auto"/>
                <w:sz w:val="24"/>
              </w:rPr>
            </w:pPr>
          </w:p>
        </w:tc>
      </w:tr>
    </w:tbl>
    <w:p w14:paraId="312F19DD">
      <w:pPr>
        <w:pStyle w:val="16"/>
        <w:spacing w:line="360" w:lineRule="auto"/>
        <w:rPr>
          <w:rFonts w:hint="eastAsia" w:ascii="宋体" w:hAnsi="宋体" w:cs="宋体"/>
          <w:color w:val="auto"/>
          <w:sz w:val="24"/>
        </w:rPr>
      </w:pPr>
      <w:r>
        <w:rPr>
          <w:rFonts w:hint="eastAsia" w:ascii="宋体" w:hAnsi="宋体" w:cs="宋体"/>
          <w:color w:val="auto"/>
          <w:sz w:val="24"/>
        </w:rPr>
        <w:t>投标人电子公签章：</w:t>
      </w:r>
    </w:p>
    <w:p w14:paraId="76FFFA17">
      <w:pPr>
        <w:spacing w:before="48" w:beforeLines="20" w:after="48" w:afterLines="20" w:line="360" w:lineRule="auto"/>
        <w:rPr>
          <w:rFonts w:hint="eastAsia" w:ascii="宋体" w:hAnsi="宋体" w:cs="宋体"/>
          <w:color w:val="auto"/>
          <w:sz w:val="28"/>
        </w:rPr>
      </w:pPr>
      <w:r>
        <w:rPr>
          <w:rFonts w:hint="eastAsia" w:ascii="宋体" w:hAnsi="宋体" w:cs="宋体"/>
          <w:color w:val="auto"/>
          <w:sz w:val="24"/>
          <w:szCs w:val="27"/>
        </w:rPr>
        <w:t>备注：备品备件系指免费质保期满后一定期限的易损件、耗材等。</w:t>
      </w:r>
    </w:p>
    <w:p w14:paraId="552A3725">
      <w:pPr>
        <w:spacing w:before="48" w:beforeLines="20" w:after="48" w:afterLines="20" w:line="360" w:lineRule="auto"/>
        <w:rPr>
          <w:rFonts w:hint="eastAsia" w:ascii="宋体" w:hAnsi="宋体" w:cs="宋体"/>
          <w:color w:val="auto"/>
          <w:sz w:val="28"/>
        </w:rPr>
      </w:pPr>
    </w:p>
    <w:p w14:paraId="4F926AC5">
      <w:pPr>
        <w:spacing w:before="48" w:beforeLines="20" w:after="48" w:afterLines="20" w:line="360" w:lineRule="auto"/>
        <w:rPr>
          <w:rFonts w:hint="eastAsia" w:ascii="宋体" w:hAnsi="宋体" w:cs="宋体"/>
          <w:color w:val="auto"/>
          <w:sz w:val="28"/>
        </w:rPr>
      </w:pPr>
    </w:p>
    <w:p w14:paraId="3F16E9B9">
      <w:pPr>
        <w:pStyle w:val="20"/>
        <w:rPr>
          <w:color w:val="auto"/>
        </w:rPr>
      </w:pPr>
    </w:p>
    <w:p w14:paraId="6D113618">
      <w:pPr>
        <w:pStyle w:val="20"/>
        <w:rPr>
          <w:color w:val="auto"/>
        </w:rPr>
      </w:pPr>
    </w:p>
    <w:p w14:paraId="48553965">
      <w:pPr>
        <w:pStyle w:val="20"/>
        <w:rPr>
          <w:color w:val="auto"/>
        </w:rPr>
      </w:pPr>
    </w:p>
    <w:p w14:paraId="0887A924">
      <w:pPr>
        <w:pStyle w:val="20"/>
        <w:rPr>
          <w:color w:val="auto"/>
        </w:rPr>
      </w:pPr>
    </w:p>
    <w:p w14:paraId="57708E90">
      <w:pPr>
        <w:pStyle w:val="20"/>
        <w:rPr>
          <w:color w:val="auto"/>
        </w:rPr>
      </w:pPr>
    </w:p>
    <w:p w14:paraId="141A04E7">
      <w:pPr>
        <w:pStyle w:val="20"/>
        <w:rPr>
          <w:color w:val="auto"/>
        </w:rPr>
      </w:pPr>
    </w:p>
    <w:p w14:paraId="453ADC8C">
      <w:pPr>
        <w:pStyle w:val="20"/>
        <w:rPr>
          <w:color w:val="auto"/>
        </w:rPr>
      </w:pPr>
    </w:p>
    <w:p w14:paraId="7E2BBD66">
      <w:pPr>
        <w:pStyle w:val="20"/>
        <w:rPr>
          <w:color w:val="auto"/>
        </w:rPr>
      </w:pPr>
    </w:p>
    <w:p w14:paraId="6F0DEA63">
      <w:pPr>
        <w:pStyle w:val="20"/>
        <w:rPr>
          <w:color w:val="auto"/>
        </w:rPr>
      </w:pPr>
    </w:p>
    <w:p w14:paraId="03E5CD62">
      <w:pPr>
        <w:pStyle w:val="20"/>
        <w:rPr>
          <w:color w:val="auto"/>
        </w:rPr>
      </w:pPr>
    </w:p>
    <w:p w14:paraId="2204CDFE">
      <w:pPr>
        <w:pStyle w:val="20"/>
        <w:rPr>
          <w:color w:val="auto"/>
        </w:rPr>
      </w:pPr>
    </w:p>
    <w:p w14:paraId="2D5F5541">
      <w:pPr>
        <w:pStyle w:val="20"/>
        <w:rPr>
          <w:color w:val="auto"/>
        </w:rPr>
      </w:pPr>
    </w:p>
    <w:p w14:paraId="3D565922">
      <w:pPr>
        <w:pStyle w:val="20"/>
        <w:rPr>
          <w:color w:val="auto"/>
        </w:rPr>
      </w:pPr>
    </w:p>
    <w:p w14:paraId="34A641DF">
      <w:pPr>
        <w:pStyle w:val="20"/>
        <w:rPr>
          <w:color w:val="auto"/>
        </w:rPr>
      </w:pPr>
    </w:p>
    <w:p w14:paraId="6939DDA7">
      <w:pPr>
        <w:pStyle w:val="20"/>
        <w:rPr>
          <w:color w:val="auto"/>
        </w:rPr>
      </w:pPr>
    </w:p>
    <w:p w14:paraId="6BF9411B">
      <w:pPr>
        <w:rPr>
          <w:rFonts w:hint="eastAsia" w:hAnsi="宋体" w:cs="宋体"/>
          <w:color w:val="auto"/>
          <w:sz w:val="28"/>
        </w:rPr>
      </w:pPr>
      <w:bookmarkStart w:id="152" w:name="_Toc516969105"/>
      <w:bookmarkStart w:id="153" w:name="_Toc220232402"/>
      <w:bookmarkStart w:id="154" w:name="_Toc40975456"/>
      <w:bookmarkStart w:id="155" w:name="_Toc5312_WPSOffice_Level2"/>
      <w:r>
        <w:rPr>
          <w:rFonts w:hint="eastAsia" w:hAnsi="宋体" w:cs="宋体"/>
          <w:color w:val="auto"/>
          <w:sz w:val="28"/>
        </w:rPr>
        <w:br w:type="page"/>
      </w:r>
    </w:p>
    <w:p w14:paraId="5443A929">
      <w:pPr>
        <w:pStyle w:val="4"/>
        <w:rPr>
          <w:rFonts w:hint="eastAsia" w:hAnsi="宋体" w:cs="宋体"/>
          <w:color w:val="auto"/>
          <w:sz w:val="28"/>
          <w:szCs w:val="36"/>
        </w:rPr>
      </w:pPr>
      <w:r>
        <w:rPr>
          <w:rFonts w:hint="eastAsia" w:hAnsi="宋体" w:cs="宋体"/>
          <w:color w:val="auto"/>
          <w:sz w:val="28"/>
        </w:rPr>
        <w:t>八．有关证明文件</w:t>
      </w:r>
    </w:p>
    <w:p w14:paraId="42BD6994">
      <w:pPr>
        <w:tabs>
          <w:tab w:val="left" w:pos="4620"/>
        </w:tabs>
        <w:spacing w:line="360" w:lineRule="auto"/>
        <w:jc w:val="center"/>
        <w:rPr>
          <w:rFonts w:hint="eastAsia" w:ascii="宋体" w:hAnsi="宋体" w:cs="宋体"/>
          <w:color w:val="auto"/>
          <w:sz w:val="24"/>
        </w:rPr>
      </w:pPr>
      <w:r>
        <w:rPr>
          <w:rFonts w:hint="eastAsia" w:ascii="宋体" w:hAnsi="宋体" w:cs="宋体"/>
          <w:color w:val="auto"/>
          <w:sz w:val="24"/>
        </w:rPr>
        <w:t>提供符合资格要求、货物需求一览表及评标办法规定的相关证明文件。</w:t>
      </w:r>
    </w:p>
    <w:p w14:paraId="77882AE1">
      <w:pPr>
        <w:rPr>
          <w:rFonts w:hint="eastAsia" w:hAnsi="宋体" w:cs="宋体"/>
          <w:color w:val="auto"/>
          <w:sz w:val="28"/>
        </w:rPr>
      </w:pPr>
    </w:p>
    <w:p w14:paraId="3DE1EAF5">
      <w:pPr>
        <w:rPr>
          <w:rFonts w:hint="eastAsia" w:hAnsi="宋体" w:cs="宋体"/>
          <w:color w:val="auto"/>
          <w:sz w:val="28"/>
        </w:rPr>
      </w:pPr>
      <w:r>
        <w:rPr>
          <w:rFonts w:hint="eastAsia" w:hAnsi="宋体" w:cs="宋体"/>
          <w:color w:val="auto"/>
          <w:sz w:val="28"/>
        </w:rPr>
        <w:br w:type="page"/>
      </w:r>
    </w:p>
    <w:p w14:paraId="1EFF7E2A">
      <w:pPr>
        <w:pStyle w:val="4"/>
        <w:rPr>
          <w:rFonts w:hint="eastAsia" w:hAnsi="宋体" w:cs="宋体"/>
          <w:color w:val="auto"/>
          <w:sz w:val="28"/>
        </w:rPr>
      </w:pPr>
      <w:r>
        <w:rPr>
          <w:rFonts w:hint="eastAsia" w:hAnsi="宋体" w:cs="宋体"/>
          <w:color w:val="auto"/>
          <w:sz w:val="28"/>
        </w:rPr>
        <w:t>九．拟派</w:t>
      </w:r>
      <w:r>
        <w:rPr>
          <w:rFonts w:hint="eastAsia"/>
          <w:color w:val="auto"/>
        </w:rPr>
        <w:t>项目相关人员</w:t>
      </w:r>
    </w:p>
    <w:bookmarkEnd w:id="152"/>
    <w:bookmarkEnd w:id="153"/>
    <w:bookmarkEnd w:id="154"/>
    <w:bookmarkEnd w:id="155"/>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1395"/>
        <w:gridCol w:w="1035"/>
        <w:gridCol w:w="1452"/>
        <w:gridCol w:w="944"/>
        <w:gridCol w:w="1017"/>
        <w:gridCol w:w="1083"/>
        <w:gridCol w:w="1105"/>
      </w:tblGrid>
      <w:tr w14:paraId="11F0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Merge w:val="restart"/>
            <w:vAlign w:val="center"/>
          </w:tcPr>
          <w:p w14:paraId="4A97DDD6">
            <w:pPr>
              <w:jc w:val="center"/>
              <w:rPr>
                <w:rFonts w:hint="eastAsia" w:ascii="宋体" w:hAnsi="宋体"/>
                <w:color w:val="auto"/>
                <w:szCs w:val="21"/>
              </w:rPr>
            </w:pPr>
            <w:r>
              <w:rPr>
                <w:rFonts w:hint="eastAsia" w:ascii="宋体" w:hAnsi="宋体"/>
                <w:color w:val="auto"/>
                <w:szCs w:val="21"/>
              </w:rPr>
              <w:t>序号</w:t>
            </w:r>
          </w:p>
        </w:tc>
        <w:tc>
          <w:tcPr>
            <w:tcW w:w="1395" w:type="dxa"/>
            <w:vMerge w:val="restart"/>
            <w:vAlign w:val="center"/>
          </w:tcPr>
          <w:p w14:paraId="3F2626A5">
            <w:pPr>
              <w:jc w:val="center"/>
              <w:rPr>
                <w:rFonts w:hint="eastAsia" w:ascii="宋体" w:hAnsi="宋体"/>
                <w:color w:val="auto"/>
                <w:szCs w:val="21"/>
              </w:rPr>
            </w:pPr>
            <w:r>
              <w:rPr>
                <w:rFonts w:hint="eastAsia" w:ascii="宋体" w:hAnsi="宋体"/>
                <w:color w:val="auto"/>
                <w:szCs w:val="21"/>
              </w:rPr>
              <w:t>姓名</w:t>
            </w:r>
          </w:p>
        </w:tc>
        <w:tc>
          <w:tcPr>
            <w:tcW w:w="1035" w:type="dxa"/>
            <w:vMerge w:val="restart"/>
            <w:vAlign w:val="center"/>
          </w:tcPr>
          <w:p w14:paraId="35A561DB">
            <w:pPr>
              <w:jc w:val="center"/>
              <w:rPr>
                <w:rFonts w:hint="eastAsia" w:ascii="宋体" w:hAnsi="宋体"/>
                <w:color w:val="auto"/>
                <w:szCs w:val="21"/>
              </w:rPr>
            </w:pPr>
            <w:r>
              <w:rPr>
                <w:rFonts w:hint="eastAsia" w:ascii="宋体" w:hAnsi="宋体"/>
                <w:color w:val="auto"/>
                <w:szCs w:val="21"/>
              </w:rPr>
              <w:t>职称</w:t>
            </w:r>
          </w:p>
        </w:tc>
        <w:tc>
          <w:tcPr>
            <w:tcW w:w="4496" w:type="dxa"/>
            <w:gridSpan w:val="4"/>
            <w:vAlign w:val="center"/>
          </w:tcPr>
          <w:p w14:paraId="24A7E733">
            <w:pPr>
              <w:jc w:val="center"/>
              <w:rPr>
                <w:rFonts w:hint="eastAsia" w:ascii="宋体" w:hAnsi="宋体"/>
                <w:color w:val="auto"/>
                <w:szCs w:val="21"/>
              </w:rPr>
            </w:pPr>
            <w:r>
              <w:rPr>
                <w:rFonts w:hint="eastAsia" w:ascii="宋体" w:hAnsi="宋体"/>
                <w:color w:val="auto"/>
                <w:szCs w:val="21"/>
              </w:rPr>
              <w:t>证书</w:t>
            </w:r>
          </w:p>
        </w:tc>
        <w:tc>
          <w:tcPr>
            <w:tcW w:w="1105" w:type="dxa"/>
            <w:vMerge w:val="restart"/>
            <w:vAlign w:val="center"/>
          </w:tcPr>
          <w:p w14:paraId="585D64CB">
            <w:pPr>
              <w:jc w:val="center"/>
              <w:rPr>
                <w:rFonts w:hint="eastAsia" w:ascii="宋体" w:hAnsi="宋体"/>
                <w:color w:val="auto"/>
                <w:szCs w:val="21"/>
              </w:rPr>
            </w:pPr>
            <w:r>
              <w:rPr>
                <w:rFonts w:hint="eastAsia" w:ascii="宋体" w:hAnsi="宋体"/>
                <w:color w:val="auto"/>
                <w:szCs w:val="21"/>
              </w:rPr>
              <w:t>备注</w:t>
            </w:r>
          </w:p>
        </w:tc>
      </w:tr>
      <w:tr w14:paraId="4C42E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Merge w:val="continue"/>
            <w:vAlign w:val="center"/>
          </w:tcPr>
          <w:p w14:paraId="5A517259">
            <w:pPr>
              <w:jc w:val="center"/>
              <w:rPr>
                <w:rFonts w:hint="eastAsia" w:ascii="宋体" w:hAnsi="宋体"/>
                <w:color w:val="auto"/>
                <w:szCs w:val="21"/>
              </w:rPr>
            </w:pPr>
          </w:p>
        </w:tc>
        <w:tc>
          <w:tcPr>
            <w:tcW w:w="1395" w:type="dxa"/>
            <w:vMerge w:val="continue"/>
            <w:vAlign w:val="center"/>
          </w:tcPr>
          <w:p w14:paraId="019C9E12">
            <w:pPr>
              <w:jc w:val="center"/>
              <w:rPr>
                <w:rFonts w:hint="eastAsia" w:ascii="宋体" w:hAnsi="宋体"/>
                <w:color w:val="auto"/>
                <w:szCs w:val="21"/>
              </w:rPr>
            </w:pPr>
          </w:p>
        </w:tc>
        <w:tc>
          <w:tcPr>
            <w:tcW w:w="1035" w:type="dxa"/>
            <w:vMerge w:val="continue"/>
            <w:vAlign w:val="center"/>
          </w:tcPr>
          <w:p w14:paraId="7068D4EE">
            <w:pPr>
              <w:jc w:val="center"/>
              <w:rPr>
                <w:rFonts w:hint="eastAsia" w:ascii="宋体" w:hAnsi="宋体"/>
                <w:color w:val="auto"/>
                <w:szCs w:val="21"/>
              </w:rPr>
            </w:pPr>
          </w:p>
        </w:tc>
        <w:tc>
          <w:tcPr>
            <w:tcW w:w="1452" w:type="dxa"/>
            <w:vAlign w:val="center"/>
          </w:tcPr>
          <w:p w14:paraId="00BD97BE">
            <w:pPr>
              <w:jc w:val="center"/>
              <w:rPr>
                <w:rFonts w:hint="eastAsia" w:ascii="宋体" w:hAnsi="宋体"/>
                <w:color w:val="auto"/>
                <w:szCs w:val="21"/>
              </w:rPr>
            </w:pPr>
            <w:r>
              <w:rPr>
                <w:rFonts w:hint="eastAsia" w:ascii="宋体" w:hAnsi="宋体"/>
                <w:color w:val="auto"/>
                <w:szCs w:val="21"/>
              </w:rPr>
              <w:t>证书名称</w:t>
            </w:r>
          </w:p>
        </w:tc>
        <w:tc>
          <w:tcPr>
            <w:tcW w:w="944" w:type="dxa"/>
            <w:vAlign w:val="center"/>
          </w:tcPr>
          <w:p w14:paraId="0472F49F">
            <w:pPr>
              <w:jc w:val="center"/>
              <w:rPr>
                <w:rFonts w:hint="eastAsia" w:ascii="宋体" w:hAnsi="宋体"/>
                <w:color w:val="auto"/>
                <w:szCs w:val="21"/>
              </w:rPr>
            </w:pPr>
            <w:r>
              <w:rPr>
                <w:rFonts w:hint="eastAsia" w:ascii="宋体" w:hAnsi="宋体"/>
                <w:color w:val="auto"/>
                <w:szCs w:val="21"/>
              </w:rPr>
              <w:t>级别</w:t>
            </w:r>
          </w:p>
        </w:tc>
        <w:tc>
          <w:tcPr>
            <w:tcW w:w="1017" w:type="dxa"/>
            <w:vAlign w:val="center"/>
          </w:tcPr>
          <w:p w14:paraId="491F2BC3">
            <w:pPr>
              <w:jc w:val="center"/>
              <w:rPr>
                <w:rFonts w:hint="eastAsia" w:ascii="宋体" w:hAnsi="宋体"/>
                <w:color w:val="auto"/>
                <w:szCs w:val="21"/>
              </w:rPr>
            </w:pPr>
            <w:r>
              <w:rPr>
                <w:rFonts w:hint="eastAsia" w:ascii="宋体" w:hAnsi="宋体"/>
                <w:color w:val="auto"/>
                <w:szCs w:val="21"/>
              </w:rPr>
              <w:t>证号</w:t>
            </w:r>
          </w:p>
        </w:tc>
        <w:tc>
          <w:tcPr>
            <w:tcW w:w="1083" w:type="dxa"/>
            <w:vAlign w:val="center"/>
          </w:tcPr>
          <w:p w14:paraId="4BDEBF6C">
            <w:pPr>
              <w:jc w:val="center"/>
              <w:rPr>
                <w:rFonts w:hint="eastAsia" w:ascii="宋体" w:hAnsi="宋体"/>
                <w:color w:val="auto"/>
                <w:szCs w:val="21"/>
              </w:rPr>
            </w:pPr>
            <w:r>
              <w:rPr>
                <w:rFonts w:hint="eastAsia" w:ascii="宋体" w:hAnsi="宋体"/>
                <w:color w:val="auto"/>
                <w:szCs w:val="21"/>
              </w:rPr>
              <w:t>专业</w:t>
            </w:r>
          </w:p>
        </w:tc>
        <w:tc>
          <w:tcPr>
            <w:tcW w:w="1105" w:type="dxa"/>
            <w:vMerge w:val="continue"/>
            <w:vAlign w:val="center"/>
          </w:tcPr>
          <w:p w14:paraId="3B627C2F">
            <w:pPr>
              <w:jc w:val="center"/>
              <w:rPr>
                <w:rFonts w:hint="eastAsia" w:ascii="宋体" w:hAnsi="宋体"/>
                <w:color w:val="auto"/>
                <w:szCs w:val="21"/>
              </w:rPr>
            </w:pPr>
          </w:p>
        </w:tc>
      </w:tr>
      <w:tr w14:paraId="50FF6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3E355D49">
            <w:pPr>
              <w:jc w:val="center"/>
              <w:rPr>
                <w:rFonts w:hint="eastAsia" w:ascii="宋体" w:hAnsi="宋体"/>
                <w:color w:val="auto"/>
                <w:szCs w:val="21"/>
              </w:rPr>
            </w:pPr>
          </w:p>
        </w:tc>
        <w:tc>
          <w:tcPr>
            <w:tcW w:w="1395" w:type="dxa"/>
            <w:vAlign w:val="center"/>
          </w:tcPr>
          <w:p w14:paraId="20488B91">
            <w:pPr>
              <w:jc w:val="center"/>
              <w:rPr>
                <w:rFonts w:hint="eastAsia" w:ascii="宋体" w:hAnsi="宋体"/>
                <w:color w:val="auto"/>
                <w:szCs w:val="21"/>
              </w:rPr>
            </w:pPr>
          </w:p>
        </w:tc>
        <w:tc>
          <w:tcPr>
            <w:tcW w:w="1035" w:type="dxa"/>
            <w:vAlign w:val="center"/>
          </w:tcPr>
          <w:p w14:paraId="1A1F0F8C">
            <w:pPr>
              <w:jc w:val="center"/>
              <w:rPr>
                <w:rFonts w:hint="eastAsia" w:ascii="宋体" w:hAnsi="宋体"/>
                <w:color w:val="auto"/>
                <w:szCs w:val="21"/>
              </w:rPr>
            </w:pPr>
          </w:p>
        </w:tc>
        <w:tc>
          <w:tcPr>
            <w:tcW w:w="1452" w:type="dxa"/>
            <w:vAlign w:val="center"/>
          </w:tcPr>
          <w:p w14:paraId="34A4277B">
            <w:pPr>
              <w:jc w:val="center"/>
              <w:rPr>
                <w:rFonts w:hint="eastAsia" w:ascii="宋体" w:hAnsi="宋体"/>
                <w:color w:val="auto"/>
                <w:szCs w:val="21"/>
              </w:rPr>
            </w:pPr>
          </w:p>
        </w:tc>
        <w:tc>
          <w:tcPr>
            <w:tcW w:w="944" w:type="dxa"/>
            <w:vAlign w:val="center"/>
          </w:tcPr>
          <w:p w14:paraId="188B6750">
            <w:pPr>
              <w:jc w:val="center"/>
              <w:rPr>
                <w:rFonts w:hint="eastAsia" w:ascii="宋体" w:hAnsi="宋体"/>
                <w:color w:val="auto"/>
                <w:szCs w:val="21"/>
              </w:rPr>
            </w:pPr>
          </w:p>
        </w:tc>
        <w:tc>
          <w:tcPr>
            <w:tcW w:w="1017" w:type="dxa"/>
            <w:vAlign w:val="center"/>
          </w:tcPr>
          <w:p w14:paraId="3707226F">
            <w:pPr>
              <w:jc w:val="center"/>
              <w:rPr>
                <w:rFonts w:hint="eastAsia" w:ascii="宋体" w:hAnsi="宋体"/>
                <w:color w:val="auto"/>
                <w:szCs w:val="21"/>
              </w:rPr>
            </w:pPr>
          </w:p>
        </w:tc>
        <w:tc>
          <w:tcPr>
            <w:tcW w:w="1083" w:type="dxa"/>
            <w:vAlign w:val="center"/>
          </w:tcPr>
          <w:p w14:paraId="27C0C2E9">
            <w:pPr>
              <w:jc w:val="center"/>
              <w:rPr>
                <w:rFonts w:hint="eastAsia" w:ascii="宋体" w:hAnsi="宋体"/>
                <w:color w:val="auto"/>
                <w:szCs w:val="21"/>
              </w:rPr>
            </w:pPr>
          </w:p>
        </w:tc>
        <w:tc>
          <w:tcPr>
            <w:tcW w:w="1105" w:type="dxa"/>
            <w:vAlign w:val="center"/>
          </w:tcPr>
          <w:p w14:paraId="29021C2B">
            <w:pPr>
              <w:jc w:val="center"/>
              <w:rPr>
                <w:rFonts w:hint="eastAsia" w:ascii="宋体" w:hAnsi="宋体"/>
                <w:color w:val="auto"/>
                <w:szCs w:val="21"/>
              </w:rPr>
            </w:pPr>
          </w:p>
        </w:tc>
      </w:tr>
      <w:tr w14:paraId="61CAE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7143B64F">
            <w:pPr>
              <w:jc w:val="center"/>
              <w:rPr>
                <w:rFonts w:hint="eastAsia" w:ascii="宋体" w:hAnsi="宋体"/>
                <w:color w:val="auto"/>
                <w:szCs w:val="21"/>
              </w:rPr>
            </w:pPr>
          </w:p>
        </w:tc>
        <w:tc>
          <w:tcPr>
            <w:tcW w:w="1395" w:type="dxa"/>
            <w:vAlign w:val="center"/>
          </w:tcPr>
          <w:p w14:paraId="4DB5D728">
            <w:pPr>
              <w:jc w:val="center"/>
              <w:rPr>
                <w:rFonts w:hint="eastAsia" w:ascii="宋体" w:hAnsi="宋体"/>
                <w:color w:val="auto"/>
                <w:szCs w:val="21"/>
              </w:rPr>
            </w:pPr>
          </w:p>
        </w:tc>
        <w:tc>
          <w:tcPr>
            <w:tcW w:w="1035" w:type="dxa"/>
            <w:vAlign w:val="center"/>
          </w:tcPr>
          <w:p w14:paraId="540BE715">
            <w:pPr>
              <w:jc w:val="center"/>
              <w:rPr>
                <w:rFonts w:hint="eastAsia" w:ascii="宋体" w:hAnsi="宋体"/>
                <w:color w:val="auto"/>
                <w:szCs w:val="21"/>
              </w:rPr>
            </w:pPr>
          </w:p>
        </w:tc>
        <w:tc>
          <w:tcPr>
            <w:tcW w:w="1452" w:type="dxa"/>
            <w:vAlign w:val="center"/>
          </w:tcPr>
          <w:p w14:paraId="67ACEA64">
            <w:pPr>
              <w:jc w:val="center"/>
              <w:rPr>
                <w:rFonts w:hint="eastAsia" w:ascii="宋体" w:hAnsi="宋体"/>
                <w:color w:val="auto"/>
                <w:szCs w:val="21"/>
              </w:rPr>
            </w:pPr>
          </w:p>
        </w:tc>
        <w:tc>
          <w:tcPr>
            <w:tcW w:w="944" w:type="dxa"/>
            <w:vAlign w:val="center"/>
          </w:tcPr>
          <w:p w14:paraId="6FA8EF64">
            <w:pPr>
              <w:jc w:val="center"/>
              <w:rPr>
                <w:rFonts w:hint="eastAsia" w:ascii="宋体" w:hAnsi="宋体"/>
                <w:color w:val="auto"/>
                <w:szCs w:val="21"/>
              </w:rPr>
            </w:pPr>
          </w:p>
        </w:tc>
        <w:tc>
          <w:tcPr>
            <w:tcW w:w="1017" w:type="dxa"/>
            <w:vAlign w:val="center"/>
          </w:tcPr>
          <w:p w14:paraId="3EF4D334">
            <w:pPr>
              <w:jc w:val="center"/>
              <w:rPr>
                <w:rFonts w:hint="eastAsia" w:ascii="宋体" w:hAnsi="宋体"/>
                <w:color w:val="auto"/>
                <w:szCs w:val="21"/>
              </w:rPr>
            </w:pPr>
          </w:p>
        </w:tc>
        <w:tc>
          <w:tcPr>
            <w:tcW w:w="1083" w:type="dxa"/>
            <w:vAlign w:val="center"/>
          </w:tcPr>
          <w:p w14:paraId="51573FBE">
            <w:pPr>
              <w:jc w:val="center"/>
              <w:rPr>
                <w:rFonts w:hint="eastAsia" w:ascii="宋体" w:hAnsi="宋体"/>
                <w:color w:val="auto"/>
                <w:szCs w:val="21"/>
              </w:rPr>
            </w:pPr>
          </w:p>
        </w:tc>
        <w:tc>
          <w:tcPr>
            <w:tcW w:w="1105" w:type="dxa"/>
            <w:vAlign w:val="center"/>
          </w:tcPr>
          <w:p w14:paraId="1B352B4D">
            <w:pPr>
              <w:jc w:val="center"/>
              <w:rPr>
                <w:rFonts w:hint="eastAsia" w:ascii="宋体" w:hAnsi="宋体"/>
                <w:color w:val="auto"/>
                <w:szCs w:val="21"/>
              </w:rPr>
            </w:pPr>
          </w:p>
        </w:tc>
      </w:tr>
      <w:tr w14:paraId="70744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3F7AADCF">
            <w:pPr>
              <w:jc w:val="center"/>
              <w:rPr>
                <w:rFonts w:hint="eastAsia" w:ascii="宋体" w:hAnsi="宋体"/>
                <w:color w:val="auto"/>
                <w:szCs w:val="21"/>
              </w:rPr>
            </w:pPr>
          </w:p>
        </w:tc>
        <w:tc>
          <w:tcPr>
            <w:tcW w:w="1395" w:type="dxa"/>
            <w:vAlign w:val="center"/>
          </w:tcPr>
          <w:p w14:paraId="606AC453">
            <w:pPr>
              <w:jc w:val="center"/>
              <w:rPr>
                <w:rFonts w:hint="eastAsia" w:ascii="宋体" w:hAnsi="宋体"/>
                <w:color w:val="auto"/>
                <w:szCs w:val="21"/>
              </w:rPr>
            </w:pPr>
          </w:p>
        </w:tc>
        <w:tc>
          <w:tcPr>
            <w:tcW w:w="1035" w:type="dxa"/>
            <w:vAlign w:val="center"/>
          </w:tcPr>
          <w:p w14:paraId="7AFA9418">
            <w:pPr>
              <w:jc w:val="center"/>
              <w:rPr>
                <w:rFonts w:hint="eastAsia" w:ascii="宋体" w:hAnsi="宋体"/>
                <w:color w:val="auto"/>
                <w:szCs w:val="21"/>
              </w:rPr>
            </w:pPr>
          </w:p>
        </w:tc>
        <w:tc>
          <w:tcPr>
            <w:tcW w:w="1452" w:type="dxa"/>
            <w:vAlign w:val="center"/>
          </w:tcPr>
          <w:p w14:paraId="7A1044CA">
            <w:pPr>
              <w:jc w:val="center"/>
              <w:rPr>
                <w:rFonts w:hint="eastAsia" w:ascii="宋体" w:hAnsi="宋体"/>
                <w:color w:val="auto"/>
                <w:szCs w:val="21"/>
              </w:rPr>
            </w:pPr>
          </w:p>
        </w:tc>
        <w:tc>
          <w:tcPr>
            <w:tcW w:w="944" w:type="dxa"/>
            <w:vAlign w:val="center"/>
          </w:tcPr>
          <w:p w14:paraId="5D2C051F">
            <w:pPr>
              <w:jc w:val="center"/>
              <w:rPr>
                <w:rFonts w:hint="eastAsia" w:ascii="宋体" w:hAnsi="宋体"/>
                <w:color w:val="auto"/>
                <w:szCs w:val="21"/>
              </w:rPr>
            </w:pPr>
          </w:p>
        </w:tc>
        <w:tc>
          <w:tcPr>
            <w:tcW w:w="1017" w:type="dxa"/>
            <w:vAlign w:val="center"/>
          </w:tcPr>
          <w:p w14:paraId="7CCD6D52">
            <w:pPr>
              <w:jc w:val="center"/>
              <w:rPr>
                <w:rFonts w:hint="eastAsia" w:ascii="宋体" w:hAnsi="宋体"/>
                <w:color w:val="auto"/>
                <w:szCs w:val="21"/>
              </w:rPr>
            </w:pPr>
          </w:p>
        </w:tc>
        <w:tc>
          <w:tcPr>
            <w:tcW w:w="1083" w:type="dxa"/>
            <w:vAlign w:val="center"/>
          </w:tcPr>
          <w:p w14:paraId="6FE7D4AD">
            <w:pPr>
              <w:jc w:val="center"/>
              <w:rPr>
                <w:rFonts w:hint="eastAsia" w:ascii="宋体" w:hAnsi="宋体"/>
                <w:color w:val="auto"/>
                <w:szCs w:val="21"/>
              </w:rPr>
            </w:pPr>
          </w:p>
        </w:tc>
        <w:tc>
          <w:tcPr>
            <w:tcW w:w="1105" w:type="dxa"/>
            <w:vAlign w:val="center"/>
          </w:tcPr>
          <w:p w14:paraId="2BD6F4A6">
            <w:pPr>
              <w:jc w:val="center"/>
              <w:rPr>
                <w:rFonts w:hint="eastAsia" w:ascii="宋体" w:hAnsi="宋体"/>
                <w:color w:val="auto"/>
                <w:szCs w:val="21"/>
              </w:rPr>
            </w:pPr>
          </w:p>
        </w:tc>
      </w:tr>
      <w:tr w14:paraId="6DBBD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387823B4">
            <w:pPr>
              <w:jc w:val="center"/>
              <w:rPr>
                <w:rFonts w:hint="eastAsia" w:ascii="宋体" w:hAnsi="宋体"/>
                <w:color w:val="auto"/>
                <w:szCs w:val="21"/>
              </w:rPr>
            </w:pPr>
          </w:p>
        </w:tc>
        <w:tc>
          <w:tcPr>
            <w:tcW w:w="1395" w:type="dxa"/>
            <w:vAlign w:val="center"/>
          </w:tcPr>
          <w:p w14:paraId="73FE8CA0">
            <w:pPr>
              <w:jc w:val="center"/>
              <w:rPr>
                <w:rFonts w:hint="eastAsia" w:ascii="宋体" w:hAnsi="宋体"/>
                <w:color w:val="auto"/>
                <w:szCs w:val="21"/>
              </w:rPr>
            </w:pPr>
          </w:p>
        </w:tc>
        <w:tc>
          <w:tcPr>
            <w:tcW w:w="1035" w:type="dxa"/>
            <w:vAlign w:val="center"/>
          </w:tcPr>
          <w:p w14:paraId="0765C6F9">
            <w:pPr>
              <w:jc w:val="center"/>
              <w:rPr>
                <w:rFonts w:hint="eastAsia" w:ascii="宋体" w:hAnsi="宋体"/>
                <w:color w:val="auto"/>
                <w:szCs w:val="21"/>
              </w:rPr>
            </w:pPr>
          </w:p>
        </w:tc>
        <w:tc>
          <w:tcPr>
            <w:tcW w:w="1452" w:type="dxa"/>
            <w:vAlign w:val="center"/>
          </w:tcPr>
          <w:p w14:paraId="668EE0D9">
            <w:pPr>
              <w:jc w:val="center"/>
              <w:rPr>
                <w:rFonts w:hint="eastAsia" w:ascii="宋体" w:hAnsi="宋体"/>
                <w:color w:val="auto"/>
                <w:szCs w:val="21"/>
              </w:rPr>
            </w:pPr>
          </w:p>
        </w:tc>
        <w:tc>
          <w:tcPr>
            <w:tcW w:w="944" w:type="dxa"/>
            <w:vAlign w:val="center"/>
          </w:tcPr>
          <w:p w14:paraId="1254CCFC">
            <w:pPr>
              <w:jc w:val="center"/>
              <w:rPr>
                <w:rFonts w:hint="eastAsia" w:ascii="宋体" w:hAnsi="宋体"/>
                <w:color w:val="auto"/>
                <w:szCs w:val="21"/>
              </w:rPr>
            </w:pPr>
          </w:p>
        </w:tc>
        <w:tc>
          <w:tcPr>
            <w:tcW w:w="1017" w:type="dxa"/>
            <w:vAlign w:val="center"/>
          </w:tcPr>
          <w:p w14:paraId="5A48A574">
            <w:pPr>
              <w:jc w:val="center"/>
              <w:rPr>
                <w:rFonts w:hint="eastAsia" w:ascii="宋体" w:hAnsi="宋体"/>
                <w:color w:val="auto"/>
                <w:szCs w:val="21"/>
              </w:rPr>
            </w:pPr>
          </w:p>
        </w:tc>
        <w:tc>
          <w:tcPr>
            <w:tcW w:w="1083" w:type="dxa"/>
            <w:vAlign w:val="center"/>
          </w:tcPr>
          <w:p w14:paraId="30003F0A">
            <w:pPr>
              <w:jc w:val="center"/>
              <w:rPr>
                <w:rFonts w:hint="eastAsia" w:ascii="宋体" w:hAnsi="宋体"/>
                <w:color w:val="auto"/>
                <w:szCs w:val="21"/>
              </w:rPr>
            </w:pPr>
          </w:p>
        </w:tc>
        <w:tc>
          <w:tcPr>
            <w:tcW w:w="1105" w:type="dxa"/>
            <w:vAlign w:val="center"/>
          </w:tcPr>
          <w:p w14:paraId="147F2BB1">
            <w:pPr>
              <w:jc w:val="center"/>
              <w:rPr>
                <w:rFonts w:hint="eastAsia" w:ascii="宋体" w:hAnsi="宋体"/>
                <w:color w:val="auto"/>
                <w:szCs w:val="21"/>
              </w:rPr>
            </w:pPr>
          </w:p>
        </w:tc>
      </w:tr>
      <w:tr w14:paraId="7033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5B0AB55E">
            <w:pPr>
              <w:jc w:val="center"/>
              <w:rPr>
                <w:rFonts w:hint="eastAsia" w:ascii="宋体" w:hAnsi="宋体"/>
                <w:color w:val="auto"/>
                <w:szCs w:val="21"/>
              </w:rPr>
            </w:pPr>
          </w:p>
        </w:tc>
        <w:tc>
          <w:tcPr>
            <w:tcW w:w="1395" w:type="dxa"/>
            <w:vAlign w:val="center"/>
          </w:tcPr>
          <w:p w14:paraId="44DCC49E">
            <w:pPr>
              <w:jc w:val="center"/>
              <w:rPr>
                <w:rFonts w:hint="eastAsia" w:ascii="宋体" w:hAnsi="宋体"/>
                <w:color w:val="auto"/>
                <w:szCs w:val="21"/>
              </w:rPr>
            </w:pPr>
          </w:p>
        </w:tc>
        <w:tc>
          <w:tcPr>
            <w:tcW w:w="1035" w:type="dxa"/>
            <w:vAlign w:val="center"/>
          </w:tcPr>
          <w:p w14:paraId="646FC9B2">
            <w:pPr>
              <w:jc w:val="center"/>
              <w:rPr>
                <w:rFonts w:hint="eastAsia" w:ascii="宋体" w:hAnsi="宋体"/>
                <w:color w:val="auto"/>
                <w:szCs w:val="21"/>
              </w:rPr>
            </w:pPr>
          </w:p>
        </w:tc>
        <w:tc>
          <w:tcPr>
            <w:tcW w:w="1452" w:type="dxa"/>
            <w:vAlign w:val="center"/>
          </w:tcPr>
          <w:p w14:paraId="2F99ABE0">
            <w:pPr>
              <w:jc w:val="center"/>
              <w:rPr>
                <w:rFonts w:hint="eastAsia" w:ascii="宋体" w:hAnsi="宋体"/>
                <w:color w:val="auto"/>
                <w:szCs w:val="21"/>
              </w:rPr>
            </w:pPr>
          </w:p>
        </w:tc>
        <w:tc>
          <w:tcPr>
            <w:tcW w:w="944" w:type="dxa"/>
            <w:vAlign w:val="center"/>
          </w:tcPr>
          <w:p w14:paraId="35636DAB">
            <w:pPr>
              <w:jc w:val="center"/>
              <w:rPr>
                <w:rFonts w:hint="eastAsia" w:ascii="宋体" w:hAnsi="宋体"/>
                <w:color w:val="auto"/>
                <w:szCs w:val="21"/>
              </w:rPr>
            </w:pPr>
          </w:p>
        </w:tc>
        <w:tc>
          <w:tcPr>
            <w:tcW w:w="1017" w:type="dxa"/>
            <w:vAlign w:val="center"/>
          </w:tcPr>
          <w:p w14:paraId="427302ED">
            <w:pPr>
              <w:jc w:val="center"/>
              <w:rPr>
                <w:rFonts w:hint="eastAsia" w:ascii="宋体" w:hAnsi="宋体"/>
                <w:color w:val="auto"/>
                <w:szCs w:val="21"/>
              </w:rPr>
            </w:pPr>
          </w:p>
        </w:tc>
        <w:tc>
          <w:tcPr>
            <w:tcW w:w="1083" w:type="dxa"/>
            <w:vAlign w:val="center"/>
          </w:tcPr>
          <w:p w14:paraId="514414B7">
            <w:pPr>
              <w:jc w:val="center"/>
              <w:rPr>
                <w:rFonts w:hint="eastAsia" w:ascii="宋体" w:hAnsi="宋体"/>
                <w:color w:val="auto"/>
                <w:szCs w:val="21"/>
              </w:rPr>
            </w:pPr>
          </w:p>
        </w:tc>
        <w:tc>
          <w:tcPr>
            <w:tcW w:w="1105" w:type="dxa"/>
            <w:vAlign w:val="center"/>
          </w:tcPr>
          <w:p w14:paraId="3BDB896C">
            <w:pPr>
              <w:jc w:val="center"/>
              <w:rPr>
                <w:rFonts w:hint="eastAsia" w:ascii="宋体" w:hAnsi="宋体"/>
                <w:color w:val="auto"/>
                <w:szCs w:val="21"/>
              </w:rPr>
            </w:pPr>
          </w:p>
        </w:tc>
      </w:tr>
      <w:tr w14:paraId="0152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0C33BA92">
            <w:pPr>
              <w:jc w:val="center"/>
              <w:rPr>
                <w:rFonts w:hint="eastAsia" w:ascii="宋体" w:hAnsi="宋体"/>
                <w:color w:val="auto"/>
                <w:szCs w:val="21"/>
              </w:rPr>
            </w:pPr>
          </w:p>
        </w:tc>
        <w:tc>
          <w:tcPr>
            <w:tcW w:w="1395" w:type="dxa"/>
            <w:vAlign w:val="center"/>
          </w:tcPr>
          <w:p w14:paraId="37893CD8">
            <w:pPr>
              <w:jc w:val="center"/>
              <w:rPr>
                <w:rFonts w:hint="eastAsia" w:ascii="宋体" w:hAnsi="宋体"/>
                <w:color w:val="auto"/>
                <w:szCs w:val="21"/>
              </w:rPr>
            </w:pPr>
          </w:p>
        </w:tc>
        <w:tc>
          <w:tcPr>
            <w:tcW w:w="1035" w:type="dxa"/>
            <w:vAlign w:val="center"/>
          </w:tcPr>
          <w:p w14:paraId="26F00116">
            <w:pPr>
              <w:jc w:val="center"/>
              <w:rPr>
                <w:rFonts w:hint="eastAsia" w:ascii="宋体" w:hAnsi="宋体"/>
                <w:color w:val="auto"/>
                <w:szCs w:val="21"/>
              </w:rPr>
            </w:pPr>
          </w:p>
        </w:tc>
        <w:tc>
          <w:tcPr>
            <w:tcW w:w="1452" w:type="dxa"/>
            <w:vAlign w:val="center"/>
          </w:tcPr>
          <w:p w14:paraId="606681EE">
            <w:pPr>
              <w:jc w:val="center"/>
              <w:rPr>
                <w:rFonts w:hint="eastAsia" w:ascii="宋体" w:hAnsi="宋体"/>
                <w:color w:val="auto"/>
                <w:szCs w:val="21"/>
              </w:rPr>
            </w:pPr>
          </w:p>
        </w:tc>
        <w:tc>
          <w:tcPr>
            <w:tcW w:w="944" w:type="dxa"/>
            <w:vAlign w:val="center"/>
          </w:tcPr>
          <w:p w14:paraId="5793789A">
            <w:pPr>
              <w:jc w:val="center"/>
              <w:rPr>
                <w:rFonts w:hint="eastAsia" w:ascii="宋体" w:hAnsi="宋体"/>
                <w:color w:val="auto"/>
                <w:szCs w:val="21"/>
              </w:rPr>
            </w:pPr>
          </w:p>
        </w:tc>
        <w:tc>
          <w:tcPr>
            <w:tcW w:w="1017" w:type="dxa"/>
            <w:vAlign w:val="center"/>
          </w:tcPr>
          <w:p w14:paraId="4F86906C">
            <w:pPr>
              <w:jc w:val="center"/>
              <w:rPr>
                <w:rFonts w:hint="eastAsia" w:ascii="宋体" w:hAnsi="宋体"/>
                <w:color w:val="auto"/>
                <w:szCs w:val="21"/>
              </w:rPr>
            </w:pPr>
          </w:p>
        </w:tc>
        <w:tc>
          <w:tcPr>
            <w:tcW w:w="1083" w:type="dxa"/>
            <w:vAlign w:val="center"/>
          </w:tcPr>
          <w:p w14:paraId="785F6F53">
            <w:pPr>
              <w:jc w:val="center"/>
              <w:rPr>
                <w:rFonts w:hint="eastAsia" w:ascii="宋体" w:hAnsi="宋体"/>
                <w:color w:val="auto"/>
                <w:szCs w:val="21"/>
              </w:rPr>
            </w:pPr>
          </w:p>
        </w:tc>
        <w:tc>
          <w:tcPr>
            <w:tcW w:w="1105" w:type="dxa"/>
            <w:vAlign w:val="center"/>
          </w:tcPr>
          <w:p w14:paraId="003EB92B">
            <w:pPr>
              <w:jc w:val="center"/>
              <w:rPr>
                <w:rFonts w:hint="eastAsia" w:ascii="宋体" w:hAnsi="宋体"/>
                <w:color w:val="auto"/>
                <w:szCs w:val="21"/>
              </w:rPr>
            </w:pPr>
          </w:p>
        </w:tc>
      </w:tr>
      <w:tr w14:paraId="0EA2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4FD5BD10">
            <w:pPr>
              <w:jc w:val="center"/>
              <w:rPr>
                <w:rFonts w:hint="eastAsia" w:ascii="宋体" w:hAnsi="宋体"/>
                <w:color w:val="auto"/>
                <w:szCs w:val="21"/>
              </w:rPr>
            </w:pPr>
          </w:p>
        </w:tc>
        <w:tc>
          <w:tcPr>
            <w:tcW w:w="1395" w:type="dxa"/>
            <w:vAlign w:val="center"/>
          </w:tcPr>
          <w:p w14:paraId="55C30110">
            <w:pPr>
              <w:jc w:val="center"/>
              <w:rPr>
                <w:rFonts w:hint="eastAsia" w:ascii="宋体" w:hAnsi="宋体"/>
                <w:color w:val="auto"/>
                <w:szCs w:val="21"/>
              </w:rPr>
            </w:pPr>
          </w:p>
        </w:tc>
        <w:tc>
          <w:tcPr>
            <w:tcW w:w="1035" w:type="dxa"/>
            <w:vAlign w:val="center"/>
          </w:tcPr>
          <w:p w14:paraId="350CB7B4">
            <w:pPr>
              <w:jc w:val="center"/>
              <w:rPr>
                <w:rFonts w:hint="eastAsia" w:ascii="宋体" w:hAnsi="宋体"/>
                <w:color w:val="auto"/>
                <w:szCs w:val="21"/>
              </w:rPr>
            </w:pPr>
          </w:p>
        </w:tc>
        <w:tc>
          <w:tcPr>
            <w:tcW w:w="1452" w:type="dxa"/>
            <w:vAlign w:val="center"/>
          </w:tcPr>
          <w:p w14:paraId="43F035A7">
            <w:pPr>
              <w:jc w:val="center"/>
              <w:rPr>
                <w:rFonts w:hint="eastAsia" w:ascii="宋体" w:hAnsi="宋体"/>
                <w:color w:val="auto"/>
                <w:szCs w:val="21"/>
              </w:rPr>
            </w:pPr>
          </w:p>
        </w:tc>
        <w:tc>
          <w:tcPr>
            <w:tcW w:w="944" w:type="dxa"/>
            <w:vAlign w:val="center"/>
          </w:tcPr>
          <w:p w14:paraId="71472986">
            <w:pPr>
              <w:jc w:val="center"/>
              <w:rPr>
                <w:rFonts w:hint="eastAsia" w:ascii="宋体" w:hAnsi="宋体"/>
                <w:color w:val="auto"/>
                <w:szCs w:val="21"/>
              </w:rPr>
            </w:pPr>
          </w:p>
        </w:tc>
        <w:tc>
          <w:tcPr>
            <w:tcW w:w="1017" w:type="dxa"/>
            <w:vAlign w:val="center"/>
          </w:tcPr>
          <w:p w14:paraId="5210DC0F">
            <w:pPr>
              <w:jc w:val="center"/>
              <w:rPr>
                <w:rFonts w:hint="eastAsia" w:ascii="宋体" w:hAnsi="宋体"/>
                <w:color w:val="auto"/>
                <w:szCs w:val="21"/>
              </w:rPr>
            </w:pPr>
          </w:p>
        </w:tc>
        <w:tc>
          <w:tcPr>
            <w:tcW w:w="1083" w:type="dxa"/>
            <w:vAlign w:val="center"/>
          </w:tcPr>
          <w:p w14:paraId="6BD71851">
            <w:pPr>
              <w:jc w:val="center"/>
              <w:rPr>
                <w:rFonts w:hint="eastAsia" w:ascii="宋体" w:hAnsi="宋体"/>
                <w:color w:val="auto"/>
                <w:szCs w:val="21"/>
              </w:rPr>
            </w:pPr>
          </w:p>
        </w:tc>
        <w:tc>
          <w:tcPr>
            <w:tcW w:w="1105" w:type="dxa"/>
            <w:vAlign w:val="center"/>
          </w:tcPr>
          <w:p w14:paraId="35CCD8B5">
            <w:pPr>
              <w:jc w:val="center"/>
              <w:rPr>
                <w:rFonts w:hint="eastAsia" w:ascii="宋体" w:hAnsi="宋体"/>
                <w:color w:val="auto"/>
                <w:szCs w:val="21"/>
              </w:rPr>
            </w:pPr>
          </w:p>
        </w:tc>
      </w:tr>
      <w:tr w14:paraId="67E8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0737B98D">
            <w:pPr>
              <w:jc w:val="center"/>
              <w:rPr>
                <w:rFonts w:hint="eastAsia" w:ascii="宋体" w:hAnsi="宋体"/>
                <w:color w:val="auto"/>
                <w:szCs w:val="21"/>
              </w:rPr>
            </w:pPr>
          </w:p>
        </w:tc>
        <w:tc>
          <w:tcPr>
            <w:tcW w:w="1395" w:type="dxa"/>
            <w:vAlign w:val="center"/>
          </w:tcPr>
          <w:p w14:paraId="7FD615D5">
            <w:pPr>
              <w:jc w:val="center"/>
              <w:rPr>
                <w:rFonts w:hint="eastAsia" w:ascii="宋体" w:hAnsi="宋体"/>
                <w:color w:val="auto"/>
                <w:szCs w:val="21"/>
              </w:rPr>
            </w:pPr>
          </w:p>
        </w:tc>
        <w:tc>
          <w:tcPr>
            <w:tcW w:w="1035" w:type="dxa"/>
            <w:vAlign w:val="center"/>
          </w:tcPr>
          <w:p w14:paraId="531094BF">
            <w:pPr>
              <w:jc w:val="center"/>
              <w:rPr>
                <w:rFonts w:hint="eastAsia" w:ascii="宋体" w:hAnsi="宋体"/>
                <w:color w:val="auto"/>
                <w:szCs w:val="21"/>
              </w:rPr>
            </w:pPr>
          </w:p>
        </w:tc>
        <w:tc>
          <w:tcPr>
            <w:tcW w:w="1452" w:type="dxa"/>
            <w:vAlign w:val="center"/>
          </w:tcPr>
          <w:p w14:paraId="3E2753B4">
            <w:pPr>
              <w:jc w:val="center"/>
              <w:rPr>
                <w:rFonts w:hint="eastAsia" w:ascii="宋体" w:hAnsi="宋体"/>
                <w:color w:val="auto"/>
                <w:szCs w:val="21"/>
              </w:rPr>
            </w:pPr>
          </w:p>
        </w:tc>
        <w:tc>
          <w:tcPr>
            <w:tcW w:w="944" w:type="dxa"/>
            <w:vAlign w:val="center"/>
          </w:tcPr>
          <w:p w14:paraId="05C304F3">
            <w:pPr>
              <w:jc w:val="center"/>
              <w:rPr>
                <w:rFonts w:hint="eastAsia" w:ascii="宋体" w:hAnsi="宋体"/>
                <w:color w:val="auto"/>
                <w:szCs w:val="21"/>
              </w:rPr>
            </w:pPr>
          </w:p>
        </w:tc>
        <w:tc>
          <w:tcPr>
            <w:tcW w:w="1017" w:type="dxa"/>
            <w:vAlign w:val="center"/>
          </w:tcPr>
          <w:p w14:paraId="25A1889D">
            <w:pPr>
              <w:jc w:val="center"/>
              <w:rPr>
                <w:rFonts w:hint="eastAsia" w:ascii="宋体" w:hAnsi="宋体"/>
                <w:color w:val="auto"/>
                <w:szCs w:val="21"/>
              </w:rPr>
            </w:pPr>
          </w:p>
        </w:tc>
        <w:tc>
          <w:tcPr>
            <w:tcW w:w="1083" w:type="dxa"/>
            <w:vAlign w:val="center"/>
          </w:tcPr>
          <w:p w14:paraId="4102BA90">
            <w:pPr>
              <w:jc w:val="center"/>
              <w:rPr>
                <w:rFonts w:hint="eastAsia" w:ascii="宋体" w:hAnsi="宋体"/>
                <w:color w:val="auto"/>
                <w:szCs w:val="21"/>
              </w:rPr>
            </w:pPr>
          </w:p>
        </w:tc>
        <w:tc>
          <w:tcPr>
            <w:tcW w:w="1105" w:type="dxa"/>
            <w:vAlign w:val="center"/>
          </w:tcPr>
          <w:p w14:paraId="20BC03C0">
            <w:pPr>
              <w:jc w:val="center"/>
              <w:rPr>
                <w:rFonts w:hint="eastAsia" w:ascii="宋体" w:hAnsi="宋体"/>
                <w:color w:val="auto"/>
                <w:szCs w:val="21"/>
              </w:rPr>
            </w:pPr>
          </w:p>
        </w:tc>
      </w:tr>
      <w:tr w14:paraId="5EB42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62DA513F">
            <w:pPr>
              <w:jc w:val="center"/>
              <w:rPr>
                <w:rFonts w:hint="eastAsia" w:ascii="宋体" w:hAnsi="宋体"/>
                <w:color w:val="auto"/>
                <w:szCs w:val="21"/>
              </w:rPr>
            </w:pPr>
          </w:p>
        </w:tc>
        <w:tc>
          <w:tcPr>
            <w:tcW w:w="1395" w:type="dxa"/>
            <w:vAlign w:val="center"/>
          </w:tcPr>
          <w:p w14:paraId="6C6BBE18">
            <w:pPr>
              <w:jc w:val="center"/>
              <w:rPr>
                <w:rFonts w:hint="eastAsia" w:ascii="宋体" w:hAnsi="宋体"/>
                <w:color w:val="auto"/>
                <w:szCs w:val="21"/>
              </w:rPr>
            </w:pPr>
          </w:p>
        </w:tc>
        <w:tc>
          <w:tcPr>
            <w:tcW w:w="1035" w:type="dxa"/>
            <w:vAlign w:val="center"/>
          </w:tcPr>
          <w:p w14:paraId="7C68813F">
            <w:pPr>
              <w:jc w:val="center"/>
              <w:rPr>
                <w:rFonts w:hint="eastAsia" w:ascii="宋体" w:hAnsi="宋体"/>
                <w:color w:val="auto"/>
                <w:szCs w:val="21"/>
              </w:rPr>
            </w:pPr>
          </w:p>
        </w:tc>
        <w:tc>
          <w:tcPr>
            <w:tcW w:w="1452" w:type="dxa"/>
            <w:vAlign w:val="center"/>
          </w:tcPr>
          <w:p w14:paraId="503348B2">
            <w:pPr>
              <w:jc w:val="center"/>
              <w:rPr>
                <w:rFonts w:hint="eastAsia" w:ascii="宋体" w:hAnsi="宋体"/>
                <w:color w:val="auto"/>
                <w:szCs w:val="21"/>
              </w:rPr>
            </w:pPr>
          </w:p>
        </w:tc>
        <w:tc>
          <w:tcPr>
            <w:tcW w:w="944" w:type="dxa"/>
            <w:vAlign w:val="center"/>
          </w:tcPr>
          <w:p w14:paraId="5A78A36A">
            <w:pPr>
              <w:jc w:val="center"/>
              <w:rPr>
                <w:rFonts w:hint="eastAsia" w:ascii="宋体" w:hAnsi="宋体"/>
                <w:color w:val="auto"/>
                <w:szCs w:val="21"/>
              </w:rPr>
            </w:pPr>
          </w:p>
        </w:tc>
        <w:tc>
          <w:tcPr>
            <w:tcW w:w="1017" w:type="dxa"/>
            <w:vAlign w:val="center"/>
          </w:tcPr>
          <w:p w14:paraId="6121EFAC">
            <w:pPr>
              <w:jc w:val="center"/>
              <w:rPr>
                <w:rFonts w:hint="eastAsia" w:ascii="宋体" w:hAnsi="宋体"/>
                <w:color w:val="auto"/>
                <w:szCs w:val="21"/>
              </w:rPr>
            </w:pPr>
          </w:p>
        </w:tc>
        <w:tc>
          <w:tcPr>
            <w:tcW w:w="1083" w:type="dxa"/>
            <w:vAlign w:val="center"/>
          </w:tcPr>
          <w:p w14:paraId="6DF49557">
            <w:pPr>
              <w:jc w:val="center"/>
              <w:rPr>
                <w:rFonts w:hint="eastAsia" w:ascii="宋体" w:hAnsi="宋体"/>
                <w:color w:val="auto"/>
                <w:szCs w:val="21"/>
              </w:rPr>
            </w:pPr>
          </w:p>
        </w:tc>
        <w:tc>
          <w:tcPr>
            <w:tcW w:w="1105" w:type="dxa"/>
            <w:vAlign w:val="center"/>
          </w:tcPr>
          <w:p w14:paraId="5B120E1C">
            <w:pPr>
              <w:jc w:val="center"/>
              <w:rPr>
                <w:rFonts w:hint="eastAsia" w:ascii="宋体" w:hAnsi="宋体"/>
                <w:color w:val="auto"/>
                <w:szCs w:val="21"/>
              </w:rPr>
            </w:pPr>
          </w:p>
        </w:tc>
      </w:tr>
      <w:tr w14:paraId="33CF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40CB9047">
            <w:pPr>
              <w:jc w:val="center"/>
              <w:rPr>
                <w:rFonts w:hint="eastAsia" w:ascii="宋体" w:hAnsi="宋体"/>
                <w:color w:val="auto"/>
                <w:szCs w:val="21"/>
              </w:rPr>
            </w:pPr>
          </w:p>
        </w:tc>
        <w:tc>
          <w:tcPr>
            <w:tcW w:w="1395" w:type="dxa"/>
            <w:vAlign w:val="center"/>
          </w:tcPr>
          <w:p w14:paraId="5C6ACBFB">
            <w:pPr>
              <w:jc w:val="center"/>
              <w:rPr>
                <w:rFonts w:hint="eastAsia" w:ascii="宋体" w:hAnsi="宋体"/>
                <w:color w:val="auto"/>
                <w:szCs w:val="21"/>
              </w:rPr>
            </w:pPr>
          </w:p>
        </w:tc>
        <w:tc>
          <w:tcPr>
            <w:tcW w:w="1035" w:type="dxa"/>
            <w:vAlign w:val="center"/>
          </w:tcPr>
          <w:p w14:paraId="0820545F">
            <w:pPr>
              <w:jc w:val="center"/>
              <w:rPr>
                <w:rFonts w:hint="eastAsia" w:ascii="宋体" w:hAnsi="宋体"/>
                <w:color w:val="auto"/>
                <w:szCs w:val="21"/>
              </w:rPr>
            </w:pPr>
          </w:p>
        </w:tc>
        <w:tc>
          <w:tcPr>
            <w:tcW w:w="1452" w:type="dxa"/>
            <w:vAlign w:val="center"/>
          </w:tcPr>
          <w:p w14:paraId="5B518179">
            <w:pPr>
              <w:jc w:val="center"/>
              <w:rPr>
                <w:rFonts w:hint="eastAsia" w:ascii="宋体" w:hAnsi="宋体"/>
                <w:color w:val="auto"/>
                <w:szCs w:val="21"/>
              </w:rPr>
            </w:pPr>
          </w:p>
        </w:tc>
        <w:tc>
          <w:tcPr>
            <w:tcW w:w="944" w:type="dxa"/>
            <w:vAlign w:val="center"/>
          </w:tcPr>
          <w:p w14:paraId="60E0EB4D">
            <w:pPr>
              <w:jc w:val="center"/>
              <w:rPr>
                <w:rFonts w:hint="eastAsia" w:ascii="宋体" w:hAnsi="宋体"/>
                <w:color w:val="auto"/>
                <w:szCs w:val="21"/>
              </w:rPr>
            </w:pPr>
          </w:p>
        </w:tc>
        <w:tc>
          <w:tcPr>
            <w:tcW w:w="1017" w:type="dxa"/>
            <w:vAlign w:val="center"/>
          </w:tcPr>
          <w:p w14:paraId="2FAFDBD7">
            <w:pPr>
              <w:jc w:val="center"/>
              <w:rPr>
                <w:rFonts w:hint="eastAsia" w:ascii="宋体" w:hAnsi="宋体"/>
                <w:color w:val="auto"/>
                <w:szCs w:val="21"/>
              </w:rPr>
            </w:pPr>
          </w:p>
        </w:tc>
        <w:tc>
          <w:tcPr>
            <w:tcW w:w="1083" w:type="dxa"/>
            <w:vAlign w:val="center"/>
          </w:tcPr>
          <w:p w14:paraId="08918C0B">
            <w:pPr>
              <w:jc w:val="center"/>
              <w:rPr>
                <w:rFonts w:hint="eastAsia" w:ascii="宋体" w:hAnsi="宋体"/>
                <w:color w:val="auto"/>
                <w:szCs w:val="21"/>
              </w:rPr>
            </w:pPr>
          </w:p>
        </w:tc>
        <w:tc>
          <w:tcPr>
            <w:tcW w:w="1105" w:type="dxa"/>
            <w:vAlign w:val="center"/>
          </w:tcPr>
          <w:p w14:paraId="52B639AB">
            <w:pPr>
              <w:jc w:val="center"/>
              <w:rPr>
                <w:rFonts w:hint="eastAsia" w:ascii="宋体" w:hAnsi="宋体"/>
                <w:color w:val="auto"/>
                <w:szCs w:val="21"/>
              </w:rPr>
            </w:pPr>
          </w:p>
        </w:tc>
      </w:tr>
      <w:tr w14:paraId="1034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2E0D07C2">
            <w:pPr>
              <w:jc w:val="center"/>
              <w:rPr>
                <w:rFonts w:hint="eastAsia" w:ascii="宋体" w:hAnsi="宋体"/>
                <w:color w:val="auto"/>
                <w:szCs w:val="21"/>
              </w:rPr>
            </w:pPr>
          </w:p>
        </w:tc>
        <w:tc>
          <w:tcPr>
            <w:tcW w:w="1395" w:type="dxa"/>
            <w:vAlign w:val="center"/>
          </w:tcPr>
          <w:p w14:paraId="44EF5A52">
            <w:pPr>
              <w:jc w:val="center"/>
              <w:rPr>
                <w:rFonts w:hint="eastAsia" w:ascii="宋体" w:hAnsi="宋体"/>
                <w:color w:val="auto"/>
                <w:szCs w:val="21"/>
              </w:rPr>
            </w:pPr>
          </w:p>
        </w:tc>
        <w:tc>
          <w:tcPr>
            <w:tcW w:w="1035" w:type="dxa"/>
            <w:vAlign w:val="center"/>
          </w:tcPr>
          <w:p w14:paraId="2D68C226">
            <w:pPr>
              <w:jc w:val="center"/>
              <w:rPr>
                <w:rFonts w:hint="eastAsia" w:ascii="宋体" w:hAnsi="宋体"/>
                <w:color w:val="auto"/>
                <w:szCs w:val="21"/>
              </w:rPr>
            </w:pPr>
          </w:p>
        </w:tc>
        <w:tc>
          <w:tcPr>
            <w:tcW w:w="1452" w:type="dxa"/>
            <w:vAlign w:val="center"/>
          </w:tcPr>
          <w:p w14:paraId="26ECF4C9">
            <w:pPr>
              <w:jc w:val="center"/>
              <w:rPr>
                <w:rFonts w:hint="eastAsia" w:ascii="宋体" w:hAnsi="宋体"/>
                <w:color w:val="auto"/>
                <w:szCs w:val="21"/>
              </w:rPr>
            </w:pPr>
          </w:p>
        </w:tc>
        <w:tc>
          <w:tcPr>
            <w:tcW w:w="944" w:type="dxa"/>
            <w:vAlign w:val="center"/>
          </w:tcPr>
          <w:p w14:paraId="6B7799B6">
            <w:pPr>
              <w:jc w:val="center"/>
              <w:rPr>
                <w:rFonts w:hint="eastAsia" w:ascii="宋体" w:hAnsi="宋体"/>
                <w:color w:val="auto"/>
                <w:szCs w:val="21"/>
              </w:rPr>
            </w:pPr>
          </w:p>
        </w:tc>
        <w:tc>
          <w:tcPr>
            <w:tcW w:w="1017" w:type="dxa"/>
            <w:vAlign w:val="center"/>
          </w:tcPr>
          <w:p w14:paraId="6650BB06">
            <w:pPr>
              <w:jc w:val="center"/>
              <w:rPr>
                <w:rFonts w:hint="eastAsia" w:ascii="宋体" w:hAnsi="宋体"/>
                <w:color w:val="auto"/>
                <w:szCs w:val="21"/>
              </w:rPr>
            </w:pPr>
          </w:p>
        </w:tc>
        <w:tc>
          <w:tcPr>
            <w:tcW w:w="1083" w:type="dxa"/>
            <w:vAlign w:val="center"/>
          </w:tcPr>
          <w:p w14:paraId="4223C233">
            <w:pPr>
              <w:jc w:val="center"/>
              <w:rPr>
                <w:rFonts w:hint="eastAsia" w:ascii="宋体" w:hAnsi="宋体"/>
                <w:color w:val="auto"/>
                <w:szCs w:val="21"/>
              </w:rPr>
            </w:pPr>
          </w:p>
        </w:tc>
        <w:tc>
          <w:tcPr>
            <w:tcW w:w="1105" w:type="dxa"/>
            <w:vAlign w:val="center"/>
          </w:tcPr>
          <w:p w14:paraId="70DE0361">
            <w:pPr>
              <w:jc w:val="center"/>
              <w:rPr>
                <w:rFonts w:hint="eastAsia" w:ascii="宋体" w:hAnsi="宋体"/>
                <w:color w:val="auto"/>
                <w:szCs w:val="21"/>
              </w:rPr>
            </w:pPr>
          </w:p>
        </w:tc>
      </w:tr>
      <w:tr w14:paraId="677E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4B0AC2AE">
            <w:pPr>
              <w:jc w:val="center"/>
              <w:rPr>
                <w:rFonts w:hint="eastAsia" w:ascii="宋体" w:hAnsi="宋体"/>
                <w:color w:val="auto"/>
                <w:szCs w:val="21"/>
              </w:rPr>
            </w:pPr>
          </w:p>
        </w:tc>
        <w:tc>
          <w:tcPr>
            <w:tcW w:w="1395" w:type="dxa"/>
            <w:vAlign w:val="center"/>
          </w:tcPr>
          <w:p w14:paraId="76DB731C">
            <w:pPr>
              <w:jc w:val="center"/>
              <w:rPr>
                <w:rFonts w:hint="eastAsia" w:ascii="宋体" w:hAnsi="宋体"/>
                <w:color w:val="auto"/>
                <w:szCs w:val="21"/>
              </w:rPr>
            </w:pPr>
          </w:p>
        </w:tc>
        <w:tc>
          <w:tcPr>
            <w:tcW w:w="1035" w:type="dxa"/>
            <w:vAlign w:val="center"/>
          </w:tcPr>
          <w:p w14:paraId="5BDBFA92">
            <w:pPr>
              <w:jc w:val="center"/>
              <w:rPr>
                <w:rFonts w:hint="eastAsia" w:ascii="宋体" w:hAnsi="宋体"/>
                <w:color w:val="auto"/>
                <w:szCs w:val="21"/>
              </w:rPr>
            </w:pPr>
          </w:p>
        </w:tc>
        <w:tc>
          <w:tcPr>
            <w:tcW w:w="1452" w:type="dxa"/>
            <w:vAlign w:val="center"/>
          </w:tcPr>
          <w:p w14:paraId="2128A78E">
            <w:pPr>
              <w:jc w:val="center"/>
              <w:rPr>
                <w:rFonts w:hint="eastAsia" w:ascii="宋体" w:hAnsi="宋体"/>
                <w:color w:val="auto"/>
                <w:szCs w:val="21"/>
              </w:rPr>
            </w:pPr>
          </w:p>
        </w:tc>
        <w:tc>
          <w:tcPr>
            <w:tcW w:w="944" w:type="dxa"/>
            <w:vAlign w:val="center"/>
          </w:tcPr>
          <w:p w14:paraId="2FB0B75F">
            <w:pPr>
              <w:jc w:val="center"/>
              <w:rPr>
                <w:rFonts w:hint="eastAsia" w:ascii="宋体" w:hAnsi="宋体"/>
                <w:color w:val="auto"/>
                <w:szCs w:val="21"/>
              </w:rPr>
            </w:pPr>
          </w:p>
        </w:tc>
        <w:tc>
          <w:tcPr>
            <w:tcW w:w="1017" w:type="dxa"/>
            <w:vAlign w:val="center"/>
          </w:tcPr>
          <w:p w14:paraId="2977879D">
            <w:pPr>
              <w:jc w:val="center"/>
              <w:rPr>
                <w:rFonts w:hint="eastAsia" w:ascii="宋体" w:hAnsi="宋体"/>
                <w:color w:val="auto"/>
                <w:szCs w:val="21"/>
              </w:rPr>
            </w:pPr>
          </w:p>
        </w:tc>
        <w:tc>
          <w:tcPr>
            <w:tcW w:w="1083" w:type="dxa"/>
            <w:vAlign w:val="center"/>
          </w:tcPr>
          <w:p w14:paraId="699A4C2D">
            <w:pPr>
              <w:jc w:val="center"/>
              <w:rPr>
                <w:rFonts w:hint="eastAsia" w:ascii="宋体" w:hAnsi="宋体"/>
                <w:color w:val="auto"/>
                <w:szCs w:val="21"/>
              </w:rPr>
            </w:pPr>
          </w:p>
        </w:tc>
        <w:tc>
          <w:tcPr>
            <w:tcW w:w="1105" w:type="dxa"/>
            <w:vAlign w:val="center"/>
          </w:tcPr>
          <w:p w14:paraId="5F6958C0">
            <w:pPr>
              <w:jc w:val="center"/>
              <w:rPr>
                <w:rFonts w:hint="eastAsia" w:ascii="宋体" w:hAnsi="宋体"/>
                <w:color w:val="auto"/>
                <w:szCs w:val="21"/>
              </w:rPr>
            </w:pPr>
          </w:p>
        </w:tc>
      </w:tr>
      <w:tr w14:paraId="25E5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00FFD136">
            <w:pPr>
              <w:jc w:val="center"/>
              <w:rPr>
                <w:rFonts w:hint="eastAsia" w:ascii="宋体" w:hAnsi="宋体"/>
                <w:color w:val="auto"/>
                <w:szCs w:val="21"/>
              </w:rPr>
            </w:pPr>
          </w:p>
        </w:tc>
        <w:tc>
          <w:tcPr>
            <w:tcW w:w="1395" w:type="dxa"/>
            <w:vAlign w:val="center"/>
          </w:tcPr>
          <w:p w14:paraId="7109A37C">
            <w:pPr>
              <w:jc w:val="center"/>
              <w:rPr>
                <w:rFonts w:hint="eastAsia" w:ascii="宋体" w:hAnsi="宋体"/>
                <w:color w:val="auto"/>
                <w:szCs w:val="21"/>
              </w:rPr>
            </w:pPr>
          </w:p>
        </w:tc>
        <w:tc>
          <w:tcPr>
            <w:tcW w:w="1035" w:type="dxa"/>
            <w:vAlign w:val="center"/>
          </w:tcPr>
          <w:p w14:paraId="19D1C5F6">
            <w:pPr>
              <w:jc w:val="center"/>
              <w:rPr>
                <w:rFonts w:hint="eastAsia" w:ascii="宋体" w:hAnsi="宋体"/>
                <w:color w:val="auto"/>
                <w:szCs w:val="21"/>
              </w:rPr>
            </w:pPr>
          </w:p>
        </w:tc>
        <w:tc>
          <w:tcPr>
            <w:tcW w:w="1452" w:type="dxa"/>
            <w:vAlign w:val="center"/>
          </w:tcPr>
          <w:p w14:paraId="1FA41B67">
            <w:pPr>
              <w:jc w:val="center"/>
              <w:rPr>
                <w:rFonts w:hint="eastAsia" w:ascii="宋体" w:hAnsi="宋体"/>
                <w:color w:val="auto"/>
                <w:szCs w:val="21"/>
              </w:rPr>
            </w:pPr>
          </w:p>
        </w:tc>
        <w:tc>
          <w:tcPr>
            <w:tcW w:w="944" w:type="dxa"/>
            <w:vAlign w:val="center"/>
          </w:tcPr>
          <w:p w14:paraId="75BBF842">
            <w:pPr>
              <w:jc w:val="center"/>
              <w:rPr>
                <w:rFonts w:hint="eastAsia" w:ascii="宋体" w:hAnsi="宋体"/>
                <w:color w:val="auto"/>
                <w:szCs w:val="21"/>
              </w:rPr>
            </w:pPr>
          </w:p>
        </w:tc>
        <w:tc>
          <w:tcPr>
            <w:tcW w:w="1017" w:type="dxa"/>
            <w:vAlign w:val="center"/>
          </w:tcPr>
          <w:p w14:paraId="473004DF">
            <w:pPr>
              <w:jc w:val="center"/>
              <w:rPr>
                <w:rFonts w:hint="eastAsia" w:ascii="宋体" w:hAnsi="宋体"/>
                <w:color w:val="auto"/>
                <w:szCs w:val="21"/>
              </w:rPr>
            </w:pPr>
          </w:p>
        </w:tc>
        <w:tc>
          <w:tcPr>
            <w:tcW w:w="1083" w:type="dxa"/>
            <w:vAlign w:val="center"/>
          </w:tcPr>
          <w:p w14:paraId="1837B375">
            <w:pPr>
              <w:jc w:val="center"/>
              <w:rPr>
                <w:rFonts w:hint="eastAsia" w:ascii="宋体" w:hAnsi="宋体"/>
                <w:color w:val="auto"/>
                <w:szCs w:val="21"/>
              </w:rPr>
            </w:pPr>
          </w:p>
        </w:tc>
        <w:tc>
          <w:tcPr>
            <w:tcW w:w="1105" w:type="dxa"/>
            <w:vAlign w:val="center"/>
          </w:tcPr>
          <w:p w14:paraId="2BEC5E2E">
            <w:pPr>
              <w:jc w:val="center"/>
              <w:rPr>
                <w:rFonts w:hint="eastAsia" w:ascii="宋体" w:hAnsi="宋体"/>
                <w:color w:val="auto"/>
                <w:szCs w:val="21"/>
              </w:rPr>
            </w:pPr>
          </w:p>
        </w:tc>
      </w:tr>
      <w:tr w14:paraId="360F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7DE59941">
            <w:pPr>
              <w:jc w:val="center"/>
              <w:rPr>
                <w:rFonts w:hint="eastAsia" w:ascii="宋体" w:hAnsi="宋体"/>
                <w:color w:val="auto"/>
                <w:szCs w:val="21"/>
              </w:rPr>
            </w:pPr>
          </w:p>
        </w:tc>
        <w:tc>
          <w:tcPr>
            <w:tcW w:w="1395" w:type="dxa"/>
            <w:vAlign w:val="center"/>
          </w:tcPr>
          <w:p w14:paraId="6C355C1B">
            <w:pPr>
              <w:jc w:val="center"/>
              <w:rPr>
                <w:rFonts w:hint="eastAsia" w:ascii="宋体" w:hAnsi="宋体"/>
                <w:color w:val="auto"/>
                <w:szCs w:val="21"/>
              </w:rPr>
            </w:pPr>
          </w:p>
        </w:tc>
        <w:tc>
          <w:tcPr>
            <w:tcW w:w="1035" w:type="dxa"/>
            <w:vAlign w:val="center"/>
          </w:tcPr>
          <w:p w14:paraId="561B5DA3">
            <w:pPr>
              <w:jc w:val="center"/>
              <w:rPr>
                <w:rFonts w:hint="eastAsia" w:ascii="宋体" w:hAnsi="宋体"/>
                <w:color w:val="auto"/>
                <w:szCs w:val="21"/>
              </w:rPr>
            </w:pPr>
          </w:p>
        </w:tc>
        <w:tc>
          <w:tcPr>
            <w:tcW w:w="1452" w:type="dxa"/>
            <w:vAlign w:val="center"/>
          </w:tcPr>
          <w:p w14:paraId="72E40A5B">
            <w:pPr>
              <w:jc w:val="center"/>
              <w:rPr>
                <w:rFonts w:hint="eastAsia" w:ascii="宋体" w:hAnsi="宋体"/>
                <w:color w:val="auto"/>
                <w:szCs w:val="21"/>
              </w:rPr>
            </w:pPr>
          </w:p>
        </w:tc>
        <w:tc>
          <w:tcPr>
            <w:tcW w:w="944" w:type="dxa"/>
            <w:vAlign w:val="center"/>
          </w:tcPr>
          <w:p w14:paraId="316E4496">
            <w:pPr>
              <w:jc w:val="center"/>
              <w:rPr>
                <w:rFonts w:hint="eastAsia" w:ascii="宋体" w:hAnsi="宋体"/>
                <w:color w:val="auto"/>
                <w:szCs w:val="21"/>
              </w:rPr>
            </w:pPr>
          </w:p>
        </w:tc>
        <w:tc>
          <w:tcPr>
            <w:tcW w:w="1017" w:type="dxa"/>
            <w:vAlign w:val="center"/>
          </w:tcPr>
          <w:p w14:paraId="6E4A0E53">
            <w:pPr>
              <w:jc w:val="center"/>
              <w:rPr>
                <w:rFonts w:hint="eastAsia" w:ascii="宋体" w:hAnsi="宋体"/>
                <w:color w:val="auto"/>
                <w:szCs w:val="21"/>
              </w:rPr>
            </w:pPr>
          </w:p>
        </w:tc>
        <w:tc>
          <w:tcPr>
            <w:tcW w:w="1083" w:type="dxa"/>
            <w:vAlign w:val="center"/>
          </w:tcPr>
          <w:p w14:paraId="2A146C35">
            <w:pPr>
              <w:jc w:val="center"/>
              <w:rPr>
                <w:rFonts w:hint="eastAsia" w:ascii="宋体" w:hAnsi="宋体"/>
                <w:color w:val="auto"/>
                <w:szCs w:val="21"/>
              </w:rPr>
            </w:pPr>
          </w:p>
        </w:tc>
        <w:tc>
          <w:tcPr>
            <w:tcW w:w="1105" w:type="dxa"/>
            <w:vAlign w:val="center"/>
          </w:tcPr>
          <w:p w14:paraId="6C87F003">
            <w:pPr>
              <w:jc w:val="center"/>
              <w:rPr>
                <w:rFonts w:hint="eastAsia" w:ascii="宋体" w:hAnsi="宋体"/>
                <w:color w:val="auto"/>
                <w:szCs w:val="21"/>
              </w:rPr>
            </w:pPr>
          </w:p>
        </w:tc>
      </w:tr>
      <w:tr w14:paraId="645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100F708C">
            <w:pPr>
              <w:jc w:val="center"/>
              <w:rPr>
                <w:rFonts w:hint="eastAsia" w:ascii="宋体" w:hAnsi="宋体"/>
                <w:color w:val="auto"/>
                <w:szCs w:val="21"/>
              </w:rPr>
            </w:pPr>
          </w:p>
        </w:tc>
        <w:tc>
          <w:tcPr>
            <w:tcW w:w="1395" w:type="dxa"/>
            <w:vAlign w:val="center"/>
          </w:tcPr>
          <w:p w14:paraId="3B5D605C">
            <w:pPr>
              <w:jc w:val="center"/>
              <w:rPr>
                <w:rFonts w:hint="eastAsia" w:ascii="宋体" w:hAnsi="宋体"/>
                <w:color w:val="auto"/>
                <w:szCs w:val="21"/>
              </w:rPr>
            </w:pPr>
          </w:p>
        </w:tc>
        <w:tc>
          <w:tcPr>
            <w:tcW w:w="1035" w:type="dxa"/>
            <w:vAlign w:val="center"/>
          </w:tcPr>
          <w:p w14:paraId="0846776D">
            <w:pPr>
              <w:jc w:val="center"/>
              <w:rPr>
                <w:rFonts w:hint="eastAsia" w:ascii="宋体" w:hAnsi="宋体"/>
                <w:color w:val="auto"/>
                <w:szCs w:val="21"/>
              </w:rPr>
            </w:pPr>
          </w:p>
        </w:tc>
        <w:tc>
          <w:tcPr>
            <w:tcW w:w="1452" w:type="dxa"/>
            <w:vAlign w:val="center"/>
          </w:tcPr>
          <w:p w14:paraId="12604773">
            <w:pPr>
              <w:jc w:val="center"/>
              <w:rPr>
                <w:rFonts w:hint="eastAsia" w:ascii="宋体" w:hAnsi="宋体"/>
                <w:color w:val="auto"/>
                <w:szCs w:val="21"/>
              </w:rPr>
            </w:pPr>
          </w:p>
        </w:tc>
        <w:tc>
          <w:tcPr>
            <w:tcW w:w="944" w:type="dxa"/>
            <w:vAlign w:val="center"/>
          </w:tcPr>
          <w:p w14:paraId="12A1B8C2">
            <w:pPr>
              <w:jc w:val="center"/>
              <w:rPr>
                <w:rFonts w:hint="eastAsia" w:ascii="宋体" w:hAnsi="宋体"/>
                <w:color w:val="auto"/>
                <w:szCs w:val="21"/>
              </w:rPr>
            </w:pPr>
          </w:p>
        </w:tc>
        <w:tc>
          <w:tcPr>
            <w:tcW w:w="1017" w:type="dxa"/>
            <w:vAlign w:val="center"/>
          </w:tcPr>
          <w:p w14:paraId="6139A3DF">
            <w:pPr>
              <w:jc w:val="center"/>
              <w:rPr>
                <w:rFonts w:hint="eastAsia" w:ascii="宋体" w:hAnsi="宋体"/>
                <w:color w:val="auto"/>
                <w:szCs w:val="21"/>
              </w:rPr>
            </w:pPr>
          </w:p>
        </w:tc>
        <w:tc>
          <w:tcPr>
            <w:tcW w:w="1083" w:type="dxa"/>
            <w:vAlign w:val="center"/>
          </w:tcPr>
          <w:p w14:paraId="7B508118">
            <w:pPr>
              <w:jc w:val="center"/>
              <w:rPr>
                <w:rFonts w:hint="eastAsia" w:ascii="宋体" w:hAnsi="宋体"/>
                <w:color w:val="auto"/>
                <w:szCs w:val="21"/>
              </w:rPr>
            </w:pPr>
          </w:p>
        </w:tc>
        <w:tc>
          <w:tcPr>
            <w:tcW w:w="1105" w:type="dxa"/>
            <w:vAlign w:val="center"/>
          </w:tcPr>
          <w:p w14:paraId="5A7562D0">
            <w:pPr>
              <w:jc w:val="center"/>
              <w:rPr>
                <w:rFonts w:hint="eastAsia" w:ascii="宋体" w:hAnsi="宋体"/>
                <w:color w:val="auto"/>
                <w:szCs w:val="21"/>
              </w:rPr>
            </w:pPr>
          </w:p>
        </w:tc>
      </w:tr>
      <w:tr w14:paraId="285AF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530DE50D">
            <w:pPr>
              <w:jc w:val="center"/>
              <w:rPr>
                <w:rFonts w:hint="eastAsia" w:ascii="宋体" w:hAnsi="宋体"/>
                <w:color w:val="auto"/>
                <w:szCs w:val="21"/>
              </w:rPr>
            </w:pPr>
          </w:p>
        </w:tc>
        <w:tc>
          <w:tcPr>
            <w:tcW w:w="1395" w:type="dxa"/>
            <w:vAlign w:val="center"/>
          </w:tcPr>
          <w:p w14:paraId="57190581">
            <w:pPr>
              <w:jc w:val="center"/>
              <w:rPr>
                <w:rFonts w:hint="eastAsia" w:ascii="宋体" w:hAnsi="宋体"/>
                <w:color w:val="auto"/>
                <w:szCs w:val="21"/>
              </w:rPr>
            </w:pPr>
          </w:p>
        </w:tc>
        <w:tc>
          <w:tcPr>
            <w:tcW w:w="1035" w:type="dxa"/>
            <w:vAlign w:val="center"/>
          </w:tcPr>
          <w:p w14:paraId="75F50146">
            <w:pPr>
              <w:jc w:val="center"/>
              <w:rPr>
                <w:rFonts w:hint="eastAsia" w:ascii="宋体" w:hAnsi="宋体"/>
                <w:color w:val="auto"/>
                <w:szCs w:val="21"/>
              </w:rPr>
            </w:pPr>
          </w:p>
        </w:tc>
        <w:tc>
          <w:tcPr>
            <w:tcW w:w="1452" w:type="dxa"/>
            <w:vAlign w:val="center"/>
          </w:tcPr>
          <w:p w14:paraId="533ECB59">
            <w:pPr>
              <w:jc w:val="center"/>
              <w:rPr>
                <w:rFonts w:hint="eastAsia" w:ascii="宋体" w:hAnsi="宋体"/>
                <w:color w:val="auto"/>
                <w:szCs w:val="21"/>
              </w:rPr>
            </w:pPr>
          </w:p>
        </w:tc>
        <w:tc>
          <w:tcPr>
            <w:tcW w:w="944" w:type="dxa"/>
            <w:vAlign w:val="center"/>
          </w:tcPr>
          <w:p w14:paraId="2B0BE4FB">
            <w:pPr>
              <w:jc w:val="center"/>
              <w:rPr>
                <w:rFonts w:hint="eastAsia" w:ascii="宋体" w:hAnsi="宋体"/>
                <w:color w:val="auto"/>
                <w:szCs w:val="21"/>
              </w:rPr>
            </w:pPr>
          </w:p>
        </w:tc>
        <w:tc>
          <w:tcPr>
            <w:tcW w:w="1017" w:type="dxa"/>
            <w:vAlign w:val="center"/>
          </w:tcPr>
          <w:p w14:paraId="025C4E40">
            <w:pPr>
              <w:jc w:val="center"/>
              <w:rPr>
                <w:rFonts w:hint="eastAsia" w:ascii="宋体" w:hAnsi="宋体"/>
                <w:color w:val="auto"/>
                <w:szCs w:val="21"/>
              </w:rPr>
            </w:pPr>
          </w:p>
        </w:tc>
        <w:tc>
          <w:tcPr>
            <w:tcW w:w="1083" w:type="dxa"/>
            <w:vAlign w:val="center"/>
          </w:tcPr>
          <w:p w14:paraId="2A32914B">
            <w:pPr>
              <w:jc w:val="center"/>
              <w:rPr>
                <w:rFonts w:hint="eastAsia" w:ascii="宋体" w:hAnsi="宋体"/>
                <w:color w:val="auto"/>
                <w:szCs w:val="21"/>
              </w:rPr>
            </w:pPr>
          </w:p>
        </w:tc>
        <w:tc>
          <w:tcPr>
            <w:tcW w:w="1105" w:type="dxa"/>
            <w:vAlign w:val="center"/>
          </w:tcPr>
          <w:p w14:paraId="70FCABE2">
            <w:pPr>
              <w:jc w:val="center"/>
              <w:rPr>
                <w:rFonts w:hint="eastAsia" w:ascii="宋体" w:hAnsi="宋体"/>
                <w:color w:val="auto"/>
                <w:szCs w:val="21"/>
              </w:rPr>
            </w:pPr>
          </w:p>
        </w:tc>
      </w:tr>
      <w:tr w14:paraId="0507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44139DE9">
            <w:pPr>
              <w:jc w:val="center"/>
              <w:rPr>
                <w:rFonts w:hint="eastAsia" w:ascii="宋体" w:hAnsi="宋体"/>
                <w:color w:val="auto"/>
                <w:szCs w:val="21"/>
              </w:rPr>
            </w:pPr>
          </w:p>
        </w:tc>
        <w:tc>
          <w:tcPr>
            <w:tcW w:w="1395" w:type="dxa"/>
            <w:vAlign w:val="center"/>
          </w:tcPr>
          <w:p w14:paraId="3F9DCAB6">
            <w:pPr>
              <w:jc w:val="center"/>
              <w:rPr>
                <w:rFonts w:hint="eastAsia" w:ascii="宋体" w:hAnsi="宋体"/>
                <w:color w:val="auto"/>
                <w:szCs w:val="21"/>
              </w:rPr>
            </w:pPr>
          </w:p>
        </w:tc>
        <w:tc>
          <w:tcPr>
            <w:tcW w:w="1035" w:type="dxa"/>
            <w:vAlign w:val="center"/>
          </w:tcPr>
          <w:p w14:paraId="23768481">
            <w:pPr>
              <w:jc w:val="center"/>
              <w:rPr>
                <w:rFonts w:hint="eastAsia" w:ascii="宋体" w:hAnsi="宋体"/>
                <w:color w:val="auto"/>
                <w:szCs w:val="21"/>
              </w:rPr>
            </w:pPr>
          </w:p>
        </w:tc>
        <w:tc>
          <w:tcPr>
            <w:tcW w:w="1452" w:type="dxa"/>
            <w:vAlign w:val="center"/>
          </w:tcPr>
          <w:p w14:paraId="14C62148">
            <w:pPr>
              <w:jc w:val="center"/>
              <w:rPr>
                <w:rFonts w:hint="eastAsia" w:ascii="宋体" w:hAnsi="宋体"/>
                <w:color w:val="auto"/>
                <w:szCs w:val="21"/>
              </w:rPr>
            </w:pPr>
          </w:p>
        </w:tc>
        <w:tc>
          <w:tcPr>
            <w:tcW w:w="944" w:type="dxa"/>
            <w:vAlign w:val="center"/>
          </w:tcPr>
          <w:p w14:paraId="0FF78786">
            <w:pPr>
              <w:jc w:val="center"/>
              <w:rPr>
                <w:rFonts w:hint="eastAsia" w:ascii="宋体" w:hAnsi="宋体"/>
                <w:color w:val="auto"/>
                <w:szCs w:val="21"/>
              </w:rPr>
            </w:pPr>
          </w:p>
        </w:tc>
        <w:tc>
          <w:tcPr>
            <w:tcW w:w="1017" w:type="dxa"/>
            <w:vAlign w:val="center"/>
          </w:tcPr>
          <w:p w14:paraId="2616D448">
            <w:pPr>
              <w:jc w:val="center"/>
              <w:rPr>
                <w:rFonts w:hint="eastAsia" w:ascii="宋体" w:hAnsi="宋体"/>
                <w:color w:val="auto"/>
                <w:szCs w:val="21"/>
              </w:rPr>
            </w:pPr>
          </w:p>
        </w:tc>
        <w:tc>
          <w:tcPr>
            <w:tcW w:w="1083" w:type="dxa"/>
            <w:vAlign w:val="center"/>
          </w:tcPr>
          <w:p w14:paraId="54DA9543">
            <w:pPr>
              <w:jc w:val="center"/>
              <w:rPr>
                <w:rFonts w:hint="eastAsia" w:ascii="宋体" w:hAnsi="宋体"/>
                <w:color w:val="auto"/>
                <w:szCs w:val="21"/>
              </w:rPr>
            </w:pPr>
          </w:p>
        </w:tc>
        <w:tc>
          <w:tcPr>
            <w:tcW w:w="1105" w:type="dxa"/>
            <w:vAlign w:val="center"/>
          </w:tcPr>
          <w:p w14:paraId="609D13A3">
            <w:pPr>
              <w:jc w:val="center"/>
              <w:rPr>
                <w:rFonts w:hint="eastAsia" w:ascii="宋体" w:hAnsi="宋体"/>
                <w:color w:val="auto"/>
                <w:szCs w:val="21"/>
              </w:rPr>
            </w:pPr>
          </w:p>
        </w:tc>
      </w:tr>
      <w:tr w14:paraId="0BFB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045868E5">
            <w:pPr>
              <w:jc w:val="center"/>
              <w:rPr>
                <w:rFonts w:hint="eastAsia" w:ascii="宋体" w:hAnsi="宋体"/>
                <w:color w:val="auto"/>
                <w:szCs w:val="21"/>
              </w:rPr>
            </w:pPr>
          </w:p>
        </w:tc>
        <w:tc>
          <w:tcPr>
            <w:tcW w:w="1395" w:type="dxa"/>
            <w:vAlign w:val="center"/>
          </w:tcPr>
          <w:p w14:paraId="4EBCBCA2">
            <w:pPr>
              <w:jc w:val="center"/>
              <w:rPr>
                <w:rFonts w:hint="eastAsia" w:ascii="宋体" w:hAnsi="宋体"/>
                <w:color w:val="auto"/>
                <w:szCs w:val="21"/>
              </w:rPr>
            </w:pPr>
          </w:p>
        </w:tc>
        <w:tc>
          <w:tcPr>
            <w:tcW w:w="1035" w:type="dxa"/>
            <w:vAlign w:val="center"/>
          </w:tcPr>
          <w:p w14:paraId="399D6978">
            <w:pPr>
              <w:jc w:val="center"/>
              <w:rPr>
                <w:rFonts w:hint="eastAsia" w:ascii="宋体" w:hAnsi="宋体"/>
                <w:color w:val="auto"/>
                <w:szCs w:val="21"/>
              </w:rPr>
            </w:pPr>
          </w:p>
        </w:tc>
        <w:tc>
          <w:tcPr>
            <w:tcW w:w="1452" w:type="dxa"/>
            <w:vAlign w:val="center"/>
          </w:tcPr>
          <w:p w14:paraId="66E3F988">
            <w:pPr>
              <w:jc w:val="center"/>
              <w:rPr>
                <w:rFonts w:hint="eastAsia" w:ascii="宋体" w:hAnsi="宋体"/>
                <w:color w:val="auto"/>
                <w:szCs w:val="21"/>
              </w:rPr>
            </w:pPr>
          </w:p>
        </w:tc>
        <w:tc>
          <w:tcPr>
            <w:tcW w:w="944" w:type="dxa"/>
            <w:vAlign w:val="center"/>
          </w:tcPr>
          <w:p w14:paraId="52E8C78C">
            <w:pPr>
              <w:jc w:val="center"/>
              <w:rPr>
                <w:rFonts w:hint="eastAsia" w:ascii="宋体" w:hAnsi="宋体"/>
                <w:color w:val="auto"/>
                <w:szCs w:val="21"/>
              </w:rPr>
            </w:pPr>
          </w:p>
        </w:tc>
        <w:tc>
          <w:tcPr>
            <w:tcW w:w="1017" w:type="dxa"/>
            <w:vAlign w:val="center"/>
          </w:tcPr>
          <w:p w14:paraId="473C2A57">
            <w:pPr>
              <w:jc w:val="center"/>
              <w:rPr>
                <w:rFonts w:hint="eastAsia" w:ascii="宋体" w:hAnsi="宋体"/>
                <w:color w:val="auto"/>
                <w:szCs w:val="21"/>
              </w:rPr>
            </w:pPr>
          </w:p>
        </w:tc>
        <w:tc>
          <w:tcPr>
            <w:tcW w:w="1083" w:type="dxa"/>
            <w:vAlign w:val="center"/>
          </w:tcPr>
          <w:p w14:paraId="6A311555">
            <w:pPr>
              <w:jc w:val="center"/>
              <w:rPr>
                <w:rFonts w:hint="eastAsia" w:ascii="宋体" w:hAnsi="宋体"/>
                <w:color w:val="auto"/>
                <w:szCs w:val="21"/>
              </w:rPr>
            </w:pPr>
          </w:p>
        </w:tc>
        <w:tc>
          <w:tcPr>
            <w:tcW w:w="1105" w:type="dxa"/>
            <w:vAlign w:val="center"/>
          </w:tcPr>
          <w:p w14:paraId="780C53E3">
            <w:pPr>
              <w:jc w:val="center"/>
              <w:rPr>
                <w:rFonts w:hint="eastAsia" w:ascii="宋体" w:hAnsi="宋体"/>
                <w:color w:val="auto"/>
                <w:szCs w:val="21"/>
              </w:rPr>
            </w:pPr>
          </w:p>
        </w:tc>
      </w:tr>
      <w:tr w14:paraId="173A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Align w:val="center"/>
          </w:tcPr>
          <w:p w14:paraId="3E42AB62">
            <w:pPr>
              <w:jc w:val="center"/>
              <w:rPr>
                <w:rFonts w:hint="eastAsia" w:ascii="宋体" w:hAnsi="宋体"/>
                <w:color w:val="auto"/>
                <w:szCs w:val="21"/>
              </w:rPr>
            </w:pPr>
          </w:p>
        </w:tc>
        <w:tc>
          <w:tcPr>
            <w:tcW w:w="1395" w:type="dxa"/>
            <w:vAlign w:val="center"/>
          </w:tcPr>
          <w:p w14:paraId="1EB59E2E">
            <w:pPr>
              <w:jc w:val="center"/>
              <w:rPr>
                <w:rFonts w:hint="eastAsia" w:ascii="宋体" w:hAnsi="宋体"/>
                <w:color w:val="auto"/>
                <w:szCs w:val="21"/>
              </w:rPr>
            </w:pPr>
          </w:p>
        </w:tc>
        <w:tc>
          <w:tcPr>
            <w:tcW w:w="1035" w:type="dxa"/>
            <w:vAlign w:val="center"/>
          </w:tcPr>
          <w:p w14:paraId="3881FA71">
            <w:pPr>
              <w:jc w:val="center"/>
              <w:rPr>
                <w:rFonts w:hint="eastAsia" w:ascii="宋体" w:hAnsi="宋体"/>
                <w:color w:val="auto"/>
                <w:szCs w:val="21"/>
              </w:rPr>
            </w:pPr>
          </w:p>
        </w:tc>
        <w:tc>
          <w:tcPr>
            <w:tcW w:w="1452" w:type="dxa"/>
            <w:vAlign w:val="center"/>
          </w:tcPr>
          <w:p w14:paraId="6D718F93">
            <w:pPr>
              <w:jc w:val="center"/>
              <w:rPr>
                <w:rFonts w:hint="eastAsia" w:ascii="宋体" w:hAnsi="宋体"/>
                <w:color w:val="auto"/>
                <w:szCs w:val="21"/>
              </w:rPr>
            </w:pPr>
          </w:p>
        </w:tc>
        <w:tc>
          <w:tcPr>
            <w:tcW w:w="944" w:type="dxa"/>
            <w:vAlign w:val="center"/>
          </w:tcPr>
          <w:p w14:paraId="389DE207">
            <w:pPr>
              <w:jc w:val="center"/>
              <w:rPr>
                <w:rFonts w:hint="eastAsia" w:ascii="宋体" w:hAnsi="宋体"/>
                <w:color w:val="auto"/>
                <w:szCs w:val="21"/>
              </w:rPr>
            </w:pPr>
          </w:p>
        </w:tc>
        <w:tc>
          <w:tcPr>
            <w:tcW w:w="1017" w:type="dxa"/>
            <w:vAlign w:val="center"/>
          </w:tcPr>
          <w:p w14:paraId="1BF5087A">
            <w:pPr>
              <w:jc w:val="center"/>
              <w:rPr>
                <w:rFonts w:hint="eastAsia" w:ascii="宋体" w:hAnsi="宋体"/>
                <w:color w:val="auto"/>
                <w:szCs w:val="21"/>
              </w:rPr>
            </w:pPr>
          </w:p>
        </w:tc>
        <w:tc>
          <w:tcPr>
            <w:tcW w:w="1083" w:type="dxa"/>
            <w:vAlign w:val="center"/>
          </w:tcPr>
          <w:p w14:paraId="2252F34F">
            <w:pPr>
              <w:jc w:val="center"/>
              <w:rPr>
                <w:rFonts w:hint="eastAsia" w:ascii="宋体" w:hAnsi="宋体"/>
                <w:color w:val="auto"/>
                <w:szCs w:val="21"/>
              </w:rPr>
            </w:pPr>
          </w:p>
        </w:tc>
        <w:tc>
          <w:tcPr>
            <w:tcW w:w="1105" w:type="dxa"/>
            <w:vAlign w:val="center"/>
          </w:tcPr>
          <w:p w14:paraId="634CE002">
            <w:pPr>
              <w:jc w:val="center"/>
              <w:rPr>
                <w:rFonts w:hint="eastAsia" w:ascii="宋体" w:hAnsi="宋体"/>
                <w:color w:val="auto"/>
                <w:szCs w:val="21"/>
              </w:rPr>
            </w:pPr>
          </w:p>
        </w:tc>
      </w:tr>
    </w:tbl>
    <w:p w14:paraId="3F9BE88F">
      <w:pPr>
        <w:tabs>
          <w:tab w:val="left" w:pos="4620"/>
        </w:tabs>
        <w:spacing w:line="360" w:lineRule="auto"/>
        <w:ind w:firstLine="480" w:firstLineChars="200"/>
        <w:rPr>
          <w:rFonts w:hint="eastAsia" w:ascii="宋体" w:hAnsi="宋体" w:cs="宋体"/>
          <w:color w:val="auto"/>
          <w:sz w:val="24"/>
        </w:rPr>
      </w:pPr>
    </w:p>
    <w:p w14:paraId="5B3581A0">
      <w:pPr>
        <w:tabs>
          <w:tab w:val="left" w:pos="4620"/>
        </w:tabs>
        <w:spacing w:line="360" w:lineRule="auto"/>
        <w:ind w:firstLine="480" w:firstLineChars="200"/>
        <w:rPr>
          <w:rFonts w:hint="eastAsia" w:ascii="宋体" w:hAnsi="宋体" w:cs="宋体"/>
          <w:color w:val="auto"/>
          <w:sz w:val="24"/>
        </w:rPr>
      </w:pPr>
      <w:r>
        <w:rPr>
          <w:rFonts w:hint="eastAsia" w:ascii="宋体" w:hAnsi="宋体" w:cs="宋体"/>
          <w:color w:val="auto"/>
          <w:sz w:val="24"/>
        </w:rPr>
        <w:t>后附人员相关证明材料</w:t>
      </w:r>
    </w:p>
    <w:p w14:paraId="2EBAC280">
      <w:pPr>
        <w:tabs>
          <w:tab w:val="left" w:pos="4620"/>
        </w:tabs>
        <w:spacing w:line="360" w:lineRule="auto"/>
        <w:ind w:firstLine="480" w:firstLineChars="200"/>
        <w:rPr>
          <w:rFonts w:hint="eastAsia" w:ascii="宋体" w:hAnsi="宋体" w:cs="宋体"/>
          <w:color w:val="auto"/>
          <w:sz w:val="24"/>
        </w:rPr>
      </w:pPr>
    </w:p>
    <w:p w14:paraId="4DC46724">
      <w:pPr>
        <w:tabs>
          <w:tab w:val="left" w:pos="4620"/>
        </w:tabs>
        <w:spacing w:line="360" w:lineRule="auto"/>
        <w:ind w:firstLine="480" w:firstLineChars="200"/>
        <w:rPr>
          <w:rFonts w:hint="eastAsia" w:ascii="宋体" w:hAnsi="宋体" w:cs="宋体"/>
          <w:color w:val="auto"/>
          <w:sz w:val="24"/>
        </w:rPr>
      </w:pPr>
    </w:p>
    <w:p w14:paraId="02B5A43A">
      <w:pPr>
        <w:tabs>
          <w:tab w:val="left" w:pos="4620"/>
        </w:tabs>
        <w:spacing w:line="360" w:lineRule="auto"/>
        <w:ind w:firstLine="480" w:firstLineChars="200"/>
        <w:rPr>
          <w:rFonts w:hint="eastAsia" w:ascii="宋体" w:hAnsi="宋体" w:cs="宋体"/>
          <w:color w:val="auto"/>
          <w:sz w:val="24"/>
        </w:rPr>
      </w:pPr>
    </w:p>
    <w:p w14:paraId="0D69F7E0">
      <w:pPr>
        <w:tabs>
          <w:tab w:val="left" w:pos="4620"/>
        </w:tabs>
        <w:spacing w:line="360" w:lineRule="auto"/>
        <w:ind w:firstLine="480" w:firstLineChars="200"/>
        <w:rPr>
          <w:rFonts w:hint="eastAsia" w:ascii="宋体" w:hAnsi="宋体" w:cs="宋体"/>
          <w:color w:val="auto"/>
          <w:sz w:val="24"/>
        </w:rPr>
      </w:pPr>
    </w:p>
    <w:p w14:paraId="355705B3">
      <w:pPr>
        <w:tabs>
          <w:tab w:val="left" w:pos="4620"/>
        </w:tabs>
        <w:spacing w:line="360" w:lineRule="auto"/>
        <w:ind w:firstLine="480" w:firstLineChars="200"/>
        <w:rPr>
          <w:rFonts w:hint="eastAsia" w:ascii="宋体" w:hAnsi="宋体" w:cs="宋体"/>
          <w:color w:val="auto"/>
          <w:sz w:val="24"/>
        </w:rPr>
      </w:pPr>
    </w:p>
    <w:p w14:paraId="66826CC8">
      <w:pPr>
        <w:pStyle w:val="4"/>
        <w:rPr>
          <w:color w:val="auto"/>
          <w:sz w:val="28"/>
          <w:szCs w:val="28"/>
        </w:rPr>
      </w:pPr>
      <w:bookmarkStart w:id="156" w:name="_Toc40975457"/>
      <w:bookmarkStart w:id="157" w:name="_Toc13715_WPSOffice_Level2"/>
      <w:r>
        <w:rPr>
          <w:rFonts w:hint="eastAsia" w:hAnsi="宋体" w:cs="宋体"/>
          <w:color w:val="auto"/>
          <w:sz w:val="28"/>
          <w:szCs w:val="28"/>
        </w:rPr>
        <w:t>十．</w:t>
      </w:r>
      <w:bookmarkEnd w:id="156"/>
      <w:bookmarkEnd w:id="157"/>
      <w:bookmarkStart w:id="158" w:name="_Toc220232403"/>
      <w:r>
        <w:rPr>
          <w:rFonts w:hint="eastAsia"/>
          <w:color w:val="auto"/>
          <w:sz w:val="28"/>
          <w:szCs w:val="28"/>
        </w:rPr>
        <w:t>中小企业声明函（货物）</w:t>
      </w:r>
    </w:p>
    <w:p w14:paraId="34941CCF">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 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采购活动，提</w:t>
      </w:r>
      <w:r>
        <w:rPr>
          <w:rFonts w:hint="eastAsia" w:ascii="宋体" w:hAnsi="宋体" w:cs="宋体"/>
          <w:color w:val="auto"/>
          <w:sz w:val="24"/>
          <w:szCs w:val="24"/>
          <w:u w:val="single"/>
        </w:rPr>
        <w:t xml:space="preserve">   </w:t>
      </w:r>
      <w:r>
        <w:rPr>
          <w:rFonts w:hint="eastAsia" w:ascii="宋体" w:hAnsi="宋体" w:cs="宋体"/>
          <w:color w:val="auto"/>
          <w:sz w:val="24"/>
          <w:szCs w:val="24"/>
        </w:rPr>
        <w:t>供的货物全部由符合政策要求的中小企业制造。相关企业（含联合体中的中小企业、签订分包意向协议的中小企业）的具体情况如下：</w:t>
      </w:r>
    </w:p>
    <w:p w14:paraId="3121F71C">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 xml:space="preserve">； </w:t>
      </w:r>
    </w:p>
    <w:p w14:paraId="7F11B2B4">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 xml:space="preserve"> </w:t>
      </w:r>
    </w:p>
    <w:p w14:paraId="650192CF">
      <w:pPr>
        <w:spacing w:line="360" w:lineRule="auto"/>
        <w:rPr>
          <w:rFonts w:hint="eastAsia" w:ascii="宋体" w:hAnsi="宋体" w:cs="宋体"/>
          <w:color w:val="auto"/>
          <w:sz w:val="24"/>
          <w:szCs w:val="24"/>
        </w:rPr>
      </w:pPr>
      <w:r>
        <w:rPr>
          <w:rFonts w:hint="eastAsia" w:ascii="宋体" w:hAnsi="宋体" w:cs="宋体"/>
          <w:color w:val="auto"/>
          <w:sz w:val="24"/>
          <w:szCs w:val="24"/>
        </w:rPr>
        <w:t>……</w:t>
      </w:r>
    </w:p>
    <w:p w14:paraId="0869ECF0">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以上企业，不属于大企业的分支机构，不存在控股股东为大企业的情形，也不存在与大企业的负责人为同一人的情形。</w:t>
      </w:r>
    </w:p>
    <w:p w14:paraId="62B36F94">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本企业对上述声明内容的真实性负责。如有虚假，将依法承担相应责任。</w:t>
      </w:r>
    </w:p>
    <w:p w14:paraId="18CC6A0B">
      <w:pPr>
        <w:spacing w:line="360" w:lineRule="auto"/>
        <w:ind w:firstLine="5040" w:firstLineChars="2100"/>
        <w:rPr>
          <w:rFonts w:hint="eastAsia" w:ascii="宋体" w:hAnsi="宋体" w:cs="宋体"/>
          <w:color w:val="auto"/>
          <w:sz w:val="24"/>
          <w:szCs w:val="24"/>
        </w:rPr>
      </w:pPr>
      <w:r>
        <w:rPr>
          <w:rFonts w:hint="eastAsia" w:ascii="宋体" w:hAnsi="宋体" w:cs="宋体"/>
          <w:color w:val="auto"/>
          <w:sz w:val="24"/>
          <w:szCs w:val="24"/>
        </w:rPr>
        <w:t xml:space="preserve">企业名称（盖章）： </w:t>
      </w:r>
    </w:p>
    <w:p w14:paraId="750CE356">
      <w:pPr>
        <w:spacing w:line="360" w:lineRule="auto"/>
        <w:ind w:firstLine="5760" w:firstLineChars="2400"/>
        <w:rPr>
          <w:rFonts w:hint="eastAsia" w:ascii="宋体" w:hAnsi="宋体" w:cs="宋体"/>
          <w:color w:val="auto"/>
          <w:sz w:val="24"/>
          <w:szCs w:val="24"/>
        </w:rPr>
      </w:pPr>
      <w:r>
        <w:rPr>
          <w:rFonts w:hint="eastAsia" w:ascii="宋体" w:hAnsi="宋体" w:cs="宋体"/>
          <w:color w:val="auto"/>
          <w:sz w:val="24"/>
          <w:szCs w:val="24"/>
        </w:rPr>
        <w:t xml:space="preserve">日 期： </w:t>
      </w:r>
    </w:p>
    <w:p w14:paraId="0A7A550E">
      <w:pPr>
        <w:spacing w:line="360" w:lineRule="auto"/>
        <w:rPr>
          <w:color w:val="auto"/>
          <w:sz w:val="24"/>
          <w:szCs w:val="24"/>
        </w:rPr>
      </w:pPr>
    </w:p>
    <w:p w14:paraId="121DA27A">
      <w:pPr>
        <w:spacing w:line="360" w:lineRule="auto"/>
        <w:rPr>
          <w:color w:val="auto"/>
        </w:rPr>
      </w:pPr>
    </w:p>
    <w:p w14:paraId="15EED221">
      <w:pPr>
        <w:spacing w:line="360" w:lineRule="auto"/>
        <w:rPr>
          <w:color w:val="auto"/>
        </w:rPr>
      </w:pPr>
    </w:p>
    <w:p w14:paraId="05FFEB1F">
      <w:pPr>
        <w:spacing w:line="360" w:lineRule="auto"/>
        <w:rPr>
          <w:color w:val="auto"/>
        </w:rPr>
      </w:pPr>
      <w:r>
        <w:rPr>
          <w:rFonts w:hint="eastAsia"/>
          <w:color w:val="auto"/>
        </w:rPr>
        <w:t>注：1.从业人员、营业收入、资产总额填报上一年度数据，无上一年度数据的新成立企业可不填报。</w:t>
      </w:r>
    </w:p>
    <w:p w14:paraId="45EBC167">
      <w:pPr>
        <w:numPr>
          <w:ilvl w:val="0"/>
          <w:numId w:val="9"/>
        </w:numPr>
        <w:spacing w:line="360" w:lineRule="auto"/>
        <w:ind w:left="630" w:leftChars="200" w:hanging="210" w:hangingChars="100"/>
        <w:rPr>
          <w:color w:val="auto"/>
        </w:rPr>
      </w:pPr>
      <w:r>
        <w:rPr>
          <w:rFonts w:hint="eastAsia"/>
          <w:color w:val="auto"/>
        </w:rPr>
        <w:t>本项目如是只面向中小企业采购的应当必须提供。</w:t>
      </w:r>
    </w:p>
    <w:p w14:paraId="00676EA7">
      <w:pPr>
        <w:spacing w:line="360" w:lineRule="auto"/>
        <w:ind w:firstLine="420" w:firstLineChars="200"/>
        <w:rPr>
          <w:color w:val="auto"/>
        </w:rPr>
      </w:pPr>
    </w:p>
    <w:p w14:paraId="1B0CB52B">
      <w:pPr>
        <w:spacing w:line="360" w:lineRule="auto"/>
        <w:rPr>
          <w:rFonts w:hint="eastAsia" w:ascii="宋体" w:hAnsi="宋体" w:cs="宋体"/>
          <w:color w:val="auto"/>
          <w:sz w:val="28"/>
          <w:szCs w:val="28"/>
        </w:rPr>
      </w:pPr>
    </w:p>
    <w:p w14:paraId="518EE473">
      <w:pPr>
        <w:spacing w:line="360" w:lineRule="auto"/>
        <w:rPr>
          <w:rFonts w:hint="eastAsia" w:ascii="宋体" w:hAnsi="宋体" w:cs="宋体"/>
          <w:color w:val="auto"/>
          <w:sz w:val="28"/>
          <w:szCs w:val="28"/>
        </w:rPr>
      </w:pPr>
    </w:p>
    <w:p w14:paraId="71DEEFFC">
      <w:pPr>
        <w:rPr>
          <w:rFonts w:hint="eastAsia" w:ascii="宋体" w:hAnsi="宋体" w:cs="宋体"/>
          <w:color w:val="auto"/>
          <w:sz w:val="28"/>
          <w:szCs w:val="28"/>
        </w:rPr>
      </w:pPr>
    </w:p>
    <w:p w14:paraId="10A97915">
      <w:pPr>
        <w:rPr>
          <w:rFonts w:hint="eastAsia" w:ascii="宋体" w:hAnsi="宋体" w:cs="宋体"/>
          <w:color w:val="auto"/>
          <w:sz w:val="28"/>
          <w:szCs w:val="28"/>
        </w:rPr>
      </w:pPr>
    </w:p>
    <w:p w14:paraId="5096C8B6">
      <w:pPr>
        <w:rPr>
          <w:rFonts w:hint="eastAsia" w:ascii="宋体" w:hAnsi="宋体" w:cs="宋体"/>
          <w:color w:val="auto"/>
          <w:sz w:val="28"/>
          <w:szCs w:val="28"/>
        </w:rPr>
      </w:pPr>
    </w:p>
    <w:p w14:paraId="439EBCCB">
      <w:pPr>
        <w:rPr>
          <w:rFonts w:hint="eastAsia" w:ascii="宋体" w:hAnsi="宋体" w:cs="宋体"/>
          <w:color w:val="auto"/>
        </w:rPr>
      </w:pPr>
    </w:p>
    <w:bookmarkEnd w:id="158"/>
    <w:p w14:paraId="3BBD86F2">
      <w:pPr>
        <w:pStyle w:val="4"/>
        <w:rPr>
          <w:rFonts w:hint="eastAsia" w:hAnsi="宋体" w:cs="宋体"/>
          <w:color w:val="auto"/>
          <w:sz w:val="36"/>
          <w:szCs w:val="36"/>
        </w:rPr>
      </w:pPr>
      <w:bookmarkStart w:id="159" w:name="_Hlt526418111"/>
      <w:bookmarkEnd w:id="159"/>
      <w:bookmarkStart w:id="160" w:name="_Hlt526418103"/>
      <w:bookmarkEnd w:id="160"/>
      <w:bookmarkStart w:id="161" w:name="_Toc220232405"/>
      <w:bookmarkStart w:id="162" w:name="_Toc2532_WPSOffice_Level2"/>
      <w:bookmarkStart w:id="163" w:name="_Toc516969110"/>
      <w:r>
        <w:rPr>
          <w:rFonts w:hAnsi="宋体" w:cs="宋体"/>
          <w:color w:val="auto"/>
          <w:sz w:val="28"/>
        </w:rPr>
        <w:br w:type="page"/>
      </w:r>
      <w:bookmarkEnd w:id="161"/>
      <w:bookmarkEnd w:id="162"/>
      <w:bookmarkEnd w:id="163"/>
      <w:bookmarkStart w:id="164" w:name="_Toc40975458"/>
      <w:r>
        <w:rPr>
          <w:rFonts w:hint="eastAsia" w:hAnsi="宋体" w:cs="宋体"/>
          <w:color w:val="auto"/>
          <w:sz w:val="28"/>
        </w:rPr>
        <w:t>十一．售后服务</w:t>
      </w:r>
      <w:bookmarkEnd w:id="164"/>
    </w:p>
    <w:p w14:paraId="70EECB87">
      <w:pPr>
        <w:jc w:val="center"/>
        <w:rPr>
          <w:rFonts w:hint="eastAsia" w:ascii="宋体" w:hAnsi="宋体" w:cs="宋体"/>
          <w:color w:val="auto"/>
          <w:sz w:val="28"/>
        </w:rPr>
      </w:pPr>
      <w:r>
        <w:rPr>
          <w:rFonts w:hint="eastAsia" w:ascii="宋体" w:hAnsi="宋体" w:cs="宋体"/>
          <w:color w:val="auto"/>
          <w:sz w:val="24"/>
        </w:rPr>
        <w:t>(投标人可自行制作格式)</w:t>
      </w:r>
    </w:p>
    <w:p w14:paraId="1402DD2D">
      <w:pPr>
        <w:spacing w:line="500" w:lineRule="exact"/>
        <w:jc w:val="center"/>
        <w:rPr>
          <w:rFonts w:hint="eastAsia" w:ascii="宋体" w:hAnsi="宋体" w:cs="宋体"/>
          <w:b/>
          <w:bCs/>
          <w:color w:val="auto"/>
          <w:sz w:val="30"/>
        </w:rPr>
      </w:pPr>
      <w:bookmarkStart w:id="165" w:name="_Hlt526418107"/>
      <w:bookmarkEnd w:id="165"/>
    </w:p>
    <w:p w14:paraId="4CEBC6D0">
      <w:pPr>
        <w:pStyle w:val="4"/>
        <w:rPr>
          <w:rFonts w:hint="eastAsia" w:hAnsi="宋体" w:cs="宋体"/>
          <w:color w:val="auto"/>
          <w:sz w:val="44"/>
        </w:rPr>
      </w:pPr>
      <w:bookmarkStart w:id="166" w:name="_Hlt509738384"/>
      <w:bookmarkStart w:id="167" w:name="_Toc30338_WPSOffice_Level2"/>
      <w:bookmarkStart w:id="168" w:name="_Toc197934560"/>
      <w:bookmarkStart w:id="169" w:name="_Toc516969111"/>
      <w:bookmarkStart w:id="170" w:name="_Toc40975459"/>
      <w:bookmarkStart w:id="171" w:name="_Toc359404312"/>
      <w:r>
        <w:rPr>
          <w:rFonts w:hint="eastAsia" w:hAnsi="宋体" w:cs="宋体"/>
          <w:color w:val="auto"/>
          <w:sz w:val="28"/>
        </w:rPr>
        <w:t>十二．所投货物的技术资料等</w:t>
      </w:r>
      <w:bookmarkEnd w:id="166"/>
      <w:bookmarkEnd w:id="167"/>
      <w:bookmarkEnd w:id="168"/>
      <w:bookmarkEnd w:id="169"/>
      <w:bookmarkEnd w:id="170"/>
      <w:bookmarkEnd w:id="171"/>
      <w:bookmarkStart w:id="172" w:name="_Hlt509650291"/>
      <w:bookmarkEnd w:id="172"/>
    </w:p>
    <w:p w14:paraId="0C36EDA3">
      <w:pPr>
        <w:jc w:val="center"/>
        <w:rPr>
          <w:rFonts w:hint="eastAsia" w:ascii="宋体" w:hAnsi="宋体" w:cs="宋体"/>
          <w:color w:val="auto"/>
          <w:sz w:val="24"/>
        </w:rPr>
      </w:pPr>
      <w:r>
        <w:rPr>
          <w:rFonts w:hint="eastAsia" w:ascii="宋体" w:hAnsi="宋体" w:cs="宋体"/>
          <w:color w:val="auto"/>
          <w:sz w:val="24"/>
        </w:rPr>
        <w:t>（投标人可自行制作格式，附产品技术彩页）</w:t>
      </w:r>
    </w:p>
    <w:p w14:paraId="3247320D">
      <w:pPr>
        <w:jc w:val="center"/>
        <w:rPr>
          <w:rFonts w:hint="eastAsia" w:ascii="宋体" w:hAnsi="宋体" w:cs="宋体"/>
          <w:color w:val="auto"/>
          <w:sz w:val="24"/>
        </w:rPr>
      </w:pPr>
    </w:p>
    <w:p w14:paraId="7057DA29">
      <w:pPr>
        <w:jc w:val="center"/>
        <w:rPr>
          <w:rFonts w:hint="eastAsia" w:ascii="宋体" w:hAnsi="宋体" w:cs="宋体"/>
          <w:color w:val="auto"/>
          <w:sz w:val="24"/>
        </w:rPr>
      </w:pPr>
    </w:p>
    <w:p w14:paraId="755954FF">
      <w:pPr>
        <w:jc w:val="center"/>
        <w:rPr>
          <w:rFonts w:hint="eastAsia" w:ascii="宋体" w:hAnsi="宋体" w:cs="宋体"/>
          <w:color w:val="auto"/>
          <w:sz w:val="24"/>
        </w:rPr>
      </w:pPr>
    </w:p>
    <w:p w14:paraId="7F1EAF72">
      <w:pPr>
        <w:pStyle w:val="4"/>
        <w:rPr>
          <w:rFonts w:hint="eastAsia" w:hAnsi="宋体" w:cs="宋体"/>
          <w:color w:val="auto"/>
          <w:sz w:val="28"/>
        </w:rPr>
      </w:pPr>
      <w:r>
        <w:rPr>
          <w:rFonts w:hint="eastAsia" w:hAnsi="宋体" w:cs="宋体"/>
          <w:color w:val="auto"/>
          <w:sz w:val="28"/>
        </w:rPr>
        <w:t>十三．其他投标人认为需要提供得材料等</w:t>
      </w:r>
    </w:p>
    <w:p w14:paraId="573DAF82">
      <w:pPr>
        <w:rPr>
          <w:rFonts w:hint="eastAsia" w:hAnsi="宋体" w:cs="宋体"/>
          <w:color w:val="auto"/>
          <w:sz w:val="28"/>
        </w:rPr>
      </w:pPr>
    </w:p>
    <w:p w14:paraId="7482FB3F">
      <w:pPr>
        <w:pStyle w:val="4"/>
        <w:rPr>
          <w:rFonts w:hint="eastAsia" w:hAnsi="宋体" w:cs="宋体"/>
          <w:color w:val="auto"/>
          <w:sz w:val="28"/>
        </w:rPr>
      </w:pPr>
    </w:p>
    <w:p w14:paraId="5FED84BD">
      <w:pPr>
        <w:jc w:val="center"/>
        <w:rPr>
          <w:rFonts w:hint="eastAsia" w:ascii="宋体" w:hAnsi="宋体" w:cs="宋体"/>
          <w:color w:val="auto"/>
          <w:sz w:val="24"/>
        </w:rPr>
      </w:pPr>
    </w:p>
    <w:p w14:paraId="360A3362">
      <w:pPr>
        <w:jc w:val="center"/>
        <w:rPr>
          <w:rFonts w:hint="eastAsia" w:ascii="宋体" w:hAnsi="宋体" w:cs="宋体"/>
          <w:color w:val="auto"/>
          <w:sz w:val="24"/>
        </w:rPr>
      </w:pPr>
    </w:p>
    <w:p w14:paraId="4061FF95">
      <w:pPr>
        <w:jc w:val="center"/>
        <w:rPr>
          <w:rFonts w:hint="eastAsia" w:ascii="宋体" w:hAnsi="宋体" w:cs="宋体"/>
          <w:color w:val="auto"/>
          <w:sz w:val="24"/>
        </w:rPr>
      </w:pPr>
    </w:p>
    <w:p w14:paraId="0A96CDD3">
      <w:pPr>
        <w:jc w:val="center"/>
        <w:rPr>
          <w:rFonts w:hint="eastAsia" w:ascii="宋体" w:hAnsi="宋体" w:cs="宋体"/>
          <w:color w:val="auto"/>
          <w:sz w:val="24"/>
        </w:rPr>
      </w:pPr>
    </w:p>
    <w:p w14:paraId="5662D132">
      <w:pPr>
        <w:jc w:val="center"/>
        <w:rPr>
          <w:rFonts w:hint="eastAsia" w:ascii="宋体" w:hAnsi="宋体" w:cs="宋体"/>
          <w:color w:val="auto"/>
          <w:sz w:val="24"/>
        </w:rPr>
      </w:pPr>
    </w:p>
    <w:p w14:paraId="28005830">
      <w:pPr>
        <w:jc w:val="center"/>
        <w:rPr>
          <w:rFonts w:hint="eastAsia" w:ascii="宋体" w:hAnsi="宋体" w:cs="宋体"/>
          <w:color w:val="auto"/>
          <w:sz w:val="24"/>
        </w:rPr>
      </w:pPr>
    </w:p>
    <w:p w14:paraId="3043E7EE">
      <w:pPr>
        <w:jc w:val="center"/>
        <w:rPr>
          <w:rFonts w:hint="eastAsia" w:ascii="宋体" w:hAnsi="宋体" w:cs="宋体"/>
          <w:color w:val="auto"/>
          <w:sz w:val="24"/>
        </w:rPr>
      </w:pPr>
    </w:p>
    <w:p w14:paraId="38255BAB">
      <w:pPr>
        <w:jc w:val="center"/>
        <w:rPr>
          <w:rFonts w:hint="eastAsia" w:ascii="宋体" w:hAnsi="宋体" w:cs="宋体"/>
          <w:color w:val="auto"/>
          <w:sz w:val="24"/>
        </w:rPr>
      </w:pPr>
    </w:p>
    <w:p w14:paraId="0C3A9088">
      <w:pPr>
        <w:jc w:val="center"/>
        <w:rPr>
          <w:rFonts w:hint="eastAsia" w:ascii="宋体" w:hAnsi="宋体" w:cs="宋体"/>
          <w:color w:val="auto"/>
          <w:sz w:val="24"/>
        </w:rPr>
      </w:pPr>
    </w:p>
    <w:p w14:paraId="3DC769FA">
      <w:pPr>
        <w:jc w:val="center"/>
        <w:rPr>
          <w:rFonts w:hint="eastAsia" w:ascii="宋体" w:hAnsi="宋体" w:cs="宋体"/>
          <w:color w:val="auto"/>
          <w:sz w:val="24"/>
        </w:rPr>
      </w:pPr>
    </w:p>
    <w:p w14:paraId="26397AFB">
      <w:pPr>
        <w:jc w:val="center"/>
        <w:rPr>
          <w:rFonts w:hint="eastAsia" w:ascii="宋体" w:hAnsi="宋体" w:cs="宋体"/>
          <w:color w:val="auto"/>
          <w:sz w:val="24"/>
        </w:rPr>
      </w:pPr>
    </w:p>
    <w:p w14:paraId="062FBCE3">
      <w:pPr>
        <w:jc w:val="center"/>
        <w:rPr>
          <w:rFonts w:hint="eastAsia" w:ascii="宋体" w:hAnsi="宋体" w:cs="宋体"/>
          <w:color w:val="auto"/>
          <w:sz w:val="24"/>
        </w:rPr>
      </w:pPr>
    </w:p>
    <w:p w14:paraId="706E11CD">
      <w:pPr>
        <w:pStyle w:val="20"/>
        <w:rPr>
          <w:color w:val="auto"/>
        </w:rPr>
      </w:pPr>
    </w:p>
    <w:p w14:paraId="49ADCE4C">
      <w:pPr>
        <w:pStyle w:val="20"/>
        <w:rPr>
          <w:color w:val="auto"/>
        </w:rPr>
      </w:pPr>
    </w:p>
    <w:p w14:paraId="2BD017F2">
      <w:pPr>
        <w:pStyle w:val="20"/>
        <w:rPr>
          <w:color w:val="auto"/>
        </w:rPr>
      </w:pPr>
    </w:p>
    <w:p w14:paraId="69336CB0">
      <w:pPr>
        <w:pStyle w:val="20"/>
        <w:rPr>
          <w:color w:val="auto"/>
        </w:rPr>
      </w:pPr>
    </w:p>
    <w:p w14:paraId="74DD8A9B">
      <w:pPr>
        <w:pStyle w:val="20"/>
        <w:rPr>
          <w:color w:val="auto"/>
        </w:rPr>
      </w:pPr>
    </w:p>
    <w:p w14:paraId="721B4102">
      <w:pPr>
        <w:pStyle w:val="20"/>
        <w:rPr>
          <w:color w:val="auto"/>
        </w:rPr>
      </w:pPr>
    </w:p>
    <w:p w14:paraId="1A99EEBA">
      <w:pPr>
        <w:pStyle w:val="20"/>
        <w:rPr>
          <w:color w:val="auto"/>
        </w:rPr>
      </w:pPr>
    </w:p>
    <w:p w14:paraId="1E6818EF">
      <w:pPr>
        <w:jc w:val="center"/>
        <w:rPr>
          <w:rFonts w:hint="eastAsia" w:ascii="宋体" w:hAnsi="宋体" w:cs="宋体"/>
          <w:color w:val="auto"/>
          <w:sz w:val="24"/>
        </w:rPr>
      </w:pPr>
    </w:p>
    <w:p w14:paraId="1A91479E">
      <w:pPr>
        <w:jc w:val="center"/>
        <w:rPr>
          <w:rFonts w:hint="eastAsia" w:ascii="宋体" w:hAnsi="宋体" w:cs="宋体"/>
          <w:color w:val="auto"/>
          <w:sz w:val="24"/>
        </w:rPr>
      </w:pPr>
    </w:p>
    <w:p w14:paraId="5275341E">
      <w:pPr>
        <w:jc w:val="center"/>
        <w:rPr>
          <w:rFonts w:hint="eastAsia" w:ascii="宋体" w:hAnsi="宋体" w:cs="宋体"/>
          <w:color w:val="auto"/>
          <w:sz w:val="24"/>
        </w:rPr>
      </w:pPr>
    </w:p>
    <w:p w14:paraId="755D33D1">
      <w:pPr>
        <w:jc w:val="center"/>
        <w:rPr>
          <w:rFonts w:hint="eastAsia" w:ascii="宋体" w:hAnsi="宋体" w:cs="宋体"/>
          <w:color w:val="auto"/>
          <w:sz w:val="24"/>
        </w:rPr>
      </w:pPr>
    </w:p>
    <w:p w14:paraId="1399DFBA">
      <w:pPr>
        <w:jc w:val="center"/>
        <w:rPr>
          <w:rFonts w:hint="eastAsia" w:ascii="宋体" w:hAnsi="宋体" w:cs="宋体"/>
          <w:color w:val="auto"/>
          <w:sz w:val="24"/>
        </w:rPr>
      </w:pPr>
    </w:p>
    <w:p w14:paraId="11288D5C">
      <w:pPr>
        <w:pStyle w:val="20"/>
        <w:rPr>
          <w:color w:val="auto"/>
        </w:rPr>
      </w:pPr>
    </w:p>
    <w:p w14:paraId="5BC3AB08">
      <w:pPr>
        <w:pStyle w:val="45"/>
        <w:ind w:firstLine="321"/>
        <w:jc w:val="center"/>
        <w:rPr>
          <w:b/>
          <w:color w:val="auto"/>
          <w:sz w:val="32"/>
          <w:szCs w:val="32"/>
        </w:rPr>
      </w:pPr>
      <w:r>
        <w:rPr>
          <w:rFonts w:hint="eastAsia"/>
          <w:b/>
          <w:color w:val="auto"/>
          <w:sz w:val="32"/>
          <w:szCs w:val="32"/>
        </w:rPr>
        <w:t>周口市政府采购合同融资政策告知函</w:t>
      </w:r>
    </w:p>
    <w:p w14:paraId="7C853CFA">
      <w:pPr>
        <w:pStyle w:val="45"/>
        <w:ind w:firstLine="240"/>
        <w:rPr>
          <w:rFonts w:hint="eastAsia" w:ascii="宋体" w:hAnsi="宋体"/>
          <w:color w:val="auto"/>
          <w:sz w:val="24"/>
          <w:szCs w:val="24"/>
        </w:rPr>
      </w:pPr>
    </w:p>
    <w:p w14:paraId="1E813251">
      <w:pPr>
        <w:pStyle w:val="45"/>
        <w:ind w:firstLine="240"/>
        <w:rPr>
          <w:rFonts w:hint="eastAsia" w:ascii="宋体" w:hAnsi="宋体"/>
          <w:color w:val="auto"/>
          <w:sz w:val="24"/>
          <w:szCs w:val="24"/>
        </w:rPr>
      </w:pPr>
    </w:p>
    <w:p w14:paraId="5D740BB1">
      <w:pPr>
        <w:pStyle w:val="45"/>
        <w:ind w:firstLine="240"/>
        <w:rPr>
          <w:rFonts w:hint="eastAsia" w:ascii="宋体" w:hAnsi="宋体"/>
          <w:color w:val="auto"/>
          <w:sz w:val="24"/>
          <w:szCs w:val="24"/>
        </w:rPr>
      </w:pPr>
    </w:p>
    <w:p w14:paraId="47F15CF7">
      <w:pPr>
        <w:pStyle w:val="45"/>
        <w:ind w:firstLine="240"/>
        <w:rPr>
          <w:rFonts w:hint="eastAsia" w:ascii="宋体" w:hAnsi="宋体"/>
          <w:color w:val="auto"/>
          <w:sz w:val="24"/>
          <w:szCs w:val="24"/>
        </w:rPr>
      </w:pPr>
      <w:r>
        <w:rPr>
          <w:rFonts w:hint="eastAsia" w:ascii="宋体" w:hAnsi="宋体"/>
          <w:color w:val="auto"/>
          <w:sz w:val="24"/>
          <w:szCs w:val="24"/>
        </w:rPr>
        <w:t>各供应商：</w:t>
      </w:r>
    </w:p>
    <w:p w14:paraId="11885D81">
      <w:pPr>
        <w:pStyle w:val="45"/>
        <w:ind w:firstLine="240"/>
        <w:rPr>
          <w:rFonts w:hint="eastAsia" w:ascii="宋体" w:hAnsi="宋体"/>
          <w:color w:val="auto"/>
          <w:sz w:val="24"/>
          <w:szCs w:val="24"/>
        </w:rPr>
      </w:pPr>
      <w:r>
        <w:rPr>
          <w:rFonts w:hint="eastAsia" w:ascii="宋体" w:hAnsi="宋体"/>
          <w:color w:val="auto"/>
          <w:sz w:val="24"/>
          <w:szCs w:val="24"/>
        </w:rPr>
        <w:t>欢迎贵公司参与周口市政府采购活动！</w:t>
      </w:r>
    </w:p>
    <w:p w14:paraId="3777D550">
      <w:pPr>
        <w:pStyle w:val="45"/>
        <w:ind w:firstLine="240"/>
        <w:rPr>
          <w:rFonts w:hint="eastAsia" w:ascii="宋体" w:hAnsi="宋体"/>
          <w:color w:val="auto"/>
          <w:sz w:val="24"/>
          <w:szCs w:val="24"/>
        </w:rPr>
      </w:pPr>
      <w:r>
        <w:rPr>
          <w:rFonts w:hint="eastAsia" w:ascii="宋体" w:hAnsi="宋体"/>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3F216D">
      <w:pPr>
        <w:pStyle w:val="45"/>
        <w:ind w:firstLine="240"/>
        <w:rPr>
          <w:rFonts w:hint="eastAsia" w:ascii="宋体" w:hAnsi="宋体"/>
          <w:color w:val="auto"/>
          <w:sz w:val="24"/>
          <w:szCs w:val="24"/>
        </w:rPr>
      </w:pPr>
      <w:r>
        <w:rPr>
          <w:rFonts w:hint="eastAsia" w:ascii="宋体" w:hAnsi="宋体"/>
          <w:color w:val="auto"/>
          <w:sz w:val="24"/>
          <w:szCs w:val="24"/>
        </w:rPr>
        <w:t>贷款渠道和提供贷款的金融机构，可在河南省政府采购网“河南省政府采购合同融资平台”查询联系。</w:t>
      </w:r>
    </w:p>
    <w:p w14:paraId="0FF21164">
      <w:pPr>
        <w:pStyle w:val="25"/>
        <w:spacing w:before="0" w:beforeAutospacing="0" w:after="0" w:afterAutospacing="0" w:line="330" w:lineRule="atLeast"/>
        <w:rPr>
          <w:rFonts w:hint="eastAsia" w:cs="仿宋_GB2312"/>
          <w:b/>
          <w:bCs/>
          <w:color w:val="auto"/>
          <w:sz w:val="21"/>
          <w:szCs w:val="21"/>
        </w:rPr>
      </w:pPr>
    </w:p>
    <w:p w14:paraId="5491E50C">
      <w:pPr>
        <w:rPr>
          <w:rFonts w:hint="eastAsia" w:ascii="宋体" w:hAnsi="宋体" w:cs="宋体"/>
          <w:b/>
          <w:color w:val="auto"/>
          <w:sz w:val="28"/>
          <w:szCs w:val="28"/>
        </w:rPr>
      </w:pPr>
      <w:r>
        <w:rPr>
          <w:rFonts w:hint="eastAsia" w:ascii="宋体" w:hAnsi="宋体" w:cs="宋体"/>
          <w:b/>
          <w:color w:val="auto"/>
          <w:sz w:val="28"/>
          <w:szCs w:val="28"/>
        </w:rPr>
        <w:br w:type="page"/>
      </w:r>
    </w:p>
    <w:p w14:paraId="7C0CCE47">
      <w:pPr>
        <w:spacing w:line="380" w:lineRule="exact"/>
        <w:jc w:val="center"/>
        <w:rPr>
          <w:rFonts w:hint="eastAsia" w:ascii="宋体" w:hAnsi="宋体" w:cs="宋体"/>
          <w:b/>
          <w:color w:val="auto"/>
          <w:sz w:val="28"/>
          <w:szCs w:val="28"/>
        </w:rPr>
      </w:pPr>
      <w:r>
        <w:rPr>
          <w:rFonts w:hint="eastAsia" w:ascii="宋体" w:hAnsi="宋体" w:cs="宋体"/>
          <w:b/>
          <w:color w:val="auto"/>
          <w:sz w:val="28"/>
          <w:szCs w:val="28"/>
        </w:rPr>
        <w:t>十四．政府采购供应商诚信承诺书</w:t>
      </w:r>
    </w:p>
    <w:p w14:paraId="12528098">
      <w:pPr>
        <w:spacing w:line="380" w:lineRule="exact"/>
        <w:jc w:val="center"/>
        <w:rPr>
          <w:rFonts w:hint="eastAsia" w:ascii="宋体" w:hAnsi="宋体" w:cs="宋体"/>
          <w:b/>
          <w:color w:val="auto"/>
          <w:sz w:val="24"/>
        </w:rPr>
      </w:pPr>
    </w:p>
    <w:p w14:paraId="021BF202">
      <w:pPr>
        <w:spacing w:line="380" w:lineRule="exact"/>
        <w:ind w:firstLine="480" w:firstLineChars="2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51FDF57">
      <w:pPr>
        <w:spacing w:line="380" w:lineRule="exact"/>
        <w:ind w:firstLine="403" w:firstLineChars="168"/>
        <w:rPr>
          <w:rFonts w:hint="eastAsia" w:ascii="宋体" w:hAnsi="宋体" w:cs="宋体"/>
          <w:color w:val="auto"/>
          <w:sz w:val="24"/>
        </w:rPr>
      </w:pPr>
      <w:r>
        <w:rPr>
          <w:rFonts w:hint="eastAsia" w:ascii="宋体" w:hAnsi="宋体" w:cs="宋体"/>
          <w:color w:val="auto"/>
          <w:sz w:val="24"/>
        </w:rPr>
        <w:t>（一）提供虚假材料谋取中标;</w:t>
      </w:r>
    </w:p>
    <w:p w14:paraId="32C7D151">
      <w:pPr>
        <w:spacing w:line="380" w:lineRule="exact"/>
        <w:ind w:firstLine="403" w:firstLineChars="168"/>
        <w:rPr>
          <w:rFonts w:hint="eastAsia" w:ascii="宋体" w:hAnsi="宋体" w:cs="宋体"/>
          <w:color w:val="auto"/>
          <w:sz w:val="24"/>
        </w:rPr>
      </w:pPr>
      <w:r>
        <w:rPr>
          <w:rFonts w:hint="eastAsia" w:ascii="宋体" w:hAnsi="宋体" w:cs="宋体"/>
          <w:color w:val="auto"/>
          <w:sz w:val="24"/>
        </w:rPr>
        <w:t>（二）采取不正当手段诋毁、排挤其他供应商;</w:t>
      </w:r>
    </w:p>
    <w:p w14:paraId="36B5F08D">
      <w:pPr>
        <w:spacing w:line="380" w:lineRule="exact"/>
        <w:ind w:firstLine="403" w:firstLineChars="168"/>
        <w:rPr>
          <w:rFonts w:hint="eastAsia" w:ascii="宋体" w:hAnsi="宋体" w:cs="宋体"/>
          <w:color w:val="auto"/>
          <w:sz w:val="24"/>
        </w:rPr>
      </w:pPr>
      <w:r>
        <w:rPr>
          <w:rFonts w:hint="eastAsia" w:ascii="宋体" w:hAnsi="宋体" w:cs="宋体"/>
          <w:color w:val="auto"/>
          <w:sz w:val="24"/>
        </w:rPr>
        <w:t>（三）与招标采购单位、其他投标人恶意串通;</w:t>
      </w:r>
    </w:p>
    <w:p w14:paraId="7CDA1D89">
      <w:pPr>
        <w:spacing w:line="380" w:lineRule="exact"/>
        <w:ind w:firstLine="403" w:firstLineChars="168"/>
        <w:rPr>
          <w:rFonts w:hint="eastAsia" w:ascii="宋体" w:hAnsi="宋体" w:cs="宋体"/>
          <w:color w:val="auto"/>
          <w:sz w:val="24"/>
        </w:rPr>
      </w:pPr>
      <w:r>
        <w:rPr>
          <w:rFonts w:hint="eastAsia" w:ascii="宋体" w:hAnsi="宋体" w:cs="宋体"/>
          <w:color w:val="auto"/>
          <w:sz w:val="24"/>
        </w:rPr>
        <w:t>（四）向招标采购单位或提供其他不正当利益;</w:t>
      </w:r>
    </w:p>
    <w:p w14:paraId="56ABFDDD">
      <w:pPr>
        <w:spacing w:line="380" w:lineRule="exact"/>
        <w:ind w:firstLine="403" w:firstLineChars="168"/>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F36F31C">
      <w:pPr>
        <w:spacing w:line="380" w:lineRule="exact"/>
        <w:ind w:firstLine="403" w:firstLineChars="168"/>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1A193B43">
      <w:pPr>
        <w:spacing w:line="380" w:lineRule="exact"/>
        <w:ind w:firstLine="403" w:firstLineChars="168"/>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550334C2">
      <w:pPr>
        <w:spacing w:line="380" w:lineRule="exact"/>
        <w:ind w:firstLine="403" w:firstLineChars="168"/>
        <w:rPr>
          <w:rFonts w:hint="eastAsia" w:ascii="宋体" w:hAnsi="宋体" w:cs="宋体"/>
          <w:color w:val="auto"/>
          <w:sz w:val="24"/>
        </w:rPr>
      </w:pPr>
      <w:r>
        <w:rPr>
          <w:rFonts w:hint="eastAsia" w:ascii="宋体" w:hAnsi="宋体" w:cs="宋体"/>
          <w:color w:val="auto"/>
          <w:sz w:val="24"/>
        </w:rPr>
        <w:t>（八）将中标项目转让给他人或非法分包他人;</w:t>
      </w:r>
    </w:p>
    <w:p w14:paraId="770BD1E3">
      <w:pPr>
        <w:spacing w:line="380" w:lineRule="exact"/>
        <w:ind w:firstLine="403" w:firstLineChars="168"/>
        <w:rPr>
          <w:rFonts w:hint="eastAsia" w:ascii="宋体" w:hAnsi="宋体" w:cs="宋体"/>
          <w:color w:val="auto"/>
          <w:sz w:val="24"/>
        </w:rPr>
      </w:pPr>
      <w:r>
        <w:rPr>
          <w:rFonts w:hint="eastAsia" w:ascii="宋体" w:hAnsi="宋体" w:cs="宋体"/>
          <w:color w:val="auto"/>
          <w:sz w:val="24"/>
        </w:rPr>
        <w:t>（九）无正当理由，拒绝履行合同义务;</w:t>
      </w:r>
    </w:p>
    <w:p w14:paraId="1B7FE262">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（十）无正当理由放弃中标（成交）项目;</w:t>
      </w:r>
    </w:p>
    <w:p w14:paraId="141C9941">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（十ー）擅自或与与采购人串通或接受采购人要求，在履约合同中通过减少货物数量，更换品牌、降低配置、技术要求、质量和服务标准等，却仍按原合同进行虚假验收或终止政府采购合同;</w:t>
      </w:r>
    </w:p>
    <w:p w14:paraId="28300950">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55E20C77">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5C05193B">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4AA5CAC5">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5560B557">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7A19B945">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47E59722">
      <w:pPr>
        <w:spacing w:line="380" w:lineRule="exact"/>
        <w:rPr>
          <w:rFonts w:hint="eastAsia" w:ascii="宋体" w:hAnsi="宋体" w:cs="宋体"/>
          <w:color w:val="auto"/>
          <w:sz w:val="24"/>
        </w:rPr>
      </w:pPr>
    </w:p>
    <w:p w14:paraId="4DE3D1FC">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供应商名称：（电子公章）</w:t>
      </w:r>
    </w:p>
    <w:p w14:paraId="37FB9A32">
      <w:pPr>
        <w:spacing w:line="380" w:lineRule="exact"/>
        <w:ind w:right="640" w:firstLine="1560" w:firstLineChars="650"/>
        <w:rPr>
          <w:rFonts w:hint="eastAsia" w:ascii="宋体" w:hAnsi="宋体" w:cs="宋体"/>
          <w:color w:val="auto"/>
          <w:sz w:val="24"/>
        </w:rPr>
      </w:pPr>
    </w:p>
    <w:p w14:paraId="4A574E59">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法定代表人或授权委托人：        （签章）</w:t>
      </w:r>
    </w:p>
    <w:p w14:paraId="1265928A">
      <w:pPr>
        <w:spacing w:line="380" w:lineRule="exact"/>
        <w:jc w:val="center"/>
        <w:rPr>
          <w:rFonts w:hint="eastAsia" w:ascii="宋体" w:hAnsi="宋体" w:cs="宋体"/>
          <w:color w:val="auto"/>
          <w:sz w:val="24"/>
        </w:rPr>
      </w:pPr>
    </w:p>
    <w:p w14:paraId="5DB36251">
      <w:pPr>
        <w:jc w:val="center"/>
        <w:rPr>
          <w:rFonts w:hint="eastAsia" w:ascii="宋体" w:hAnsi="宋体" w:cs="宋体"/>
          <w:color w:val="auto"/>
          <w:sz w:val="24"/>
        </w:rPr>
      </w:pPr>
      <w:r>
        <w:rPr>
          <w:rFonts w:hint="eastAsia" w:ascii="宋体" w:hAnsi="宋体" w:cs="宋体"/>
          <w:color w:val="auto"/>
          <w:sz w:val="24"/>
        </w:rPr>
        <w:t xml:space="preserve">               日期：      年   月    日</w:t>
      </w:r>
    </w:p>
    <w:p w14:paraId="45CFA161">
      <w:pPr>
        <w:rPr>
          <w:b/>
          <w:color w:val="auto"/>
          <w:sz w:val="32"/>
          <w:szCs w:val="32"/>
        </w:rPr>
      </w:pPr>
    </w:p>
    <w:sectPr>
      <w:pgSz w:w="11906" w:h="16838"/>
      <w:pgMar w:top="1389" w:right="1440" w:bottom="1440" w:left="1389"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5383318-0228-477F-806B-3FE93193C752}"/>
  </w:font>
  <w:font w:name="黑体">
    <w:panose1 w:val="02010609060101010101"/>
    <w:charset w:val="86"/>
    <w:family w:val="auto"/>
    <w:pitch w:val="default"/>
    <w:sig w:usb0="800002BF" w:usb1="38CF7CFA" w:usb2="00000016" w:usb3="00000000" w:csb0="00040001" w:csb1="00000000"/>
    <w:embedRegular r:id="rId2" w:fontKey="{9D6C35D7-3D83-43DC-B29D-FAE38614F5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3" w:fontKey="{9C0D99E1-FE24-401F-9B51-900905903FB8}"/>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87C38">
    <w:pPr>
      <w:pStyle w:val="18"/>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a:effectLst/>
                    </wps:spPr>
                    <wps:txbx>
                      <w:txbxContent>
                        <w:p w14:paraId="37A5B2AD">
                          <w:pPr>
                            <w:pStyle w:val="18"/>
                            <w:rPr>
                              <w:rStyle w:val="32"/>
                            </w:rPr>
                          </w:pPr>
                          <w:r>
                            <w:fldChar w:fldCharType="begin"/>
                          </w:r>
                          <w:r>
                            <w:rPr>
                              <w:rStyle w:val="32"/>
                            </w:rPr>
                            <w:instrText xml:space="preserve">PAGE   \* MERGEFORMAT</w:instrText>
                          </w:r>
                          <w:r>
                            <w:fldChar w:fldCharType="separate"/>
                          </w:r>
                          <w:r>
                            <w:rPr>
                              <w:rStyle w:val="32"/>
                              <w:lang w:val="zh-CN"/>
                            </w:rPr>
                            <w:t>1</w:t>
                          </w:r>
                          <w:r>
                            <w:fldChar w:fldCharType="end"/>
                          </w:r>
                        </w:p>
                      </w:txbxContent>
                    </wps:txbx>
                    <wps:bodyPr lIns="0" tIns="0" rIns="0" bIns="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JXX2lvUAAAAAwEAAA8AAAAAAAAAAQAgAAAAIgAAAGRycy9kb3ducmV2LnhtbFBLAQIUABQAAAAI&#10;AIdO4kDEE/S0uAEAAHMDAAAOAAAAAAAAAAEAIAAAACMBAABkcnMvZTJvRG9jLnhtbFBLBQYAAAAA&#10;BgAGAFkBAABNBQAAAAA=&#10;">
              <v:fill on="f" focussize="0,0"/>
              <v:stroke on="f"/>
              <v:imagedata o:title=""/>
              <o:lock v:ext="edit" aspectratio="f"/>
              <v:textbox inset="0mm,0mm,0mm,0mm">
                <w:txbxContent>
                  <w:p w14:paraId="37A5B2AD">
                    <w:pPr>
                      <w:pStyle w:val="18"/>
                      <w:rPr>
                        <w:rStyle w:val="32"/>
                      </w:rPr>
                    </w:pPr>
                    <w:r>
                      <w:fldChar w:fldCharType="begin"/>
                    </w:r>
                    <w:r>
                      <w:rPr>
                        <w:rStyle w:val="32"/>
                      </w:rPr>
                      <w:instrText xml:space="preserve">PAGE   \* MERGEFORMAT</w:instrText>
                    </w:r>
                    <w:r>
                      <w:fldChar w:fldCharType="separate"/>
                    </w:r>
                    <w:r>
                      <w:rPr>
                        <w:rStyle w:val="32"/>
                        <w:lang w:val="zh-CN"/>
                      </w:rP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575F">
    <w:pPr>
      <w:pStyle w:val="1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D6FF6D02"/>
    <w:multiLevelType w:val="multilevel"/>
    <w:tmpl w:val="D6FF6D02"/>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E0794FE3"/>
    <w:multiLevelType w:val="multilevel"/>
    <w:tmpl w:val="E0794FE3"/>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E118E860"/>
    <w:multiLevelType w:val="singleLevel"/>
    <w:tmpl w:val="E118E860"/>
    <w:lvl w:ilvl="0" w:tentative="0">
      <w:start w:val="7"/>
      <w:numFmt w:val="chineseCounting"/>
      <w:suff w:val="space"/>
      <w:lvlText w:val="第%1章"/>
      <w:lvlJc w:val="left"/>
      <w:rPr>
        <w:rFonts w:hint="eastAsia"/>
      </w:rPr>
    </w:lvl>
  </w:abstractNum>
  <w:abstractNum w:abstractNumId="4">
    <w:nsid w:val="ECC25E09"/>
    <w:multiLevelType w:val="multilevel"/>
    <w:tmpl w:val="ECC25E09"/>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70EBEF6"/>
    <w:multiLevelType w:val="singleLevel"/>
    <w:tmpl w:val="070EBEF6"/>
    <w:lvl w:ilvl="0" w:tentative="0">
      <w:start w:val="3"/>
      <w:numFmt w:val="decimal"/>
      <w:lvlText w:val="%1."/>
      <w:lvlJc w:val="left"/>
      <w:pPr>
        <w:tabs>
          <w:tab w:val="left" w:pos="312"/>
        </w:tabs>
      </w:pPr>
    </w:lvl>
  </w:abstractNum>
  <w:abstractNum w:abstractNumId="7">
    <w:nsid w:val="6058BAAF"/>
    <w:multiLevelType w:val="singleLevel"/>
    <w:tmpl w:val="6058BAAF"/>
    <w:lvl w:ilvl="0" w:tentative="0">
      <w:start w:val="1"/>
      <w:numFmt w:val="decimal"/>
      <w:suff w:val="nothing"/>
      <w:lvlText w:val="%1、"/>
      <w:lvlJc w:val="left"/>
    </w:lvl>
  </w:abstractNum>
  <w:abstractNum w:abstractNumId="8">
    <w:nsid w:val="670E004F"/>
    <w:multiLevelType w:val="singleLevel"/>
    <w:tmpl w:val="670E004F"/>
    <w:lvl w:ilvl="0" w:tentative="0">
      <w:start w:val="3"/>
      <w:numFmt w:val="chineseCounting"/>
      <w:suff w:val="nothing"/>
      <w:lvlText w:val="%1、"/>
      <w:lvlJc w:val="left"/>
      <w:rPr>
        <w:rFonts w:hint="eastAsia"/>
      </w:rPr>
    </w:lvl>
  </w:abstractNum>
  <w:num w:numId="1">
    <w:abstractNumId w:val="6"/>
  </w:num>
  <w:num w:numId="2">
    <w:abstractNumId w:val="2"/>
  </w:num>
  <w:num w:numId="3">
    <w:abstractNumId w:val="4"/>
  </w:num>
  <w:num w:numId="4">
    <w:abstractNumId w:val="1"/>
  </w:num>
  <w:num w:numId="5">
    <w:abstractNumId w:val="8"/>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OWM2NGIyODQ5NjlkZTExYzA2NzE1YTNlYTVkY2MifQ=="/>
  </w:docVars>
  <w:rsids>
    <w:rsidRoot w:val="3AEF4B05"/>
    <w:rsid w:val="0007356C"/>
    <w:rsid w:val="00086102"/>
    <w:rsid w:val="000E20D4"/>
    <w:rsid w:val="00230256"/>
    <w:rsid w:val="002A0972"/>
    <w:rsid w:val="002F439A"/>
    <w:rsid w:val="00357064"/>
    <w:rsid w:val="003F7464"/>
    <w:rsid w:val="00401184"/>
    <w:rsid w:val="004E2968"/>
    <w:rsid w:val="00515207"/>
    <w:rsid w:val="00526096"/>
    <w:rsid w:val="005A5FBF"/>
    <w:rsid w:val="005C03D8"/>
    <w:rsid w:val="005F5EB8"/>
    <w:rsid w:val="00683DC9"/>
    <w:rsid w:val="006878FD"/>
    <w:rsid w:val="00712F93"/>
    <w:rsid w:val="0072625B"/>
    <w:rsid w:val="007C3A94"/>
    <w:rsid w:val="008A720D"/>
    <w:rsid w:val="008C2EEA"/>
    <w:rsid w:val="008E2A9D"/>
    <w:rsid w:val="008F2675"/>
    <w:rsid w:val="008F4C9A"/>
    <w:rsid w:val="00961A0A"/>
    <w:rsid w:val="0097086F"/>
    <w:rsid w:val="0097430A"/>
    <w:rsid w:val="00982CE4"/>
    <w:rsid w:val="009B2445"/>
    <w:rsid w:val="009C2D85"/>
    <w:rsid w:val="009F4C8A"/>
    <w:rsid w:val="00A025A8"/>
    <w:rsid w:val="00A42F54"/>
    <w:rsid w:val="00A8720E"/>
    <w:rsid w:val="00A959AA"/>
    <w:rsid w:val="00AA0007"/>
    <w:rsid w:val="00B0601F"/>
    <w:rsid w:val="00B82F8B"/>
    <w:rsid w:val="00BB34D1"/>
    <w:rsid w:val="00BF6EAB"/>
    <w:rsid w:val="00C42E2C"/>
    <w:rsid w:val="00C550E3"/>
    <w:rsid w:val="00CE0C2E"/>
    <w:rsid w:val="00CF2E0A"/>
    <w:rsid w:val="00D003EF"/>
    <w:rsid w:val="00D509E0"/>
    <w:rsid w:val="00E21ED1"/>
    <w:rsid w:val="00E4790F"/>
    <w:rsid w:val="00EC407F"/>
    <w:rsid w:val="00FB619A"/>
    <w:rsid w:val="00FC0C1D"/>
    <w:rsid w:val="00FC206D"/>
    <w:rsid w:val="00FE7FDE"/>
    <w:rsid w:val="013435B5"/>
    <w:rsid w:val="016C033C"/>
    <w:rsid w:val="016F45ED"/>
    <w:rsid w:val="025175E3"/>
    <w:rsid w:val="03014BA1"/>
    <w:rsid w:val="03435BBE"/>
    <w:rsid w:val="037A3AFD"/>
    <w:rsid w:val="03B22EB7"/>
    <w:rsid w:val="04293179"/>
    <w:rsid w:val="0457232B"/>
    <w:rsid w:val="046800D1"/>
    <w:rsid w:val="048C308C"/>
    <w:rsid w:val="048E7480"/>
    <w:rsid w:val="051558E2"/>
    <w:rsid w:val="05551D4C"/>
    <w:rsid w:val="05F31C91"/>
    <w:rsid w:val="07856705"/>
    <w:rsid w:val="07A82607"/>
    <w:rsid w:val="07BB7464"/>
    <w:rsid w:val="080A1514"/>
    <w:rsid w:val="08631D98"/>
    <w:rsid w:val="08FE3850"/>
    <w:rsid w:val="0B5F56D3"/>
    <w:rsid w:val="0BBF4826"/>
    <w:rsid w:val="0BE342E4"/>
    <w:rsid w:val="0C0915B8"/>
    <w:rsid w:val="0C7C4DBA"/>
    <w:rsid w:val="0CA57A5D"/>
    <w:rsid w:val="0CD05D01"/>
    <w:rsid w:val="0CED738A"/>
    <w:rsid w:val="0D2766C4"/>
    <w:rsid w:val="0DA151AB"/>
    <w:rsid w:val="0DB31D06"/>
    <w:rsid w:val="0DCB704F"/>
    <w:rsid w:val="0E933C61"/>
    <w:rsid w:val="0EAE0E4B"/>
    <w:rsid w:val="0EBE409D"/>
    <w:rsid w:val="0ED63EFE"/>
    <w:rsid w:val="0F843DFB"/>
    <w:rsid w:val="0F8B4CE8"/>
    <w:rsid w:val="10601FD5"/>
    <w:rsid w:val="10725009"/>
    <w:rsid w:val="1090632E"/>
    <w:rsid w:val="10E548CC"/>
    <w:rsid w:val="12377FEB"/>
    <w:rsid w:val="12437AFC"/>
    <w:rsid w:val="124A70DD"/>
    <w:rsid w:val="12841917"/>
    <w:rsid w:val="12A14823"/>
    <w:rsid w:val="12B5349E"/>
    <w:rsid w:val="12F76475"/>
    <w:rsid w:val="13213120"/>
    <w:rsid w:val="13315BA7"/>
    <w:rsid w:val="1384118D"/>
    <w:rsid w:val="13E75935"/>
    <w:rsid w:val="146D2C0E"/>
    <w:rsid w:val="14D94748"/>
    <w:rsid w:val="14EF7AC7"/>
    <w:rsid w:val="158F1E4E"/>
    <w:rsid w:val="15935E14"/>
    <w:rsid w:val="15FC6940"/>
    <w:rsid w:val="166362E5"/>
    <w:rsid w:val="17B9616B"/>
    <w:rsid w:val="17C9257A"/>
    <w:rsid w:val="18934C0E"/>
    <w:rsid w:val="18E216F1"/>
    <w:rsid w:val="19F32613"/>
    <w:rsid w:val="1A226249"/>
    <w:rsid w:val="1A8F5615"/>
    <w:rsid w:val="1AE11650"/>
    <w:rsid w:val="1B0B4F2F"/>
    <w:rsid w:val="1B486183"/>
    <w:rsid w:val="1B760AE4"/>
    <w:rsid w:val="1C19367C"/>
    <w:rsid w:val="1C9D605B"/>
    <w:rsid w:val="1CA94A00"/>
    <w:rsid w:val="1EC27FFB"/>
    <w:rsid w:val="1EC410C3"/>
    <w:rsid w:val="1F9D6372"/>
    <w:rsid w:val="1FA26223"/>
    <w:rsid w:val="1FC85AE5"/>
    <w:rsid w:val="1FE860F8"/>
    <w:rsid w:val="20B61DE1"/>
    <w:rsid w:val="20D34741"/>
    <w:rsid w:val="20F07577"/>
    <w:rsid w:val="21262DE6"/>
    <w:rsid w:val="214E3DC8"/>
    <w:rsid w:val="21C66054"/>
    <w:rsid w:val="21E02A17"/>
    <w:rsid w:val="222039B6"/>
    <w:rsid w:val="22C75BE0"/>
    <w:rsid w:val="22EE7610"/>
    <w:rsid w:val="239416CC"/>
    <w:rsid w:val="23A307E0"/>
    <w:rsid w:val="24215DEE"/>
    <w:rsid w:val="242E2AF3"/>
    <w:rsid w:val="248024EA"/>
    <w:rsid w:val="24E376E6"/>
    <w:rsid w:val="25A65182"/>
    <w:rsid w:val="25F136F5"/>
    <w:rsid w:val="26386BE4"/>
    <w:rsid w:val="264015EC"/>
    <w:rsid w:val="271E123D"/>
    <w:rsid w:val="279749F2"/>
    <w:rsid w:val="27FF406E"/>
    <w:rsid w:val="295757E3"/>
    <w:rsid w:val="295959FF"/>
    <w:rsid w:val="29CB00FF"/>
    <w:rsid w:val="29D67050"/>
    <w:rsid w:val="2A5A558B"/>
    <w:rsid w:val="2A6A1FA4"/>
    <w:rsid w:val="2AE23E9E"/>
    <w:rsid w:val="2BAE2033"/>
    <w:rsid w:val="2C0156C7"/>
    <w:rsid w:val="2C21758E"/>
    <w:rsid w:val="2C820DC9"/>
    <w:rsid w:val="2CC80D37"/>
    <w:rsid w:val="2D0839C4"/>
    <w:rsid w:val="2DC45B3D"/>
    <w:rsid w:val="2DDC7133"/>
    <w:rsid w:val="2DF81343"/>
    <w:rsid w:val="2F4E39DF"/>
    <w:rsid w:val="2F5928D5"/>
    <w:rsid w:val="2F926239"/>
    <w:rsid w:val="2F9C21A2"/>
    <w:rsid w:val="300C5C28"/>
    <w:rsid w:val="300F506A"/>
    <w:rsid w:val="30214FD2"/>
    <w:rsid w:val="305A4537"/>
    <w:rsid w:val="30872E52"/>
    <w:rsid w:val="30F0044A"/>
    <w:rsid w:val="31385CA0"/>
    <w:rsid w:val="3310254A"/>
    <w:rsid w:val="334B5369"/>
    <w:rsid w:val="3381627F"/>
    <w:rsid w:val="33B65F28"/>
    <w:rsid w:val="341006AF"/>
    <w:rsid w:val="34140EA1"/>
    <w:rsid w:val="34E34862"/>
    <w:rsid w:val="35001FCE"/>
    <w:rsid w:val="351B6E18"/>
    <w:rsid w:val="353545BA"/>
    <w:rsid w:val="35C21016"/>
    <w:rsid w:val="37893954"/>
    <w:rsid w:val="37FA6426"/>
    <w:rsid w:val="38C75B10"/>
    <w:rsid w:val="3905525C"/>
    <w:rsid w:val="39271051"/>
    <w:rsid w:val="39375B41"/>
    <w:rsid w:val="39DF446A"/>
    <w:rsid w:val="3A286675"/>
    <w:rsid w:val="3ADF25AF"/>
    <w:rsid w:val="3AEF4B05"/>
    <w:rsid w:val="3B343BD6"/>
    <w:rsid w:val="3CE35E84"/>
    <w:rsid w:val="3CE82ECA"/>
    <w:rsid w:val="3D1D0DC6"/>
    <w:rsid w:val="3D4E0F7F"/>
    <w:rsid w:val="3D714C6E"/>
    <w:rsid w:val="3D932E36"/>
    <w:rsid w:val="3D9A2B54"/>
    <w:rsid w:val="3DA54918"/>
    <w:rsid w:val="3DB37E93"/>
    <w:rsid w:val="3DDC1282"/>
    <w:rsid w:val="3DFF19BF"/>
    <w:rsid w:val="3E5C71F0"/>
    <w:rsid w:val="3EFF6AAA"/>
    <w:rsid w:val="404D383F"/>
    <w:rsid w:val="40754A75"/>
    <w:rsid w:val="40BC6905"/>
    <w:rsid w:val="40EB5625"/>
    <w:rsid w:val="41250249"/>
    <w:rsid w:val="414048E7"/>
    <w:rsid w:val="41501FD0"/>
    <w:rsid w:val="41A05B22"/>
    <w:rsid w:val="42CD3559"/>
    <w:rsid w:val="42DC0376"/>
    <w:rsid w:val="438453CE"/>
    <w:rsid w:val="442944F4"/>
    <w:rsid w:val="443C3B44"/>
    <w:rsid w:val="455455A1"/>
    <w:rsid w:val="455530C7"/>
    <w:rsid w:val="462A00B0"/>
    <w:rsid w:val="46360E76"/>
    <w:rsid w:val="46503FBA"/>
    <w:rsid w:val="465C65CE"/>
    <w:rsid w:val="479C6D8B"/>
    <w:rsid w:val="47C92D3C"/>
    <w:rsid w:val="484A67E7"/>
    <w:rsid w:val="48F36F76"/>
    <w:rsid w:val="48F50123"/>
    <w:rsid w:val="499F5FF1"/>
    <w:rsid w:val="4A1E1CDA"/>
    <w:rsid w:val="4B6D42C0"/>
    <w:rsid w:val="4B7F4E5D"/>
    <w:rsid w:val="4B8B0F02"/>
    <w:rsid w:val="4BA77F75"/>
    <w:rsid w:val="4BD761B9"/>
    <w:rsid w:val="4BEA4569"/>
    <w:rsid w:val="4BFE6BD8"/>
    <w:rsid w:val="4C7D53DD"/>
    <w:rsid w:val="4C916D27"/>
    <w:rsid w:val="4C9444D5"/>
    <w:rsid w:val="4D3A5B51"/>
    <w:rsid w:val="4F271630"/>
    <w:rsid w:val="4F572FB5"/>
    <w:rsid w:val="4F7B0EA8"/>
    <w:rsid w:val="4F8E53FD"/>
    <w:rsid w:val="4FB86719"/>
    <w:rsid w:val="4FF27066"/>
    <w:rsid w:val="4FF311D0"/>
    <w:rsid w:val="51D71203"/>
    <w:rsid w:val="521A4710"/>
    <w:rsid w:val="52801F5C"/>
    <w:rsid w:val="52B17B73"/>
    <w:rsid w:val="52B63410"/>
    <w:rsid w:val="543F566E"/>
    <w:rsid w:val="547A48F8"/>
    <w:rsid w:val="548D514B"/>
    <w:rsid w:val="54ED2139"/>
    <w:rsid w:val="551628BB"/>
    <w:rsid w:val="553D7E00"/>
    <w:rsid w:val="56130B60"/>
    <w:rsid w:val="57633422"/>
    <w:rsid w:val="57FA3666"/>
    <w:rsid w:val="580D499E"/>
    <w:rsid w:val="58862772"/>
    <w:rsid w:val="58D42829"/>
    <w:rsid w:val="58F509F1"/>
    <w:rsid w:val="59103135"/>
    <w:rsid w:val="59462FFB"/>
    <w:rsid w:val="59800070"/>
    <w:rsid w:val="5A6776CD"/>
    <w:rsid w:val="5AAE70AA"/>
    <w:rsid w:val="5AEE394A"/>
    <w:rsid w:val="5B311D2E"/>
    <w:rsid w:val="5B9D37EC"/>
    <w:rsid w:val="5BDFFDAF"/>
    <w:rsid w:val="5C78796F"/>
    <w:rsid w:val="5C797243"/>
    <w:rsid w:val="5C8A1451"/>
    <w:rsid w:val="5CA2740B"/>
    <w:rsid w:val="5DAD189A"/>
    <w:rsid w:val="5DE80B25"/>
    <w:rsid w:val="5E203E1A"/>
    <w:rsid w:val="5E317DD6"/>
    <w:rsid w:val="5E4C2E61"/>
    <w:rsid w:val="5EC724E8"/>
    <w:rsid w:val="5EF62DCD"/>
    <w:rsid w:val="5FB92779"/>
    <w:rsid w:val="600D5327"/>
    <w:rsid w:val="61D513C0"/>
    <w:rsid w:val="6299419B"/>
    <w:rsid w:val="634A6066"/>
    <w:rsid w:val="638776C9"/>
    <w:rsid w:val="63C66CAD"/>
    <w:rsid w:val="63CD67F3"/>
    <w:rsid w:val="63E36016"/>
    <w:rsid w:val="64540CC2"/>
    <w:rsid w:val="648827B6"/>
    <w:rsid w:val="64DF6596"/>
    <w:rsid w:val="656C284C"/>
    <w:rsid w:val="66B0201E"/>
    <w:rsid w:val="66D460EA"/>
    <w:rsid w:val="68C64435"/>
    <w:rsid w:val="694B64F8"/>
    <w:rsid w:val="6A90057A"/>
    <w:rsid w:val="6AF27578"/>
    <w:rsid w:val="6B680BAF"/>
    <w:rsid w:val="6C0815ED"/>
    <w:rsid w:val="6C0B711B"/>
    <w:rsid w:val="6C8758C5"/>
    <w:rsid w:val="6DC9627D"/>
    <w:rsid w:val="6DE812FB"/>
    <w:rsid w:val="6E107469"/>
    <w:rsid w:val="6E695756"/>
    <w:rsid w:val="6EB5235D"/>
    <w:rsid w:val="6EF5507B"/>
    <w:rsid w:val="6EF72976"/>
    <w:rsid w:val="6F454EFF"/>
    <w:rsid w:val="700A66D9"/>
    <w:rsid w:val="70AD4450"/>
    <w:rsid w:val="71221EFC"/>
    <w:rsid w:val="717633E2"/>
    <w:rsid w:val="718F6E95"/>
    <w:rsid w:val="71BD6FFF"/>
    <w:rsid w:val="72A5093A"/>
    <w:rsid w:val="72D87345"/>
    <w:rsid w:val="73337CF4"/>
    <w:rsid w:val="733419E4"/>
    <w:rsid w:val="73D43285"/>
    <w:rsid w:val="73D94061"/>
    <w:rsid w:val="73F91EDD"/>
    <w:rsid w:val="73FF4D49"/>
    <w:rsid w:val="74F05498"/>
    <w:rsid w:val="75096F5F"/>
    <w:rsid w:val="75243D99"/>
    <w:rsid w:val="75671ED7"/>
    <w:rsid w:val="75B710B1"/>
    <w:rsid w:val="76A71125"/>
    <w:rsid w:val="76D66828"/>
    <w:rsid w:val="771D3195"/>
    <w:rsid w:val="77880253"/>
    <w:rsid w:val="784B5AE0"/>
    <w:rsid w:val="7914578F"/>
    <w:rsid w:val="792F0F5E"/>
    <w:rsid w:val="796706F8"/>
    <w:rsid w:val="7A0D5743"/>
    <w:rsid w:val="7AEE5A74"/>
    <w:rsid w:val="7B593E18"/>
    <w:rsid w:val="7BE44282"/>
    <w:rsid w:val="7C0A3603"/>
    <w:rsid w:val="7CB974BC"/>
    <w:rsid w:val="7CFB1883"/>
    <w:rsid w:val="7D256900"/>
    <w:rsid w:val="7DF06F0E"/>
    <w:rsid w:val="7E9B6AC9"/>
    <w:rsid w:val="7EDE76AE"/>
    <w:rsid w:val="7EF401A0"/>
    <w:rsid w:val="7F192494"/>
    <w:rsid w:val="9FFFCABE"/>
    <w:rsid w:val="ECC339D0"/>
    <w:rsid w:val="FFDAF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65"/>
    <w:qFormat/>
    <w:uiPriority w:val="0"/>
    <w:pPr>
      <w:keepNext/>
      <w:keepLines/>
      <w:spacing w:before="280" w:after="290" w:line="372" w:lineRule="auto"/>
      <w:outlineLvl w:val="4"/>
    </w:pPr>
    <w:rPr>
      <w:b/>
      <w:sz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7">
    <w:name w:val="table of authorities"/>
    <w:basedOn w:val="1"/>
    <w:next w:val="1"/>
    <w:qFormat/>
    <w:uiPriority w:val="0"/>
    <w:pPr>
      <w:ind w:left="420" w:leftChars="200"/>
    </w:pPr>
    <w:rPr>
      <w:b/>
      <w:bCs/>
      <w:sz w:val="24"/>
      <w:szCs w:val="24"/>
      <w:u w:val="single"/>
    </w:rPr>
  </w:style>
  <w:style w:type="paragraph" w:styleId="8">
    <w:name w:val="caption"/>
    <w:basedOn w:val="1"/>
    <w:next w:val="1"/>
    <w:qFormat/>
    <w:uiPriority w:val="0"/>
    <w:rPr>
      <w:rFonts w:ascii="Cambria" w:hAnsi="Cambria" w:eastAsia="黑体"/>
      <w:sz w:val="20"/>
    </w:rPr>
  </w:style>
  <w:style w:type="paragraph" w:styleId="9">
    <w:name w:val="annotation text"/>
    <w:basedOn w:val="1"/>
    <w:qFormat/>
    <w:uiPriority w:val="0"/>
    <w:pPr>
      <w:jc w:val="left"/>
    </w:pPr>
  </w:style>
  <w:style w:type="paragraph" w:styleId="10">
    <w:name w:val="Body Text 3"/>
    <w:basedOn w:val="1"/>
    <w:qFormat/>
    <w:uiPriority w:val="0"/>
    <w:rPr>
      <w:rFonts w:ascii="黑体" w:hAnsi="Arial" w:eastAsia="黑体"/>
      <w:b/>
      <w:sz w:val="28"/>
    </w:rPr>
  </w:style>
  <w:style w:type="paragraph" w:styleId="11">
    <w:name w:val="Body Text"/>
    <w:basedOn w:val="1"/>
    <w:next w:val="12"/>
    <w:qFormat/>
    <w:uiPriority w:val="0"/>
    <w:rPr>
      <w:rFonts w:ascii="宋体" w:hAnsi="Arial"/>
      <w:sz w:val="28"/>
    </w:rPr>
  </w:style>
  <w:style w:type="paragraph" w:customStyle="1" w:styleId="12">
    <w:name w:val="Body Text First Indent1"/>
    <w:basedOn w:val="11"/>
    <w:qFormat/>
    <w:uiPriority w:val="0"/>
    <w:pPr>
      <w:spacing w:line="360" w:lineRule="auto"/>
      <w:ind w:firstLine="420" w:firstLineChars="100"/>
    </w:pPr>
  </w:style>
  <w:style w:type="paragraph" w:styleId="13">
    <w:name w:val="Body Text Indent"/>
    <w:basedOn w:val="1"/>
    <w:next w:val="14"/>
    <w:qFormat/>
    <w:uiPriority w:val="0"/>
    <w:pPr>
      <w:ind w:firstLine="645"/>
    </w:pPr>
    <w:rPr>
      <w:rFonts w:ascii="楷体_GB2312" w:eastAsia="楷体_GB2312"/>
      <w:sz w:val="32"/>
    </w:rPr>
  </w:style>
  <w:style w:type="paragraph" w:styleId="14">
    <w:name w:val="envelope return"/>
    <w:basedOn w:val="1"/>
    <w:qFormat/>
    <w:uiPriority w:val="99"/>
    <w:pPr>
      <w:snapToGrid w:val="0"/>
    </w:pPr>
    <w:rPr>
      <w:rFonts w:ascii="Arial" w:hAnsi="Arial"/>
    </w:rPr>
  </w:style>
  <w:style w:type="paragraph" w:styleId="15">
    <w:name w:val="Plain Text"/>
    <w:basedOn w:val="1"/>
    <w:qFormat/>
    <w:uiPriority w:val="0"/>
    <w:rPr>
      <w:rFonts w:ascii="宋体" w:hAnsi="Courier New"/>
    </w:rPr>
  </w:style>
  <w:style w:type="paragraph" w:styleId="16">
    <w:name w:val="Date"/>
    <w:basedOn w:val="1"/>
    <w:next w:val="1"/>
    <w:qFormat/>
    <w:uiPriority w:val="0"/>
    <w:rPr>
      <w:b/>
      <w:sz w:val="28"/>
    </w:rPr>
  </w:style>
  <w:style w:type="paragraph" w:styleId="17">
    <w:name w:val="Body Text Indent 2"/>
    <w:basedOn w:val="1"/>
    <w:qFormat/>
    <w:uiPriority w:val="0"/>
    <w:pPr>
      <w:ind w:left="630" w:firstLine="645"/>
    </w:pPr>
    <w:rPr>
      <w:rFonts w:ascii="Arial" w:hAnsi="Arial" w:eastAsia="仿宋_GB2312"/>
      <w:sz w:val="32"/>
    </w:r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rPr>
  </w:style>
  <w:style w:type="paragraph" w:styleId="20">
    <w:name w:val="footnote text"/>
    <w:basedOn w:val="1"/>
    <w:qFormat/>
    <w:uiPriority w:val="99"/>
    <w:pPr>
      <w:snapToGrid w:val="0"/>
      <w:jc w:val="left"/>
    </w:pPr>
    <w:rPr>
      <w:sz w:val="18"/>
      <w:szCs w:val="18"/>
    </w:rPr>
  </w:style>
  <w:style w:type="paragraph" w:styleId="21">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22">
    <w:name w:val="toc 2"/>
    <w:basedOn w:val="1"/>
    <w:next w:val="1"/>
    <w:qFormat/>
    <w:uiPriority w:val="39"/>
    <w:pPr>
      <w:ind w:left="210"/>
      <w:jc w:val="left"/>
    </w:pPr>
    <w:rPr>
      <w:smallCaps/>
      <w:sz w:val="28"/>
      <w:szCs w:val="24"/>
    </w:rPr>
  </w:style>
  <w:style w:type="paragraph" w:styleId="23">
    <w:name w:val="Body Text 2"/>
    <w:basedOn w:val="1"/>
    <w:next w:val="11"/>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6">
    <w:name w:val="index 1"/>
    <w:basedOn w:val="1"/>
    <w:next w:val="1"/>
    <w:qFormat/>
    <w:uiPriority w:val="0"/>
    <w:pPr>
      <w:jc w:val="center"/>
    </w:pPr>
    <w:rPr>
      <w:rFonts w:ascii="仿宋_GB2312" w:eastAsia="仿宋_GB2312"/>
      <w:b/>
      <w:bCs/>
      <w:sz w:val="28"/>
    </w:rPr>
  </w:style>
  <w:style w:type="paragraph" w:styleId="27">
    <w:name w:val="Body Text First Indent"/>
    <w:basedOn w:val="1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8">
    <w:name w:val="Body Text First Indent 2"/>
    <w:basedOn w:val="13"/>
    <w:next w:val="1"/>
    <w:qFormat/>
    <w:uiPriority w:val="0"/>
    <w:pPr>
      <w:spacing w:after="120"/>
      <w:ind w:left="420" w:firstLine="210"/>
    </w:pPr>
    <w:rPr>
      <w:rFonts w:ascii="Times New Roman"/>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qFormat/>
    <w:uiPriority w:val="0"/>
  </w:style>
  <w:style w:type="character" w:styleId="33">
    <w:name w:val="FollowedHyperlink"/>
    <w:basedOn w:val="31"/>
    <w:qFormat/>
    <w:uiPriority w:val="0"/>
    <w:rPr>
      <w:color w:val="800080"/>
      <w:u w:val="none"/>
    </w:rPr>
  </w:style>
  <w:style w:type="character" w:styleId="34">
    <w:name w:val="Emphasis"/>
    <w:basedOn w:val="31"/>
    <w:qFormat/>
    <w:uiPriority w:val="0"/>
    <w:rPr>
      <w:i/>
    </w:rPr>
  </w:style>
  <w:style w:type="character" w:styleId="35">
    <w:name w:val="HTML Definition"/>
    <w:basedOn w:val="31"/>
    <w:qFormat/>
    <w:uiPriority w:val="0"/>
  </w:style>
  <w:style w:type="character" w:styleId="36">
    <w:name w:val="HTML Typewriter"/>
    <w:basedOn w:val="31"/>
    <w:qFormat/>
    <w:uiPriority w:val="0"/>
    <w:rPr>
      <w:rFonts w:ascii="monospace" w:hAnsi="monospace" w:eastAsia="monospace" w:cs="monospace"/>
      <w:sz w:val="20"/>
    </w:rPr>
  </w:style>
  <w:style w:type="character" w:styleId="37">
    <w:name w:val="HTML Acronym"/>
    <w:basedOn w:val="31"/>
    <w:qFormat/>
    <w:uiPriority w:val="0"/>
  </w:style>
  <w:style w:type="character" w:styleId="38">
    <w:name w:val="HTML Variable"/>
    <w:basedOn w:val="31"/>
    <w:qFormat/>
    <w:uiPriority w:val="0"/>
  </w:style>
  <w:style w:type="character" w:styleId="39">
    <w:name w:val="Hyperlink"/>
    <w:basedOn w:val="31"/>
    <w:qFormat/>
    <w:uiPriority w:val="0"/>
    <w:rPr>
      <w:color w:val="0000FF"/>
      <w:u w:val="none"/>
    </w:rPr>
  </w:style>
  <w:style w:type="character" w:styleId="40">
    <w:name w:val="HTML Code"/>
    <w:basedOn w:val="31"/>
    <w:qFormat/>
    <w:uiPriority w:val="0"/>
    <w:rPr>
      <w:rFonts w:hint="default" w:ascii="monospace" w:hAnsi="monospace" w:eastAsia="monospace" w:cs="monospace"/>
      <w:sz w:val="20"/>
    </w:rPr>
  </w:style>
  <w:style w:type="character" w:styleId="41">
    <w:name w:val="HTML Cite"/>
    <w:basedOn w:val="31"/>
    <w:qFormat/>
    <w:uiPriority w:val="0"/>
  </w:style>
  <w:style w:type="character" w:styleId="42">
    <w:name w:val="HTML Keyboard"/>
    <w:basedOn w:val="31"/>
    <w:qFormat/>
    <w:uiPriority w:val="0"/>
    <w:rPr>
      <w:rFonts w:hint="default" w:ascii="monospace" w:hAnsi="monospace" w:eastAsia="monospace" w:cs="monospace"/>
      <w:sz w:val="20"/>
    </w:rPr>
  </w:style>
  <w:style w:type="character" w:styleId="43">
    <w:name w:val="HTML Sample"/>
    <w:basedOn w:val="31"/>
    <w:qFormat/>
    <w:uiPriority w:val="0"/>
    <w:rPr>
      <w:rFonts w:hint="default" w:ascii="monospace" w:hAnsi="monospace" w:eastAsia="monospace" w:cs="monospace"/>
    </w:rPr>
  </w:style>
  <w:style w:type="paragraph" w:customStyle="1" w:styleId="44">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5">
    <w:name w:val="BodyText1I"/>
    <w:basedOn w:val="46"/>
    <w:qFormat/>
    <w:uiPriority w:val="99"/>
    <w:pPr>
      <w:ind w:firstLine="420" w:firstLineChars="100"/>
    </w:pPr>
  </w:style>
  <w:style w:type="paragraph" w:customStyle="1" w:styleId="46">
    <w:name w:val="BodyText"/>
    <w:basedOn w:val="1"/>
    <w:qFormat/>
    <w:uiPriority w:val="99"/>
    <w:pPr>
      <w:spacing w:after="120"/>
    </w:pPr>
  </w:style>
  <w:style w:type="paragraph" w:customStyle="1" w:styleId="47">
    <w:name w:val="无间隔1"/>
    <w:next w:val="8"/>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8">
    <w:name w:val="font41"/>
    <w:basedOn w:val="31"/>
    <w:qFormat/>
    <w:uiPriority w:val="0"/>
    <w:rPr>
      <w:rFonts w:ascii="微软雅黑" w:hAnsi="微软雅黑" w:eastAsia="微软雅黑" w:cs="微软雅黑"/>
      <w:b/>
      <w:color w:val="FFFFFF"/>
      <w:sz w:val="20"/>
      <w:szCs w:val="20"/>
      <w:u w:val="none"/>
    </w:rPr>
  </w:style>
  <w:style w:type="character" w:customStyle="1" w:styleId="49">
    <w:name w:val="font31"/>
    <w:basedOn w:val="31"/>
    <w:qFormat/>
    <w:uiPriority w:val="0"/>
    <w:rPr>
      <w:rFonts w:hint="eastAsia" w:ascii="宋体" w:hAnsi="宋体" w:eastAsia="宋体" w:cs="宋体"/>
      <w:color w:val="000000"/>
      <w:sz w:val="40"/>
      <w:szCs w:val="40"/>
      <w:u w:val="none"/>
    </w:rPr>
  </w:style>
  <w:style w:type="paragraph" w:customStyle="1" w:styleId="50">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table" w:customStyle="1" w:styleId="51">
    <w:name w:val="Table Normal"/>
    <w:unhideWhenUsed/>
    <w:qFormat/>
    <w:uiPriority w:val="0"/>
    <w:tblPr>
      <w:tblCellMar>
        <w:top w:w="0" w:type="dxa"/>
        <w:left w:w="0" w:type="dxa"/>
        <w:bottom w:w="0" w:type="dxa"/>
        <w:right w:w="0" w:type="dxa"/>
      </w:tblCellMar>
    </w:tblPr>
  </w:style>
  <w:style w:type="paragraph" w:customStyle="1" w:styleId="52">
    <w:name w:val="正文1"/>
    <w:basedOn w:val="1"/>
    <w:qFormat/>
    <w:uiPriority w:val="0"/>
    <w:pPr>
      <w:widowControl/>
      <w:topLinePunct/>
      <w:spacing w:beforeLines="50" w:afterLines="50" w:line="300" w:lineRule="auto"/>
      <w:ind w:left="420"/>
    </w:pPr>
    <w:rPr>
      <w:szCs w:val="24"/>
    </w:rPr>
  </w:style>
  <w:style w:type="paragraph" w:customStyle="1" w:styleId="53">
    <w:name w:val="Char Char Char Char Char Char Char1 Char"/>
    <w:basedOn w:val="1"/>
    <w:qFormat/>
    <w:uiPriority w:val="0"/>
    <w:rPr>
      <w:rFonts w:ascii="Tahoma" w:hAnsi="Tahoma"/>
      <w:sz w:val="24"/>
    </w:rPr>
  </w:style>
  <w:style w:type="paragraph" w:customStyle="1" w:styleId="54">
    <w:name w:val="xl31"/>
    <w:basedOn w:val="1"/>
    <w:qFormat/>
    <w:uiPriority w:val="0"/>
    <w:pPr>
      <w:widowControl/>
      <w:spacing w:before="100" w:beforeAutospacing="1" w:after="100" w:afterAutospacing="1"/>
      <w:jc w:val="center"/>
    </w:pPr>
    <w:rPr>
      <w:rFonts w:ascii="宋体" w:hAnsi="宋体"/>
      <w:b/>
      <w:bCs/>
      <w:kern w:val="0"/>
      <w:sz w:val="28"/>
      <w:szCs w:val="28"/>
    </w:rPr>
  </w:style>
  <w:style w:type="character" w:customStyle="1" w:styleId="55">
    <w:name w:val="NormalCharacter"/>
    <w:semiHidden/>
    <w:qFormat/>
    <w:uiPriority w:val="0"/>
    <w:rPr>
      <w:kern w:val="2"/>
      <w:sz w:val="21"/>
      <w:lang w:val="en-US" w:eastAsia="zh-CN" w:bidi="ar-SA"/>
    </w:rPr>
  </w:style>
  <w:style w:type="paragraph" w:customStyle="1" w:styleId="5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57">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58">
    <w:name w:val="样式 正文Alt+ctrl+Z + 首行缩进:  2 字符3"/>
    <w:basedOn w:val="59"/>
    <w:qFormat/>
    <w:uiPriority w:val="0"/>
    <w:pPr>
      <w:snapToGrid w:val="0"/>
      <w:spacing w:afterLines="0"/>
      <w:ind w:firstLine="0" w:firstLineChars="0"/>
      <w:jc w:val="center"/>
    </w:pPr>
    <w:rPr>
      <w:rFonts w:ascii="宋体" w:hAnsi="宋体"/>
    </w:rPr>
  </w:style>
  <w:style w:type="paragraph" w:customStyle="1" w:styleId="59">
    <w:name w:val="正文Alt+ctrl+Z"/>
    <w:basedOn w:val="1"/>
    <w:qFormat/>
    <w:uiPriority w:val="0"/>
    <w:pPr>
      <w:spacing w:afterLines="50" w:line="360" w:lineRule="auto"/>
      <w:ind w:firstLine="200" w:firstLineChars="200"/>
    </w:pPr>
    <w:rPr>
      <w:sz w:val="24"/>
    </w:rPr>
  </w:style>
  <w:style w:type="character" w:customStyle="1" w:styleId="60">
    <w:name w:val="font01"/>
    <w:basedOn w:val="31"/>
    <w:qFormat/>
    <w:uiPriority w:val="0"/>
    <w:rPr>
      <w:rFonts w:hint="eastAsia" w:ascii="宋体" w:hAnsi="宋体" w:eastAsia="宋体" w:cs="宋体"/>
      <w:color w:val="000000"/>
      <w:sz w:val="22"/>
      <w:szCs w:val="22"/>
      <w:u w:val="none"/>
    </w:rPr>
  </w:style>
  <w:style w:type="character" w:customStyle="1" w:styleId="61">
    <w:name w:val="font51"/>
    <w:basedOn w:val="31"/>
    <w:qFormat/>
    <w:uiPriority w:val="0"/>
    <w:rPr>
      <w:rFonts w:hint="default" w:ascii="Times New Roman" w:hAnsi="Times New Roman" w:cs="Times New Roman"/>
      <w:color w:val="000000"/>
      <w:sz w:val="22"/>
      <w:szCs w:val="22"/>
      <w:u w:val="none"/>
    </w:rPr>
  </w:style>
  <w:style w:type="character" w:customStyle="1" w:styleId="62">
    <w:name w:val="nth-child(2)"/>
    <w:basedOn w:val="31"/>
    <w:qFormat/>
    <w:uiPriority w:val="0"/>
  </w:style>
  <w:style w:type="character" w:customStyle="1" w:styleId="63">
    <w:name w:val="nth-child(2)1"/>
    <w:basedOn w:val="31"/>
    <w:qFormat/>
    <w:uiPriority w:val="0"/>
  </w:style>
  <w:style w:type="character" w:customStyle="1" w:styleId="64">
    <w:name w:val="nth-child(3)"/>
    <w:basedOn w:val="31"/>
    <w:qFormat/>
    <w:uiPriority w:val="0"/>
  </w:style>
  <w:style w:type="character" w:customStyle="1" w:styleId="65">
    <w:name w:val="标题 5 字符"/>
    <w:link w:val="6"/>
    <w:qFormat/>
    <w:uiPriority w:val="0"/>
    <w:rPr>
      <w:b/>
      <w:sz w:val="28"/>
    </w:rPr>
  </w:style>
  <w:style w:type="paragraph" w:styleId="66">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67">
    <w:name w:val="Table Paragraph"/>
    <w:basedOn w:val="1"/>
    <w:qFormat/>
    <w:uiPriority w:val="1"/>
  </w:style>
  <w:style w:type="character" w:customStyle="1" w:styleId="68">
    <w:name w:val="font131"/>
    <w:basedOn w:val="31"/>
    <w:qFormat/>
    <w:uiPriority w:val="0"/>
    <w:rPr>
      <w:rFonts w:hint="eastAsia" w:ascii="宋体" w:hAnsi="宋体" w:eastAsia="宋体" w:cs="宋体"/>
      <w:color w:val="000000"/>
      <w:sz w:val="20"/>
      <w:szCs w:val="20"/>
      <w:u w:val="none"/>
    </w:rPr>
  </w:style>
  <w:style w:type="character" w:customStyle="1" w:styleId="69">
    <w:name w:val="font171"/>
    <w:basedOn w:val="31"/>
    <w:qFormat/>
    <w:uiPriority w:val="0"/>
    <w:rPr>
      <w:rFonts w:hint="default" w:ascii="Times New Roman" w:hAnsi="Times New Roman" w:cs="Times New Roman"/>
      <w:color w:val="000000"/>
      <w:sz w:val="20"/>
      <w:szCs w:val="20"/>
      <w:u w:val="none"/>
    </w:rPr>
  </w:style>
  <w:style w:type="character" w:customStyle="1" w:styleId="70">
    <w:name w:val="font161"/>
    <w:basedOn w:val="31"/>
    <w:qFormat/>
    <w:uiPriority w:val="0"/>
    <w:rPr>
      <w:b/>
      <w:sz w:val="32"/>
    </w:rPr>
  </w:style>
  <w:style w:type="character" w:customStyle="1" w:styleId="71">
    <w:name w:val="font141"/>
    <w:basedOn w:val="31"/>
    <w:qFormat/>
    <w:uiPriority w:val="0"/>
    <w:rPr>
      <w:rFonts w:ascii="仿宋" w:hAnsi="仿宋" w:eastAsia="仿宋" w:cs="仿宋"/>
      <w:b/>
      <w:bCs/>
      <w:color w:val="000000"/>
      <w:sz w:val="21"/>
      <w:szCs w:val="21"/>
      <w:u w:val="none"/>
    </w:rPr>
  </w:style>
  <w:style w:type="character" w:customStyle="1" w:styleId="72">
    <w:name w:val="font151"/>
    <w:basedOn w:val="31"/>
    <w:qFormat/>
    <w:uiPriority w:val="0"/>
    <w:rPr>
      <w:rFonts w:hint="eastAsia" w:ascii="仿宋" w:hAnsi="仿宋" w:eastAsia="仿宋" w:cs="仿宋"/>
      <w:b/>
      <w:bCs/>
      <w:color w:val="424242"/>
      <w:sz w:val="21"/>
      <w:szCs w:val="21"/>
      <w:u w:val="none"/>
    </w:rPr>
  </w:style>
  <w:style w:type="character" w:customStyle="1" w:styleId="73">
    <w:name w:val="font191"/>
    <w:basedOn w:val="31"/>
    <w:qFormat/>
    <w:uiPriority w:val="0"/>
    <w:rPr>
      <w:rFonts w:hint="eastAsia" w:ascii="仿宋" w:hAnsi="仿宋" w:eastAsia="仿宋" w:cs="仿宋"/>
      <w:b/>
      <w:bCs/>
      <w:color w:val="000000"/>
      <w:sz w:val="21"/>
      <w:szCs w:val="21"/>
      <w:u w:val="none"/>
    </w:rPr>
  </w:style>
  <w:style w:type="paragraph" w:customStyle="1" w:styleId="74">
    <w:name w:val="正文缩进1"/>
    <w:basedOn w:val="1"/>
    <w:qFormat/>
    <w:uiPriority w:val="0"/>
    <w:pPr>
      <w:ind w:firstLine="420"/>
    </w:pPr>
  </w:style>
  <w:style w:type="paragraph" w:customStyle="1" w:styleId="75">
    <w:name w:val="Header or footer|1"/>
    <w:basedOn w:val="1"/>
    <w:qFormat/>
    <w:uiPriority w:val="0"/>
    <w:rPr>
      <w:rFonts w:asciiTheme="minorHAnsi" w:hAnsiTheme="minorHAnsi" w:eastAsiaTheme="minorEastAsia" w:cstheme="minorBidi"/>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24A34F-4A52-4F86-B1CF-FE590245AD74}">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12368</Words>
  <Characters>14277</Characters>
  <Lines>268</Lines>
  <Paragraphs>75</Paragraphs>
  <TotalTime>17</TotalTime>
  <ScaleCrop>false</ScaleCrop>
  <LinksUpToDate>false</LinksUpToDate>
  <CharactersWithSpaces>15589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2024-05-13T07:31:00Z</dcterms:created>
  <dc:creator>阳光微凉</dc:creator>
  <cp:lastModifiedBy>user</cp:lastModifiedBy>
  <cp:lastPrinted>2025-03-13T02:11:00Z</cp:lastPrinted>
  <dcterms:modified xsi:type="dcterms:W3CDTF">2025-11-07T06:37:15Z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6F8391B04A2C18202620C868C9A3E311_43</vt:lpwstr>
  </property>
  <property fmtid="{D5CDD505-2E9C-101B-9397-08002B2CF9AE}" pid="4" name="KSOTemplateDocerSaveRecord">
    <vt:lpwstr>eyJoZGlkIjoiNTQ3MGY4OWEwYWQ5MGRhOTEyZDdjODBiNTM4ZTJjNzciLCJ1c2VySWQiOiIxMDg5MjYwMDExIn0=</vt:lpwstr>
  </property>
</Properties>
</file>