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eastAsia="宋体" w:cs="宋体"/>
          <w:b/>
          <w:color w:val="000000" w:themeColor="text1"/>
          <w:sz w:val="52"/>
          <w:szCs w:val="52"/>
          <w:highlight w:val="none"/>
          <w:lang w:eastAsia="zh-CN"/>
          <w14:textFill>
            <w14:solidFill>
              <w14:schemeClr w14:val="tx1"/>
            </w14:solidFill>
          </w14:textFill>
        </w:rPr>
        <w:t>驻马店市政府采购项目</w:t>
      </w:r>
    </w:p>
    <w:p>
      <w:pPr>
        <w:pStyle w:val="48"/>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40"/>
          <w:szCs w:val="52"/>
          <w:highlight w:val="none"/>
          <w14:textFill>
            <w14:solidFill>
              <w14:schemeClr w14:val="tx1"/>
            </w14:solidFill>
          </w14:textFill>
        </w:rPr>
        <w:t>竞争性磋商文件</w:t>
      </w: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color w:val="000000" w:themeColor="text1"/>
          <w:highlight w:val="none"/>
          <w14:textFill>
            <w14:solidFill>
              <w14:schemeClr w14:val="tx1"/>
            </w14:solidFill>
          </w14:textFill>
        </w:rPr>
      </w:pPr>
    </w:p>
    <w:p>
      <w:pPr>
        <w:pStyle w:val="15"/>
        <w:shd w:val="clea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采购项目编号：驻政采购-2023-10-12</w:t>
      </w:r>
    </w:p>
    <w:p>
      <w:pPr>
        <w:pStyle w:val="15"/>
        <w:shd w:val="clea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采购项目名称</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手术器械采购二次</w:t>
      </w:r>
    </w:p>
    <w:p>
      <w:pPr>
        <w:pStyle w:val="15"/>
        <w:shd w:val="clea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购</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人：</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驻马店市中心医院 </w:t>
      </w:r>
    </w:p>
    <w:p>
      <w:pPr>
        <w:pStyle w:val="15"/>
        <w:shd w:val="clea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大成工程咨询有限公司</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pPr>
        <w:pStyle w:val="15"/>
        <w:shd w:val="clear"/>
        <w:rPr>
          <w:rFonts w:hint="eastAsia" w:ascii="宋体" w:hAnsi="宋体" w:eastAsia="宋体" w:cs="宋体"/>
          <w:b/>
          <w:bCs/>
          <w:color w:val="000000" w:themeColor="text1"/>
          <w:sz w:val="28"/>
          <w:szCs w:val="28"/>
          <w:highlight w:val="none"/>
          <w:lang w:val="en-US"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numberInDash" w:start="1"/>
          <w:cols w:space="720" w:num="1"/>
          <w:titlePg/>
          <w:docGrid w:type="lines" w:linePitch="312" w:charSpace="0"/>
        </w:sectPr>
      </w:pPr>
      <w:r>
        <w:rPr>
          <w:rFonts w:hint="eastAsia" w:ascii="宋体" w:hAnsi="宋体" w:eastAsia="宋体" w:cs="宋体"/>
          <w:b/>
          <w:bCs/>
          <w:color w:val="000000" w:themeColor="text1"/>
          <w:sz w:val="28"/>
          <w:szCs w:val="28"/>
          <w:highlight w:val="none"/>
          <w14:textFill>
            <w14:solidFill>
              <w14:schemeClr w14:val="tx1"/>
            </w14:solidFill>
          </w14:textFill>
        </w:rPr>
        <w:t>日        期：</w:t>
      </w:r>
      <w:bookmarkStart w:id="0" w:name="_Toc369773273"/>
      <w:r>
        <w:rPr>
          <w:rFonts w:hint="eastAsia" w:ascii="宋体" w:hAnsi="宋体" w:eastAsia="宋体" w:cs="宋体"/>
          <w:b/>
          <w:bCs/>
          <w:color w:val="000000" w:themeColor="text1"/>
          <w:sz w:val="28"/>
          <w:szCs w:val="28"/>
          <w:highlight w:val="none"/>
          <w14:textFill>
            <w14:solidFill>
              <w14:schemeClr w14:val="tx1"/>
            </w14:solidFill>
          </w14:textFill>
        </w:rPr>
        <w:t>二〇二</w:t>
      </w:r>
      <w:r>
        <w:rPr>
          <w:rFonts w:hint="eastAsia" w:ascii="宋体" w:hAnsi="宋体" w:eastAsia="宋体" w:cs="宋体"/>
          <w:b/>
          <w:bCs/>
          <w:color w:val="000000" w:themeColor="text1"/>
          <w:sz w:val="28"/>
          <w:szCs w:val="28"/>
          <w:highlight w:val="none"/>
          <w:lang w:eastAsia="zh-CN"/>
          <w14:textFill>
            <w14:solidFill>
              <w14:schemeClr w14:val="tx1"/>
            </w14:solidFill>
          </w14:textFill>
        </w:rPr>
        <w:t>三</w:t>
      </w:r>
      <w:r>
        <w:rPr>
          <w:rFonts w:hint="eastAsia" w:ascii="宋体" w:hAnsi="宋体" w:eastAsia="宋体" w:cs="宋体"/>
          <w:b/>
          <w:bCs/>
          <w:color w:val="000000" w:themeColor="text1"/>
          <w:sz w:val="28"/>
          <w:szCs w:val="28"/>
          <w:highlight w:val="none"/>
          <w14:textFill>
            <w14:solidFill>
              <w14:schemeClr w14:val="tx1"/>
            </w14:solidFill>
          </w14:textFill>
        </w:rPr>
        <w:t>年</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十二</w:t>
      </w:r>
      <w:r>
        <w:rPr>
          <w:rFonts w:hint="eastAsia" w:ascii="宋体" w:hAnsi="宋体" w:eastAsia="宋体" w:cs="宋体"/>
          <w:b/>
          <w:bCs/>
          <w:color w:val="000000" w:themeColor="text1"/>
          <w:sz w:val="28"/>
          <w:szCs w:val="28"/>
          <w:highlight w:val="none"/>
          <w14:textFill>
            <w14:solidFill>
              <w14:schemeClr w14:val="tx1"/>
            </w14:solidFill>
          </w14:textFill>
        </w:rPr>
        <w:t>月</w:t>
      </w:r>
    </w:p>
    <w:bookmarkEnd w:id="0"/>
    <w:p>
      <w:pPr>
        <w:widowControl/>
        <w:shd w:val="clear"/>
        <w:spacing w:line="360" w:lineRule="auto"/>
        <w:jc w:val="center"/>
        <w:outlineLvl w:val="9"/>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目    录</w:t>
      </w:r>
    </w:p>
    <w:p>
      <w:pPr>
        <w:widowControl/>
        <w:shd w:val="clear" w:color="auto"/>
        <w:spacing w:line="600" w:lineRule="exact"/>
        <w:ind w:firstLine="1440"/>
        <w:jc w:val="left"/>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600" w:lineRule="exact"/>
        <w:ind w:firstLine="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第一章    竞争性磋商公告</w:t>
      </w:r>
    </w:p>
    <w:p>
      <w:pPr>
        <w:widowControl/>
        <w:shd w:val="clear" w:color="auto"/>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第二章    采购需求</w:t>
      </w:r>
    </w:p>
    <w:p>
      <w:pPr>
        <w:widowControl/>
        <w:shd w:val="clear" w:color="auto"/>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第三章    供应商须知</w:t>
      </w:r>
    </w:p>
    <w:p>
      <w:pPr>
        <w:widowControl/>
        <w:shd w:val="clear" w:color="auto"/>
        <w:spacing w:line="600" w:lineRule="exact"/>
        <w:ind w:left="1439" w:firstLine="1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1、供应商须知前附表</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2、说明</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3、竞争性磋商文件</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4、响应文件编制要求</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5、响应文件递交要求</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6、磋商的程序及相关要求</w:t>
      </w:r>
    </w:p>
    <w:p>
      <w:pPr>
        <w:widowControl/>
        <w:shd w:val="clear" w:color="auto"/>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7、评定成交标准/评定成交原则</w:t>
      </w:r>
    </w:p>
    <w:p>
      <w:pPr>
        <w:widowControl/>
        <w:shd w:val="clear" w:color="auto"/>
        <w:spacing w:line="600" w:lineRule="exact"/>
        <w:ind w:firstLine="26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8、合同</w:t>
      </w:r>
    </w:p>
    <w:p>
      <w:pPr>
        <w:widowControl/>
        <w:shd w:val="clear" w:color="auto"/>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第四章   政府采购合同主要条款</w:t>
      </w:r>
    </w:p>
    <w:p>
      <w:pPr>
        <w:widowControl/>
        <w:shd w:val="clear" w:color="auto"/>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第五章   响应文件格式</w:t>
      </w:r>
    </w:p>
    <w:p>
      <w:pPr>
        <w:widowControl/>
        <w:shd w:val="clear"/>
        <w:tabs>
          <w:tab w:val="left" w:pos="1797"/>
        </w:tabs>
        <w:spacing w:line="1000" w:lineRule="exact"/>
        <w:jc w:val="left"/>
        <w:outlineLvl w:val="9"/>
        <w:rPr>
          <w:rFonts w:hint="eastAsia" w:ascii="宋体" w:hAnsi="宋体" w:eastAsia="宋体" w:cs="宋体"/>
          <w:b/>
          <w:bCs/>
          <w:color w:val="000000" w:themeColor="text1"/>
          <w:sz w:val="44"/>
          <w:szCs w:val="44"/>
          <w:highlight w:val="none"/>
          <w14:textFill>
            <w14:solidFill>
              <w14:schemeClr w14:val="tx1"/>
            </w14:solidFill>
          </w14:textFill>
        </w:rPr>
        <w:sectPr>
          <w:footerReference r:id="rId9" w:type="default"/>
          <w:pgSz w:w="12240" w:h="15840"/>
          <w:pgMar w:top="1440" w:right="1700" w:bottom="667" w:left="1800" w:header="0" w:footer="680" w:gutter="0"/>
          <w:pgNumType w:fmt="numberInDash" w:start="1"/>
          <w:cols w:space="720" w:num="1"/>
          <w:docGrid w:linePitch="360" w:charSpace="0"/>
        </w:sectPr>
      </w:pPr>
      <w:r>
        <w:rPr>
          <w:rFonts w:hint="eastAsia" w:ascii="宋体" w:hAnsi="宋体" w:eastAsia="宋体" w:cs="宋体"/>
          <w:b/>
          <w:bCs/>
          <w:color w:val="000000" w:themeColor="text1"/>
          <w:sz w:val="44"/>
          <w:szCs w:val="44"/>
          <w:highlight w:val="none"/>
          <w14:textFill>
            <w14:solidFill>
              <w14:schemeClr w14:val="tx1"/>
            </w14:solidFill>
          </w14:textFill>
        </w:rPr>
        <w:t xml:space="preserve">  </w:t>
      </w:r>
      <w:r>
        <w:rPr>
          <w:rFonts w:hint="eastAsia" w:ascii="宋体" w:hAnsi="宋体" w:eastAsia="宋体" w:cs="宋体"/>
          <w:b/>
          <w:bCs/>
          <w:color w:val="000000" w:themeColor="text1"/>
          <w:sz w:val="44"/>
          <w:szCs w:val="44"/>
          <w:highlight w:val="none"/>
          <w14:textFill>
            <w14:solidFill>
              <w14:schemeClr w14:val="tx1"/>
            </w14:solidFill>
          </w14:textFill>
        </w:rPr>
        <w:tab/>
      </w:r>
    </w:p>
    <w:p>
      <w:pPr>
        <w:widowControl/>
        <w:shd w:val="clear"/>
        <w:adjustRightInd w:val="0"/>
        <w:spacing w:line="49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1" w:name="_Toc448507848"/>
      <w:bookmarkStart w:id="2" w:name="_Toc475087349"/>
      <w:r>
        <w:rPr>
          <w:rFonts w:hint="eastAsia" w:ascii="宋体" w:hAnsi="宋体" w:eastAsia="宋体" w:cs="宋体"/>
          <w:b/>
          <w:bCs/>
          <w:color w:val="000000" w:themeColor="text1"/>
          <w:sz w:val="32"/>
          <w:szCs w:val="32"/>
          <w:highlight w:val="none"/>
          <w14:textFill>
            <w14:solidFill>
              <w14:schemeClr w14:val="tx1"/>
            </w14:solidFill>
          </w14:textFill>
        </w:rPr>
        <w:t xml:space="preserve">第一章  </w:t>
      </w:r>
      <w:bookmarkEnd w:id="1"/>
      <w:bookmarkEnd w:id="2"/>
      <w:r>
        <w:rPr>
          <w:rFonts w:hint="eastAsia" w:ascii="宋体" w:hAnsi="宋体" w:eastAsia="宋体" w:cs="宋体"/>
          <w:b/>
          <w:bCs/>
          <w:color w:val="000000" w:themeColor="text1"/>
          <w:sz w:val="32"/>
          <w:szCs w:val="32"/>
          <w:highlight w:val="none"/>
          <w14:textFill>
            <w14:solidFill>
              <w14:schemeClr w14:val="tx1"/>
            </w14:solidFill>
          </w14:textFill>
        </w:rPr>
        <w:t>竞争性磋商公告</w:t>
      </w:r>
    </w:p>
    <w:p>
      <w:pPr>
        <w:keepNext w:val="0"/>
        <w:keepLines w:val="0"/>
        <w:pageBreakBefore w:val="0"/>
        <w:widowControl/>
        <w:shd w:val="clear"/>
        <w:kinsoku/>
        <w:wordWrap/>
        <w:overflowPunct/>
        <w:topLinePunct w:val="0"/>
        <w:autoSpaceDE/>
        <w:autoSpaceDN/>
        <w:bidi w:val="0"/>
        <w:adjustRightInd w:val="0"/>
        <w:snapToGrid/>
        <w:spacing w:before="160" w:beforeLines="50" w:after="160" w:afterLines="50" w:line="490" w:lineRule="exact"/>
        <w:jc w:val="center"/>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bookmarkStart w:id="3" w:name="_Toc300499306"/>
      <w:r>
        <w:rPr>
          <w:rFonts w:hint="eastAsia" w:ascii="宋体" w:hAnsi="宋体" w:eastAsia="宋体" w:cs="宋体"/>
          <w:b/>
          <w:bCs/>
          <w:color w:val="000000" w:themeColor="text1"/>
          <w:sz w:val="28"/>
          <w:szCs w:val="28"/>
          <w:highlight w:val="none"/>
          <w:lang w:eastAsia="zh-CN"/>
          <w14:textFill>
            <w14:solidFill>
              <w14:schemeClr w14:val="tx1"/>
            </w14:solidFill>
          </w14:textFill>
        </w:rPr>
        <w:t>手术器械采购</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二次</w:t>
      </w:r>
    </w:p>
    <w:p>
      <w:pPr>
        <w:keepNext w:val="0"/>
        <w:keepLines w:val="0"/>
        <w:pageBreakBefore w:val="0"/>
        <w:widowControl/>
        <w:shd w:val="clear"/>
        <w:kinsoku/>
        <w:wordWrap/>
        <w:overflowPunct/>
        <w:topLinePunct w:val="0"/>
        <w:autoSpaceDE/>
        <w:autoSpaceDN/>
        <w:bidi w:val="0"/>
        <w:adjustRightInd w:val="0"/>
        <w:snapToGrid/>
        <w:spacing w:before="160" w:beforeLines="50" w:after="160" w:afterLines="50" w:line="49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竞争性磋商公告</w:t>
      </w:r>
    </w:p>
    <w:tbl>
      <w:tblPr>
        <w:tblStyle w:val="2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8740" w:type="dxa"/>
          </w:tcPr>
          <w:p>
            <w:pPr>
              <w:widowControl/>
              <w:shd w:val="clear"/>
              <w:spacing w:beforeAutospacing="0" w:afterAutospacing="0" w:line="480" w:lineRule="atLeast"/>
              <w:rPr>
                <w:rFonts w:hint="eastAsia" w:ascii="宋体" w:hAnsi="宋体" w:eastAsia="宋体" w:cs="宋体"/>
                <w:color w:val="000000" w:themeColor="text1"/>
                <w:sz w:val="21"/>
                <w:szCs w:val="21"/>
                <w:highlight w:val="none"/>
                <w14:textFill>
                  <w14:solidFill>
                    <w14:schemeClr w14:val="tx1"/>
                  </w14:solidFill>
                </w14:textFill>
              </w:rPr>
            </w:pPr>
            <w:bookmarkStart w:id="4" w:name="_Toc28359012"/>
            <w:bookmarkStart w:id="5" w:name="_Toc28359089"/>
            <w:bookmarkStart w:id="6" w:name="_Toc35393629"/>
            <w:bookmarkStart w:id="7" w:name="_Toc35393798"/>
            <w:r>
              <w:rPr>
                <w:rFonts w:hint="eastAsia" w:ascii="宋体" w:hAnsi="宋体" w:eastAsia="宋体" w:cs="宋体"/>
                <w:color w:val="000000" w:themeColor="text1"/>
                <w:sz w:val="21"/>
                <w:szCs w:val="21"/>
                <w:highlight w:val="none"/>
                <w14:textFill>
                  <w14:solidFill>
                    <w14:schemeClr w14:val="tx1"/>
                  </w14:solidFill>
                </w14:textFill>
              </w:rPr>
              <w:t>项目概况:</w:t>
            </w:r>
          </w:p>
          <w:p>
            <w:pPr>
              <w:widowControl/>
              <w:shd w:val="clear"/>
              <w:spacing w:beforeAutospacing="0" w:after="161" w:line="480" w:lineRule="atLeas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手术器械采购</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二次</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的潜在</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应在驻马店市公共资源交易平台</w:t>
            </w:r>
            <w:r>
              <w:rPr>
                <w:rFonts w:hint="eastAsia" w:ascii="宋体" w:hAnsi="宋体" w:eastAsia="宋体" w:cs="宋体"/>
                <w:color w:val="000000" w:themeColor="text1"/>
                <w:sz w:val="21"/>
                <w:szCs w:val="21"/>
                <w:highlight w:val="none"/>
                <w:lang w:eastAsia="zh-CN"/>
                <w14:textFill>
                  <w14:solidFill>
                    <w14:schemeClr w14:val="tx1"/>
                  </w14:solidFill>
                </w14:textFill>
              </w:rPr>
              <w:t>获取</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，并于</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14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分（北京时间）前提交响应性文件。</w:t>
            </w:r>
          </w:p>
        </w:tc>
      </w:tr>
      <w:bookmarkEnd w:id="3"/>
      <w:bookmarkEnd w:id="4"/>
      <w:bookmarkEnd w:id="5"/>
      <w:bookmarkEnd w:id="6"/>
      <w:bookmarkEnd w:id="7"/>
    </w:tbl>
    <w:p>
      <w:pPr>
        <w:widowControl/>
        <w:shd w:val="clear"/>
        <w:adjustRightInd w:val="0"/>
        <w:spacing w:line="500" w:lineRule="exact"/>
        <w:ind w:left="239" w:leftChars="114" w:firstLine="211" w:firstLineChars="100"/>
        <w:jc w:val="left"/>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8" w:name="_Toc35393790"/>
      <w:bookmarkStart w:id="9" w:name="_Toc28359079"/>
      <w:bookmarkStart w:id="10" w:name="_Toc28359002"/>
      <w:bookmarkStart w:id="11" w:name="_Toc35393621"/>
      <w:bookmarkStart w:id="12" w:name="_Toc28359015"/>
      <w:bookmarkStart w:id="13" w:name="_Toc35393632"/>
      <w:bookmarkStart w:id="14" w:name="_Toc35393801"/>
      <w:bookmarkStart w:id="15" w:name="_Toc28359092"/>
      <w:r>
        <w:rPr>
          <w:rFonts w:hint="eastAsia" w:ascii="宋体" w:hAnsi="宋体" w:eastAsia="宋体" w:cs="宋体"/>
          <w:b/>
          <w:bCs/>
          <w:color w:val="000000" w:themeColor="text1"/>
          <w:kern w:val="0"/>
          <w:sz w:val="21"/>
          <w:szCs w:val="21"/>
          <w:highlight w:val="none"/>
          <w14:textFill>
            <w14:solidFill>
              <w14:schemeClr w14:val="tx1"/>
            </w14:solidFill>
          </w14:textFill>
        </w:rPr>
        <w:t>一、项目基本情况</w:t>
      </w:r>
      <w:bookmarkEnd w:id="8"/>
      <w:bookmarkEnd w:id="9"/>
      <w:bookmarkEnd w:id="10"/>
      <w:bookmarkEnd w:id="11"/>
      <w:r>
        <w:rPr>
          <w:rFonts w:hint="eastAsia" w:ascii="宋体" w:hAnsi="宋体" w:eastAsia="宋体" w:cs="宋体"/>
          <w:b/>
          <w:bCs/>
          <w:color w:val="000000" w:themeColor="text1"/>
          <w:kern w:val="0"/>
          <w:sz w:val="21"/>
          <w:szCs w:val="21"/>
          <w:highlight w:val="none"/>
          <w14:textFill>
            <w14:solidFill>
              <w14:schemeClr w14:val="tx1"/>
            </w14:solidFill>
          </w14:textFill>
        </w:rPr>
        <w:t>：</w:t>
      </w:r>
    </w:p>
    <w:p>
      <w:pPr>
        <w:widowControl/>
        <w:shd w:val="clear"/>
        <w:adjustRightInd w:val="0"/>
        <w:spacing w:line="49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1、项目编号：驻政采购-2023-10-12</w:t>
      </w:r>
    </w:p>
    <w:p>
      <w:pPr>
        <w:widowControl/>
        <w:shd w:val="clear"/>
        <w:adjustRightInd w:val="0"/>
        <w:spacing w:line="490" w:lineRule="exact"/>
        <w:ind w:firstLine="420" w:firstLineChars="200"/>
        <w:jc w:val="lef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2、项目名称：</w:t>
      </w:r>
      <w:bookmarkStart w:id="16" w:name="_Hlk113353282"/>
      <w:r>
        <w:rPr>
          <w:rFonts w:hint="eastAsia" w:ascii="宋体" w:hAnsi="宋体" w:eastAsia="宋体" w:cs="宋体"/>
          <w:color w:val="000000" w:themeColor="text1"/>
          <w:sz w:val="21"/>
          <w:szCs w:val="21"/>
          <w:highlight w:val="none"/>
          <w:lang w:eastAsia="zh-CN"/>
          <w14:textFill>
            <w14:solidFill>
              <w14:schemeClr w14:val="tx1"/>
            </w14:solidFill>
          </w14:textFill>
        </w:rPr>
        <w:t>手术器械采购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二次</w:t>
      </w:r>
    </w:p>
    <w:bookmarkEnd w:id="16"/>
    <w:p>
      <w:pPr>
        <w:widowControl/>
        <w:shd w:val="clear"/>
        <w:adjustRightInd w:val="0"/>
        <w:spacing w:line="490" w:lineRule="exact"/>
        <w:ind w:left="239" w:leftChars="114"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3、采购方式：竞争性磋商</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1400000.00元；</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eastAsia="宋体" w:cs="宋体"/>
          <w:color w:val="000000" w:themeColor="text1"/>
          <w:sz w:val="21"/>
          <w:szCs w:val="21"/>
          <w:highlight w:val="none"/>
          <w:lang w:val="en-US" w:eastAsia="zh-CN"/>
          <w14:textFill>
            <w14:solidFill>
              <w14:schemeClr w14:val="tx1"/>
            </w14:solidFill>
          </w14:textFill>
        </w:rPr>
        <w:t>200000.00元；</w:t>
      </w:r>
    </w:p>
    <w:tbl>
      <w:tblPr>
        <w:tblStyle w:val="2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768"/>
        <w:gridCol w:w="2143"/>
        <w:gridCol w:w="226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39" w:type="dxa"/>
            <w:vAlign w:val="center"/>
          </w:tcPr>
          <w:p>
            <w:pPr>
              <w:shd w:val="clear"/>
              <w:snapToGrid w:val="0"/>
              <w:spacing w:line="49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68" w:type="dxa"/>
            <w:vAlign w:val="center"/>
          </w:tcPr>
          <w:p>
            <w:pPr>
              <w:shd w:val="clear"/>
              <w:snapToGrid w:val="0"/>
              <w:spacing w:line="49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包号</w:t>
            </w:r>
          </w:p>
        </w:tc>
        <w:tc>
          <w:tcPr>
            <w:tcW w:w="2143" w:type="dxa"/>
            <w:vAlign w:val="center"/>
          </w:tcPr>
          <w:p>
            <w:pPr>
              <w:shd w:val="clear"/>
              <w:snapToGrid w:val="0"/>
              <w:spacing w:line="49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包名称</w:t>
            </w:r>
          </w:p>
        </w:tc>
        <w:tc>
          <w:tcPr>
            <w:tcW w:w="2264" w:type="dxa"/>
            <w:vAlign w:val="center"/>
          </w:tcPr>
          <w:p>
            <w:pPr>
              <w:shd w:val="clear"/>
              <w:snapToGrid w:val="0"/>
              <w:spacing w:line="49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包预算</w:t>
            </w:r>
          </w:p>
          <w:p>
            <w:pPr>
              <w:shd w:val="clear"/>
              <w:snapToGrid w:val="0"/>
              <w:spacing w:line="49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（元）</w:t>
            </w:r>
          </w:p>
        </w:tc>
        <w:tc>
          <w:tcPr>
            <w:tcW w:w="1963" w:type="dxa"/>
            <w:vAlign w:val="center"/>
          </w:tcPr>
          <w:p>
            <w:pPr>
              <w:shd w:val="clear"/>
              <w:snapToGrid w:val="0"/>
              <w:spacing w:line="49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包最高限价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（综合折扣率）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139" w:type="dxa"/>
            <w:vAlign w:val="center"/>
          </w:tcPr>
          <w:p>
            <w:pPr>
              <w:shd w:val="clear"/>
              <w:spacing w:line="49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68" w:type="dxa"/>
            <w:vAlign w:val="center"/>
          </w:tcPr>
          <w:p>
            <w:pPr>
              <w:shd w:val="clear"/>
              <w:spacing w:line="490" w:lineRule="exact"/>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驻政采购-2023-10-12A</w:t>
            </w:r>
          </w:p>
        </w:tc>
        <w:tc>
          <w:tcPr>
            <w:tcW w:w="2143" w:type="dxa"/>
            <w:vAlign w:val="center"/>
          </w:tcPr>
          <w:p>
            <w:pPr>
              <w:pStyle w:val="11"/>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腹腔镜手术器械</w:t>
            </w:r>
          </w:p>
        </w:tc>
        <w:tc>
          <w:tcPr>
            <w:tcW w:w="2264" w:type="dxa"/>
            <w:vAlign w:val="center"/>
          </w:tcPr>
          <w:p>
            <w:pPr>
              <w:pStyle w:val="23"/>
              <w:shd w:val="clear"/>
              <w:spacing w:line="490" w:lineRule="exact"/>
              <w:ind w:left="0" w:leftChars="0"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200000.00</w:t>
            </w:r>
          </w:p>
        </w:tc>
        <w:tc>
          <w:tcPr>
            <w:tcW w:w="1963" w:type="dxa"/>
            <w:vAlign w:val="center"/>
          </w:tcPr>
          <w:p>
            <w:pPr>
              <w:pStyle w:val="23"/>
              <w:shd w:val="clear"/>
              <w:spacing w:line="490" w:lineRule="exact"/>
              <w:ind w:firstLine="240"/>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p>
        </w:tc>
      </w:tr>
    </w:tbl>
    <w:p>
      <w:pPr>
        <w:numPr>
          <w:ilvl w:val="0"/>
          <w:numId w:val="3"/>
        </w:numPr>
        <w:shd w:val="clear"/>
        <w:snapToGrid w:val="0"/>
        <w:spacing w:line="49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采购需求（包括但不限于标的的名称、数量、简要技术需求或服务要求等）</w:t>
      </w:r>
    </w:p>
    <w:p>
      <w:pPr>
        <w:widowControl/>
        <w:shd w:val="clear"/>
        <w:adjustRightInd w:val="0"/>
        <w:spacing w:line="490" w:lineRule="exact"/>
        <w:ind w:firstLine="630" w:firstLineChars="3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采购内容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腹腔镜手术器械</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p>
    <w:p>
      <w:pPr>
        <w:shd w:val="clear"/>
        <w:snapToGrid w:val="0"/>
        <w:spacing w:line="490" w:lineRule="exact"/>
        <w:ind w:firstLine="630" w:firstLineChars="3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5.2 </w:t>
      </w:r>
      <w:r>
        <w:rPr>
          <w:rFonts w:hint="eastAsia" w:ascii="宋体" w:hAnsi="宋体" w:eastAsia="宋体" w:cs="宋体"/>
          <w:color w:val="000000" w:themeColor="text1"/>
          <w:sz w:val="21"/>
          <w:szCs w:val="21"/>
          <w:highlight w:val="none"/>
          <w:lang w:val="en-US" w:eastAsia="zh-CN"/>
          <w14:textFill>
            <w14:solidFill>
              <w14:schemeClr w14:val="tx1"/>
            </w14:solidFill>
          </w14:textFill>
        </w:rPr>
        <w:t>交货时间</w:t>
      </w:r>
      <w:r>
        <w:rPr>
          <w:rFonts w:hint="eastAsia" w:ascii="宋体" w:hAnsi="宋体" w:eastAsia="宋体" w:cs="宋体"/>
          <w:color w:val="000000" w:themeColor="text1"/>
          <w:sz w:val="21"/>
          <w:szCs w:val="21"/>
          <w:highlight w:val="none"/>
          <w14:textFill>
            <w14:solidFill>
              <w14:schemeClr w14:val="tx1"/>
            </w14:solidFill>
          </w14:textFill>
        </w:rPr>
        <w:t>：接到医院送货通知后7日内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shd w:val="clear"/>
        <w:snapToGrid w:val="0"/>
        <w:spacing w:line="490" w:lineRule="exact"/>
        <w:ind w:firstLine="630" w:firstLineChars="3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 质量要求：满足采购人要求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6、合同履行期限：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以采购人要求为准。</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7、本项目是否接受联合体投标：否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8、是否接受进口产品：</w:t>
      </w:r>
      <w:r>
        <w:rPr>
          <w:rFonts w:hint="eastAsia" w:ascii="宋体" w:hAnsi="宋体" w:eastAsia="宋体" w:cs="宋体"/>
          <w:color w:val="000000" w:themeColor="text1"/>
          <w:sz w:val="21"/>
          <w:szCs w:val="21"/>
          <w:highlight w:val="none"/>
          <w:lang w:val="en-US" w:eastAsia="zh-CN"/>
          <w14:textFill>
            <w14:solidFill>
              <w14:schemeClr w14:val="tx1"/>
            </w14:solidFill>
          </w14:textFill>
        </w:rPr>
        <w:t>是。</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本项目是否专门面向中小企业采购：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widowControl/>
        <w:shd w:val="clear"/>
        <w:adjustRightInd w:val="0"/>
        <w:spacing w:line="490" w:lineRule="exact"/>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17" w:name="_Toc35393630"/>
      <w:bookmarkStart w:id="18" w:name="_Toc35393799"/>
      <w:bookmarkStart w:id="19" w:name="_Toc28359090"/>
      <w:bookmarkStart w:id="20" w:name="_Toc28359013"/>
      <w:r>
        <w:rPr>
          <w:rFonts w:hint="eastAsia" w:ascii="宋体" w:hAnsi="宋体" w:eastAsia="宋体" w:cs="宋体"/>
          <w:b/>
          <w:bCs/>
          <w:color w:val="000000" w:themeColor="text1"/>
          <w:kern w:val="0"/>
          <w:sz w:val="21"/>
          <w:szCs w:val="21"/>
          <w:highlight w:val="none"/>
          <w14:textFill>
            <w14:solidFill>
              <w14:schemeClr w14:val="tx1"/>
            </w14:solidFill>
          </w14:textFill>
        </w:rPr>
        <w:t>二、申请人的资格要求：</w:t>
      </w:r>
      <w:bookmarkEnd w:id="17"/>
      <w:bookmarkEnd w:id="18"/>
      <w:bookmarkEnd w:id="19"/>
      <w:bookmarkEnd w:id="20"/>
    </w:p>
    <w:p>
      <w:pPr>
        <w:shd w:val="clear"/>
        <w:snapToGrid w:val="0"/>
        <w:spacing w:line="49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1、满足《中华人民共和国政府采购法》第二十二条规定；</w:t>
      </w:r>
    </w:p>
    <w:p>
      <w:pPr>
        <w:shd w:val="clear"/>
        <w:snapToGrid w:val="0"/>
        <w:spacing w:line="49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2、落实政府采购政策需满足的资格要求：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3、本项目的特定资格要求：</w:t>
      </w:r>
      <w:bookmarkStart w:id="21" w:name="_Toc35393800"/>
      <w:bookmarkStart w:id="22" w:name="_Toc35393631"/>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1供应商应具有有效的医疗器械生产许可证或医疗器械经营许可证或备案凭证。</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根据《关于在政府采购活动中查询及使用信用记录有关问题的通知》（财库[2016]125号）和豫财购【2016】15号的规定，对列入失信被执行人（此项查询以信用中国网站自动链接至中国执行信息公开网的查询结果为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拒绝参与本项目政府采购活动。【采购人、采购代理机构通过“信用中国”网站（www.creditchina.gov.cn）、中国政府采购网（www.ccgp.gov.cn）等渠道查询相关主体信用记录,信用信息查询记录及相关证据与其他采购文件一并保存。</w:t>
      </w:r>
    </w:p>
    <w:p>
      <w:pPr>
        <w:widowControl/>
        <w:shd w:val="clear"/>
        <w:adjustRightInd w:val="0"/>
        <w:spacing w:line="490" w:lineRule="exact"/>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三、获取采购文件</w:t>
      </w:r>
      <w:bookmarkEnd w:id="21"/>
      <w:bookmarkEnd w:id="22"/>
    </w:p>
    <w:p>
      <w:pPr>
        <w:shd w:val="clear"/>
        <w:spacing w:line="48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1、时间：时间：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04 </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08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,每天上午08:00至12:00，下午12:00至18:00（北京时间，法定节假日除外。）</w:t>
      </w:r>
    </w:p>
    <w:p>
      <w:pPr>
        <w:shd w:val="clear"/>
        <w:spacing w:line="480" w:lineRule="exact"/>
        <w:ind w:firstLine="54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2、地点：驻马店市公共资源交易平台（</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w:t>
      </w:r>
    </w:p>
    <w:p>
      <w:pPr>
        <w:pStyle w:val="21"/>
        <w:shd w:val="clear" w:color="auto"/>
        <w:spacing w:beforeAutospacing="0" w:afterAutospacing="0" w:line="490" w:lineRule="exac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3、方式：凭CA密钥登陆会员系统并按网上提示免费下载竞争性磋商文件及资料。 </w:t>
      </w:r>
    </w:p>
    <w:p>
      <w:pPr>
        <w:pStyle w:val="21"/>
        <w:shd w:val="clear" w:color="auto"/>
        <w:spacing w:beforeAutospacing="0" w:afterAutospacing="0" w:line="490" w:lineRule="exact"/>
        <w:ind w:firstLine="48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4、售价：0元</w:t>
      </w:r>
    </w:p>
    <w:p>
      <w:pPr>
        <w:widowControl/>
        <w:shd w:val="clear"/>
        <w:adjustRightInd w:val="0"/>
        <w:spacing w:line="490" w:lineRule="exact"/>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四、响应文件提交</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1、时间：202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 xml:space="preserve">日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kern w:val="0"/>
          <w:sz w:val="21"/>
          <w:szCs w:val="21"/>
          <w:highlight w:val="none"/>
          <w14:textFill>
            <w14:solidFill>
              <w14:schemeClr w14:val="tx1"/>
            </w14:solidFill>
          </w14:textFill>
        </w:rPr>
        <w:t>时00 分（北京时间）</w:t>
      </w:r>
    </w:p>
    <w:p>
      <w:pPr>
        <w:widowControl/>
        <w:shd w:val="clear"/>
        <w:adjustRightInd w:val="0"/>
        <w:spacing w:line="49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2、地点：</w:t>
      </w:r>
      <w:r>
        <w:rPr>
          <w:rFonts w:hint="eastAsia" w:ascii="宋体" w:hAnsi="宋体" w:eastAsia="宋体" w:cs="宋体"/>
          <w:color w:val="000000" w:themeColor="text1"/>
          <w:sz w:val="21"/>
          <w:szCs w:val="21"/>
          <w:highlight w:val="none"/>
          <w14:textFill>
            <w14:solidFill>
              <w14:schemeClr w14:val="tx1"/>
            </w14:solidFill>
          </w14:textFill>
        </w:rPr>
        <w:t>“驻马店市公共资源交易平台（</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/）”网站</w:t>
      </w:r>
    </w:p>
    <w:p>
      <w:pPr>
        <w:widowControl/>
        <w:shd w:val="clear"/>
        <w:wordWrap w:val="0"/>
        <w:snapToGrid w:val="0"/>
        <w:spacing w:line="490" w:lineRule="exact"/>
        <w:ind w:firstLine="413" w:firstLineChars="196"/>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五、响应性文件的开启时间及地点</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1、时间：202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 xml:space="preserve">日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09</w:t>
      </w:r>
      <w:r>
        <w:rPr>
          <w:rFonts w:hint="eastAsia" w:ascii="宋体" w:hAnsi="宋体" w:eastAsia="宋体" w:cs="宋体"/>
          <w:color w:val="000000" w:themeColor="text1"/>
          <w:kern w:val="0"/>
          <w:sz w:val="21"/>
          <w:szCs w:val="21"/>
          <w:highlight w:val="none"/>
          <w14:textFill>
            <w14:solidFill>
              <w14:schemeClr w14:val="tx1"/>
            </w14:solidFill>
          </w14:textFill>
        </w:rPr>
        <w:t>时00 分（北京时间）</w:t>
      </w:r>
    </w:p>
    <w:p>
      <w:pPr>
        <w:widowControl/>
        <w:shd w:val="clear"/>
        <w:adjustRightIn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2、地点：</w:t>
      </w:r>
      <w:r>
        <w:rPr>
          <w:rFonts w:hint="eastAsia" w:ascii="宋体" w:hAnsi="宋体" w:eastAsia="宋体" w:cs="宋体"/>
          <w:color w:val="000000" w:themeColor="text1"/>
          <w:sz w:val="21"/>
          <w:szCs w:val="21"/>
          <w:highlight w:val="none"/>
          <w14:textFill>
            <w14:solidFill>
              <w14:schemeClr w14:val="tx1"/>
            </w14:solidFill>
          </w14:textFill>
        </w:rPr>
        <w:t>驻马店市公共资源交易中心不见面开标</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五 </w:t>
      </w:r>
      <w:r>
        <w:rPr>
          <w:rFonts w:hint="eastAsia" w:ascii="宋体" w:hAnsi="宋体" w:eastAsia="宋体" w:cs="宋体"/>
          <w:color w:val="000000" w:themeColor="text1"/>
          <w:sz w:val="21"/>
          <w:szCs w:val="21"/>
          <w:highlight w:val="none"/>
          <w:lang w:val="en-US" w:eastAsia="zh-CN"/>
          <w14:textFill>
            <w14:solidFill>
              <w14:schemeClr w14:val="tx1"/>
            </w14:solidFill>
          </w14:textFill>
        </w:rPr>
        <w:t>厅</w:t>
      </w:r>
      <w:r>
        <w:rPr>
          <w:rFonts w:hint="eastAsia" w:ascii="宋体" w:hAnsi="宋体" w:eastAsia="宋体" w:cs="宋体"/>
          <w:color w:val="000000" w:themeColor="text1"/>
          <w:sz w:val="21"/>
          <w:szCs w:val="21"/>
          <w:highlight w:val="none"/>
          <w14:textFill>
            <w14:solidFill>
              <w14:schemeClr w14:val="tx1"/>
            </w14:solidFill>
          </w14:textFill>
        </w:rPr>
        <w:t>。</w:t>
      </w:r>
    </w:p>
    <w:p>
      <w:pPr>
        <w:widowControl/>
        <w:shd w:val="clear"/>
        <w:wordWrap w:val="0"/>
        <w:snapToGrid w:val="0"/>
        <w:spacing w:line="490" w:lineRule="exact"/>
        <w:ind w:firstLine="413" w:firstLineChars="196"/>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六、发布公告的媒体及公告期限</w:t>
      </w:r>
    </w:p>
    <w:p>
      <w:pPr>
        <w:widowControl/>
        <w:shd w:val="clear"/>
        <w:wordWrap w:val="0"/>
        <w:snapToGrid w:val="0"/>
        <w:spacing w:line="490" w:lineRule="exact"/>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本次公告在</w:t>
      </w:r>
      <w:r>
        <w:rPr>
          <w:rFonts w:hint="eastAsia" w:ascii="宋体" w:hAnsi="宋体" w:eastAsia="宋体" w:cs="宋体"/>
          <w:color w:val="000000" w:themeColor="text1"/>
          <w:sz w:val="21"/>
          <w:szCs w:val="21"/>
          <w:highlight w:val="none"/>
          <w14:textFill>
            <w14:solidFill>
              <w14:schemeClr w14:val="tx1"/>
            </w14:solidFill>
          </w14:textFill>
        </w:rPr>
        <w:t>《河南省政府采购网》、《驻马店市公共资源交易平台》</w:t>
      </w:r>
      <w:r>
        <w:rPr>
          <w:rFonts w:hint="eastAsia" w:ascii="宋体" w:hAnsi="宋体" w:eastAsia="宋体" w:cs="宋体"/>
          <w:color w:val="000000" w:themeColor="text1"/>
          <w:kern w:val="0"/>
          <w:sz w:val="21"/>
          <w:szCs w:val="21"/>
          <w:highlight w:val="none"/>
          <w14:textFill>
            <w14:solidFill>
              <w14:schemeClr w14:val="tx1"/>
            </w14:solidFill>
          </w14:textFill>
        </w:rPr>
        <w:t>上发布，公告期限为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kern w:val="0"/>
          <w:sz w:val="21"/>
          <w:szCs w:val="21"/>
          <w:highlight w:val="none"/>
          <w14:textFill>
            <w14:solidFill>
              <w14:schemeClr w14:val="tx1"/>
            </w14:solidFill>
          </w14:textFill>
        </w:rPr>
        <w:t>个工作日。</w:t>
      </w:r>
    </w:p>
    <w:p>
      <w:pPr>
        <w:widowControl/>
        <w:shd w:val="clear" w:color="auto"/>
        <w:spacing w:line="490" w:lineRule="exact"/>
        <w:ind w:firstLine="472"/>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七、其他补充事宜</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1、本项目采用不见面开标、</w:t>
      </w: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需要递交电子</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，无需递交纸质文件。</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的上传/递交截止时间（投标截止时间，下同）和地点见磋商文件。加密电子响应文件（*.ZMDTF格式）应在截止时间前通过驻马店市公共资源交易电子交易平台（</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:8820/TPBidder）上传完成。</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3、本项目采用远程不见面交易的模式。开标当日，供应商无需到达开标现场，仅需在任意地点通过驻马店不见面开标系统（</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:9190/BidOpening/bidopeninghallaction/hall/login）及相应的配套硬件设备（摄像头、话筒、麦克风等），完成远程解密、文件传输、提疑澄清、开标唱标、结果公布等交互环节。投标供应商必须使用能正确解密</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的“CA锁”在规定的时间内完成远程解密，因投标供应商原因未能解密、解密失败或解密超时，视为投标供应商撤销其</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，系统内</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将被退回；因采购人原因或网上招投标平台发生故障，导致无法按时完成</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解密或开、评标工作无法进行的，可根据实际情况相应延迟解密时间或调整开、评标时间（友情提示：若投标供应商已领取副锁（含多把副锁）请注意正副锁的使用差别）。</w:t>
      </w:r>
    </w:p>
    <w:p>
      <w:pPr>
        <w:shd w:val="clear"/>
        <w:snapToGrid w:val="0"/>
        <w:spacing w:line="49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4、远程开标前，</w:t>
      </w: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务必在驻马店市公共资源交易电子交易平台</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kern w:val="0"/>
          <w:sz w:val="21"/>
          <w:szCs w:val="21"/>
          <w:highlight w:val="none"/>
          <w14:textFill>
            <w14:solidFill>
              <w14:schemeClr w14:val="tx1"/>
            </w14:solidFill>
          </w14:textFill>
        </w:rPr>
        <w:t>:8820/TPBidder）</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上传模块中使用“模拟解密”功能，验证本机远程自助解密环境。</w:t>
      </w:r>
      <w:bookmarkStart w:id="32" w:name="_GoBack"/>
      <w:bookmarkEnd w:id="32"/>
    </w:p>
    <w:p>
      <w:pPr>
        <w:widowControl/>
        <w:shd w:val="clear"/>
        <w:adjustRightInd w:val="0"/>
        <w:spacing w:line="49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5、逾期上传/送达的或者未上传/未送达指定地点的</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，采购人不予受理。</w:t>
      </w:r>
    </w:p>
    <w:p>
      <w:pPr>
        <w:widowControl/>
        <w:shd w:val="clear"/>
        <w:adjustRightInd w:val="0"/>
        <w:spacing w:line="490" w:lineRule="exact"/>
        <w:ind w:firstLine="420"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6、因政府采购网公告发布有固定格式，包最高限价无法填写综合折扣率，本项目最高限价以竞争性磋商文件为准。</w:t>
      </w:r>
    </w:p>
    <w:p>
      <w:pPr>
        <w:widowControl/>
        <w:shd w:val="clear" w:color="auto"/>
        <w:spacing w:line="500" w:lineRule="exact"/>
        <w:ind w:firstLine="47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八、凡对本次招标提出询问，请按照以下方式联系：</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采购人信息 </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驻马店市中心医院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widowControl/>
        <w:shd w:val="clear" w:color="auto"/>
        <w:spacing w:line="5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驻马店市中华路西段747号</w:t>
      </w:r>
    </w:p>
    <w:p>
      <w:pPr>
        <w:widowControl/>
        <w:shd w:val="clear" w:color="auto"/>
        <w:spacing w:line="5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 系 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陈先生</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pPr>
        <w:widowControl/>
        <w:shd w:val="clear" w:color="auto"/>
        <w:spacing w:line="500" w:lineRule="exact"/>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0396-2726379</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2.采购代理机构信息（如有）</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大成工程咨询有限公司</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驻马店市泰山路与骏马路交叉口广泰大厦22楼</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庞先生</w:t>
      </w:r>
    </w:p>
    <w:p>
      <w:pPr>
        <w:widowControl/>
        <w:shd w:val="clear"/>
        <w:adjustRightInd w:val="0"/>
        <w:spacing w:line="500" w:lineRule="exact"/>
        <w:ind w:firstLine="420"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0396-2838319  18272909999</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3.项目联系方式</w:t>
      </w:r>
    </w:p>
    <w:p>
      <w:pPr>
        <w:widowControl/>
        <w:shd w:val="clear"/>
        <w:adjustRightInd w:val="0"/>
        <w:spacing w:line="500" w:lineRule="exact"/>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庞先生</w:t>
      </w:r>
    </w:p>
    <w:p>
      <w:pPr>
        <w:widowControl/>
        <w:shd w:val="clear"/>
        <w:adjustRightInd w:val="0"/>
        <w:spacing w:line="500" w:lineRule="exact"/>
        <w:ind w:firstLine="420"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0396-2838319  18272909999</w:t>
      </w:r>
    </w:p>
    <w:p>
      <w:pPr>
        <w:pStyle w:val="23"/>
        <w:shd w:val="clear"/>
        <w:ind w:firstLine="240"/>
        <w:rPr>
          <w:rFonts w:hint="eastAsia" w:ascii="宋体" w:hAnsi="宋体" w:eastAsia="宋体" w:cs="宋体"/>
          <w:color w:val="000000" w:themeColor="text1"/>
          <w:kern w:val="0"/>
          <w:sz w:val="24"/>
          <w:highlight w:val="none"/>
          <w14:textFill>
            <w14:solidFill>
              <w14:schemeClr w14:val="tx1"/>
            </w14:solidFill>
          </w14:textFill>
        </w:rPr>
      </w:pPr>
    </w:p>
    <w:p>
      <w:pPr>
        <w:pStyle w:val="48"/>
        <w:shd w:val="clear"/>
        <w:rPr>
          <w:rFonts w:hint="eastAsia" w:ascii="宋体" w:hAnsi="宋体" w:eastAsia="宋体" w:cs="宋体"/>
          <w:color w:val="000000" w:themeColor="text1"/>
          <w:kern w:val="0"/>
          <w:sz w:val="24"/>
          <w:highlight w:val="none"/>
          <w14:textFill>
            <w14:solidFill>
              <w14:schemeClr w14:val="tx1"/>
            </w14:solidFill>
          </w14:textFill>
        </w:rPr>
      </w:pPr>
    </w:p>
    <w:bookmarkEnd w:id="12"/>
    <w:bookmarkEnd w:id="13"/>
    <w:bookmarkEnd w:id="14"/>
    <w:bookmarkEnd w:id="15"/>
    <w:p>
      <w:pPr>
        <w:rPr>
          <w:rStyle w:val="129"/>
          <w:rFonts w:hint="eastAsia" w:ascii="宋体" w:hAnsi="宋体" w:eastAsia="宋体" w:cs="宋体"/>
          <w:color w:val="000000" w:themeColor="text1"/>
          <w:sz w:val="32"/>
          <w:szCs w:val="32"/>
          <w:highlight w:val="none"/>
          <w14:textFill>
            <w14:solidFill>
              <w14:schemeClr w14:val="tx1"/>
            </w14:solidFill>
          </w14:textFill>
        </w:rPr>
      </w:pPr>
      <w:r>
        <w:rPr>
          <w:rStyle w:val="129"/>
          <w:rFonts w:hint="eastAsia" w:ascii="宋体" w:hAnsi="宋体" w:eastAsia="宋体" w:cs="宋体"/>
          <w:color w:val="000000" w:themeColor="text1"/>
          <w:sz w:val="32"/>
          <w:szCs w:val="32"/>
          <w:highlight w:val="none"/>
          <w14:textFill>
            <w14:solidFill>
              <w14:schemeClr w14:val="tx1"/>
            </w14:solidFill>
          </w14:textFill>
        </w:rPr>
        <w:br w:type="page"/>
      </w:r>
    </w:p>
    <w:p>
      <w:pPr>
        <w:shd w:val="clear"/>
        <w:ind w:firstLine="315" w:firstLineChars="98"/>
        <w:jc w:val="center"/>
        <w:outlineLvl w:val="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第二章  采购需求</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一、项目名称：</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手术器械采购二次</w:t>
      </w:r>
    </w:p>
    <w:p>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项目编号：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驻政采购-2023-10-12</w:t>
      </w:r>
    </w:p>
    <w:p>
      <w:pPr>
        <w:keepNext w:val="0"/>
        <w:keepLines w:val="0"/>
        <w:pageBreakBefore w:val="0"/>
        <w:shd w:val="clear"/>
        <w:kinsoku/>
        <w:wordWrap/>
        <w:overflowPunct/>
        <w:topLinePunct w:val="0"/>
        <w:autoSpaceDE/>
        <w:autoSpaceDN/>
        <w:bidi w:val="0"/>
        <w:adjustRightInd/>
        <w:spacing w:line="360" w:lineRule="auto"/>
        <w:textAlignment w:val="auto"/>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二、参数要求：</w:t>
      </w:r>
    </w:p>
    <w:tbl>
      <w:tblPr>
        <w:tblStyle w:val="25"/>
        <w:tblW w:w="9930" w:type="dxa"/>
        <w:tblInd w:w="-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975"/>
        <w:gridCol w:w="945"/>
        <w:gridCol w:w="855"/>
        <w:gridCol w:w="568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项目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预算价格（元）</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单位</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技术参数</w:t>
            </w:r>
          </w:p>
        </w:tc>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腹腔镜手术器械</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82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单极线</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根</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单极线Φ4×4M</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取石钳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Φ10㎜，取物钳的铆接牢固可靠，活动钳头转动灵活无卡滞，可高温高压低温等离子灭菌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平头，带单极电凝的连接销规格5mm，可高温高压低温等离子灭菌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电钩</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L形，带单极电凝的连接销，规格5mm，可高温高压低温等离子灭菌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铲状，带单极电凝的连接销，规格5mm，可高温高压低温等离子灭菌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针状，带单极电凝的连接销，规格5mm，可高温高压低温等离子灭菌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双极电凝钳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3256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直径5mm,长度330㎜ 三拆，可拆卸，可高温高压低温等离子灭菌。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双极电凝钳钳芯</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1600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直径5mm,长度330㎜ 配合双极钳使用，可高温高压低温等离子灭菌。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双极线</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740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根</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双极线Φ4×4M</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钳芯</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直径5mm,长度330㎜ ，可高温高压低温等离子灭菌。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抓钳手柄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配合分离钳或者剪刀使用，可高温高压低温等离子灭菌。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弯分离钳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弯头，直径5mm，可高温高压低温等离子灭菌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直分离钳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直头，直径5mm可高温高压低温等离子灭菌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直角分离钳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直径5mm，角弯90度，无卡塞现象，可高温高压低温等离子灭菌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直剪刀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直头，直径5mm,韧度强，刃口锋利，可高温高压低温等离子灭菌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钩剪刀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钩形，直径5mm，可高温高压低温等离子灭菌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弯剪刀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弯头，直径5mm，可高温高压低温等离子灭菌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肠钳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直径5mm,可旋转，可拆卸，带清洁灌流连接口, 双动钳头，无创,可高温高压低温等离子灭菌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钛夹钳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1850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直径10mm,通过操作钛夹钳的手柄来控制钳头，封闭血管用，可高温高压低温等离子灭菌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生物夹钳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1850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Φ10㎜，外表光滑、无毛刺和锋棱、钳头相互吻合，无错口，通过生物夹钳的动作，将生物夹推至治疗部位，可高温高压低温等离子灭菌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塑料夹钳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规格Φ10㎜，外表光滑、无毛刺和锋棱、钳头相互吻合，通过塑料夹钳的动作，将塑料夹推至治疗部位，可高温高压低温等离子灭菌。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带特殊精细无创锯齿.可高温高压低温等离子灭菌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有齿抓钳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钝头抓钳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输卵管抓钳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无损伤抓钳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胆囊抓钳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胃抓钳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活检钳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Φ5㎜，取物钳的铆接牢固可靠，活动钳头转动灵活无卡滞，可高温高压低温等离子灭菌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重型抓钳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施夹器（哈巴狗抓钳）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直径10mm, 带清洁连接口,可高温高压低温等离子灭菌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抓钳（哈巴狗钳头）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配合施夹使用，可高温高压低温等离子灭菌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阑尾抓钳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直径5mm,可旋转, 可拆卸,带清洁连接口,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持针钳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1300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直径5mm，夹持缝合针时牢固，可高温高压低温等离子灭菌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大型抓钳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1400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Φ10㎜，外表光滑、无毛刺和锋棱、钳头相互吻合，无错口，可高温高压低温等离子灭菌。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扇形钳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2900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直径10mm  5叶 鳃部灵活，打开无卡塞现象，可高温高压低温等离子灭菌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打结棒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直径5㎜，缝合线穿入打结头，放入腹腔，套入组织后打结。可高温高压低温等离子灭菌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胆管针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直径5㎜穿刺胆囊，针管注射、针管抽出废液。可高温高压低温等离子灭菌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气腹针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具有受弹簧控制的钝针芯，长度12 cm   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冲吸管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直径5mm，外表光滑圆整、焊接处平整光滑，无漏水现象，可高温高压低温等离子灭菌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转换器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10/5转换器  焊接处平整光滑，可高温高压低温等离子灭菌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推结棒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直径5㎜，用于打结推结，可高温高压低温等离子灭菌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胆总管切开刀刀柄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由刀管、锁止按扭、刀柄和锁止按扭所组成，可高温高压低温等离子灭菌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弹簧抓钳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Φ5㎜，外表光滑、无毛刺和锋棱、钳头相互吻合，无错口，可高温高压低温等离子灭菌。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经皮肾镜取石钳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取物钳的铆接牢固可靠，活动钳头转动灵活无卡滞，可高温高压低温等离子灭菌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腹部穿刺器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穿刺器，直径3.5mm，穿刺器芯，带连接器注气开关，可高温高压低温等离子灭菌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腹部穿刺器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穿刺器，直径5.5mm，穿刺器芯，带连接器注气开关，可高温高压低温等离子灭菌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腹部穿刺器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穿刺器，直径 10.5mm，穿刺器芯，带连接器注气开关，可高温高压低温等离子灭菌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腹部穿刺器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穿刺器，直径 12.5mm，穿刺器芯，带连接器注气开关，可高温高压低温等离子灭菌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弯分离钳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弯头，直径3mm鳃部灵活，无卡塞现象，可高温高压低温等离子灭菌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弯剪刀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弯头，直径5mm,韧度强，刃口锋利，可高温高压低温等离子灭菌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无损伤抓钳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直径3mm,可旋转,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抓钳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直径3mm,可旋转, 可拆卸,  带清洁连接口, 带精细无创锯齿.可高温高压低温等离子灭菌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电钩</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L形，带单极电凝的连接销，规格3mm，可高温高压低温等离子灭菌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电棒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平头，带单极电凝的连接销规格3mm，可高温高压低温等离子灭菌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冲吸管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直径3mm，外表光滑圆整、焊接处平整光滑，无漏水现象，可高温高压低温等离子灭菌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持针钳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直径3mm，夹持缝合针时牢固，焊接处平整，可高温高压低温等离子灭菌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塑料夹钳  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2300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Φ5㎜，钳头相互吻合，无错口，通过塑料夹钳的动作，将塑料夹推至治疗部位，可高温高压低温等离子灭菌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疝气针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外表面光滑、圆整、杆部平直，可高温高压低温等离子灭菌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疝气修补器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外表面光滑、可高温高压低温等离子灭菌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灌注管路</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1800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配合灌注泵腔内冲洗管路，可高温高压低温等离子灭菌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切除器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腹式；具有良好的切割性能，在正常状态下，应能顺利切割子宫腔等软组织。</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br w:type="textWrapping"/>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切除器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阴式（闭孔器）；具有良好的切割性能，在正常状态下，应能顺利切割子宫腔等软组织</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宫颈钳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抓取宫颈，可高温高压低温等离子灭菌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子宫肌瘤钻</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钻头锋利，头部承受30N的拉力，可高温高压低温等离子灭菌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引导棒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能进入扩张器，可高温高压低温等离子灭菌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拨棒</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拨棒头部圆滑，可高温高压低温等离子灭菌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量棒</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有刻度标记；可高温高压低温等离子灭菌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举宫器（简易）</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支</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管腔畅通，锥头能在直举宫杆上 滑动并随意固定，可高温高压低温等离子灭菌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举宫器（杯式）</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2900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大、中、小三杯，举宫头可插入宫颈内或事先穿刺好的孔内，并使举宫杯的杯口紧挨着子宫壁。可高温高压低温等离子灭菌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子宫抓钳</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1760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套</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钳头齿头清晰，噬合到位可高温高压低温等离子灭菌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trPr>
        <w:tc>
          <w:tcPr>
            <w:tcW w:w="825" w:type="dxa"/>
            <w:vMerge w:val="continue"/>
            <w:tcBorders>
              <w:left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扩张器</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把</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扩张管顺滑畅通，可高温高压低温等离子灭菌</w:t>
            </w:r>
          </w:p>
        </w:tc>
        <w:tc>
          <w:tcPr>
            <w:tcW w:w="645" w:type="dxa"/>
            <w:vMerge w:val="continue"/>
            <w:tcBorders>
              <w:left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trPr>
        <w:tc>
          <w:tcPr>
            <w:tcW w:w="825"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穿刺鞘（子宫切除手术器械）</w:t>
            </w: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p>
        </w:tc>
        <w:tc>
          <w:tcPr>
            <w:tcW w:w="5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阻气阀、密封圈有良好的密封和阻气性能，可高温高压低温等离子灭菌</w:t>
            </w:r>
          </w:p>
        </w:tc>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r>
    </w:tbl>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备注：供应商报价以采购需求清单综合单价最高限价为准，报出综合折扣率。供应商所报综合折扣率不得大于100%，否则将被作为无效响应。</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合同价格计算方法：各单项货物合同价格=采购需求清单对应的综合单价最高限价价格×综合折扣率。举例如：综合折扣率报价为90％，采购需求清单序号1货物“单极线”综合单价最高限价价格为550元，则其合同价格为550元×90％=495元，以此类推。</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kern w:val="0"/>
          <w:sz w:val="21"/>
          <w:szCs w:val="21"/>
          <w:highlight w:val="none"/>
          <w14:textFill>
            <w14:solidFill>
              <w14:schemeClr w14:val="tx1"/>
            </w14:solidFill>
          </w14:textFill>
        </w:rPr>
        <w:t>、商务要求</w:t>
      </w:r>
    </w:p>
    <w:tbl>
      <w:tblPr>
        <w:tblStyle w:val="25"/>
        <w:tblW w:w="97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8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交货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时间</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left"/>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接到医院送货通知后7日内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autoSpaceDE/>
              <w:autoSpaceDN/>
              <w:bidi w:val="0"/>
              <w:adjustRightInd/>
              <w:spacing w:before="160" w:beforeLines="50" w:line="36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autoSpaceDE/>
              <w:autoSpaceDN/>
              <w:bidi w:val="0"/>
              <w:adjustRightInd/>
              <w:snapToGrid w:val="0"/>
              <w:spacing w:before="160" w:beforeLines="50" w:line="360"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服务地点</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合同签订时间</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成交通知书发出之日起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付款方式</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left"/>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根据实际使用量，据实结算。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160" w:beforeLines="50"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质保期</w:t>
            </w:r>
          </w:p>
        </w:tc>
        <w:tc>
          <w:tcPr>
            <w:tcW w:w="8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snapToGrid w:val="0"/>
              <w:spacing w:beforeAutospacing="0" w:line="360"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从产品最终验收合格之日起，喉内窥镜、斜视喉镜、支撑喉镜、鼻窦镜、鼻窦镜(进口)、耳镜 (进口)、腹腔镜镜头(进口)、胸腹腔镜镜头(进口)质保期两年，输尿管镜镜头(进口) 质保期九个月，其他质保期半年，出具相关服务承诺书。费用:在保修期内，由于非人为因素货物故障所产生的费用由供应商负责。</w:t>
            </w:r>
          </w:p>
        </w:tc>
      </w:tr>
    </w:tbl>
    <w:p>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四、采购人对项目的特殊要求及说明</w:t>
      </w:r>
    </w:p>
    <w:tbl>
      <w:tblPr>
        <w:tblStyle w:val="25"/>
        <w:tblW w:w="9785" w:type="dxa"/>
        <w:jc w:val="center"/>
        <w:tblLayout w:type="autofit"/>
        <w:tblCellMar>
          <w:top w:w="0" w:type="dxa"/>
          <w:left w:w="0" w:type="dxa"/>
          <w:bottom w:w="0" w:type="dxa"/>
          <w:right w:w="0" w:type="dxa"/>
        </w:tblCellMar>
      </w:tblPr>
      <w:tblGrid>
        <w:gridCol w:w="2289"/>
        <w:gridCol w:w="7496"/>
      </w:tblGrid>
      <w:tr>
        <w:tblPrEx>
          <w:tblCellMar>
            <w:top w:w="0" w:type="dxa"/>
            <w:left w:w="0" w:type="dxa"/>
            <w:bottom w:w="0" w:type="dxa"/>
            <w:right w:w="0" w:type="dxa"/>
          </w:tblCellMar>
        </w:tblPrEx>
        <w:trPr>
          <w:trHeight w:val="2512" w:hRule="atLeast"/>
          <w:jc w:val="center"/>
        </w:trPr>
        <w:tc>
          <w:tcPr>
            <w:tcW w:w="22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采购人的特殊要求及说明理由</w:t>
            </w:r>
          </w:p>
        </w:tc>
        <w:tc>
          <w:tcPr>
            <w:tcW w:w="749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1、包括供应商特殊资格等要求：无。</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2、本项目是否收取磋商保证金和履约保证金：否</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3、是否接受联合体参加磋商：否</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4、是否授权磋商小组直接确定成交供应商和成交候选供应商：否</w:t>
            </w:r>
          </w:p>
          <w:p>
            <w:pPr>
              <w:keepNext w:val="0"/>
              <w:keepLines w:val="0"/>
              <w:pageBreakBefore w:val="0"/>
              <w:shd w:val="clear"/>
              <w:kinsoku/>
              <w:wordWrap/>
              <w:overflowPunct/>
              <w:topLinePunct w:val="0"/>
              <w:autoSpaceDE/>
              <w:autoSpaceDN/>
              <w:bidi w:val="0"/>
              <w:adjustRightIn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kern w:val="0"/>
                <w:sz w:val="21"/>
                <w:szCs w:val="21"/>
                <w:highlight w:val="none"/>
                <w:lang w:val="en-US" w:eastAsia="zh-CN"/>
              </w:rPr>
              <w:t>5、采购标的对应的中小企业划分标准所属行业为：</w:t>
            </w:r>
            <w:r>
              <w:rPr>
                <w:rFonts w:hint="eastAsia" w:ascii="宋体" w:hAnsi="宋体" w:eastAsia="宋体" w:cs="宋体"/>
                <w:b w:val="0"/>
                <w:bCs w:val="0"/>
                <w:color w:val="auto"/>
                <w:kern w:val="0"/>
                <w:sz w:val="21"/>
                <w:szCs w:val="21"/>
                <w:highlight w:val="none"/>
                <w:u w:val="single"/>
                <w:lang w:val="en-US" w:eastAsia="zh-CN"/>
              </w:rPr>
              <w:t>制造业</w:t>
            </w:r>
          </w:p>
        </w:tc>
      </w:tr>
    </w:tbl>
    <w:p>
      <w:pPr>
        <w:shd w:val="clear"/>
        <w:rPr>
          <w:rFonts w:hint="eastAsia" w:ascii="宋体" w:hAnsi="宋体" w:eastAsia="宋体" w:cs="宋体"/>
          <w:color w:val="000000" w:themeColor="text1"/>
          <w:sz w:val="24"/>
          <w:highlight w:val="none"/>
          <w14:textFill>
            <w14:solidFill>
              <w14:schemeClr w14:val="tx1"/>
            </w14:solidFill>
          </w14:textFill>
        </w:rPr>
      </w:pPr>
    </w:p>
    <w:p>
      <w:pPr>
        <w:shd w:val="clear"/>
        <w:rPr>
          <w:rFonts w:hint="eastAsia" w:ascii="宋体" w:hAnsi="宋体" w:eastAsia="宋体" w:cs="宋体"/>
          <w:color w:val="000000" w:themeColor="text1"/>
          <w:sz w:val="24"/>
          <w:highlight w:val="none"/>
          <w14:textFill>
            <w14:solidFill>
              <w14:schemeClr w14:val="tx1"/>
            </w14:solidFill>
          </w14:textFill>
        </w:rPr>
      </w:pPr>
    </w:p>
    <w:p>
      <w:pPr>
        <w:widowControl/>
        <w:shd w:val="clear" w:color="auto"/>
        <w:spacing w:line="360" w:lineRule="auto"/>
        <w:jc w:val="center"/>
        <w:outlineLvl w:val="0"/>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br w:type="page"/>
      </w:r>
      <w:r>
        <w:rPr>
          <w:rFonts w:hint="eastAsia" w:ascii="宋体" w:hAnsi="宋体" w:eastAsia="宋体" w:cs="宋体"/>
          <w:b/>
          <w:bCs/>
          <w:color w:val="000000" w:themeColor="text1"/>
          <w:kern w:val="0"/>
          <w:sz w:val="32"/>
          <w:szCs w:val="32"/>
          <w:highlight w:val="none"/>
          <w14:textFill>
            <w14:solidFill>
              <w14:schemeClr w14:val="tx1"/>
            </w14:solidFill>
          </w14:textFill>
        </w:rPr>
        <w:t>第三章  供应商须知</w:t>
      </w:r>
    </w:p>
    <w:p>
      <w:pPr>
        <w:widowControl/>
        <w:shd w:val="clear" w:color="auto"/>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xml:space="preserve"> 供应商须知前附表</w:t>
      </w: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 xml:space="preserve"> </w:t>
      </w:r>
    </w:p>
    <w:tbl>
      <w:tblPr>
        <w:tblStyle w:val="25"/>
        <w:tblW w:w="9240" w:type="dxa"/>
        <w:tblInd w:w="0" w:type="dxa"/>
        <w:tblLayout w:type="fixed"/>
        <w:tblCellMar>
          <w:top w:w="0" w:type="dxa"/>
          <w:left w:w="0" w:type="dxa"/>
          <w:bottom w:w="0" w:type="dxa"/>
          <w:right w:w="0" w:type="dxa"/>
        </w:tblCellMar>
      </w:tblPr>
      <w:tblGrid>
        <w:gridCol w:w="869"/>
        <w:gridCol w:w="8371"/>
      </w:tblGrid>
      <w:tr>
        <w:tblPrEx>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8371"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spacing w:line="360" w:lineRule="exact"/>
              <w:ind w:firstLine="324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内容、要求</w:t>
            </w:r>
          </w:p>
        </w:tc>
      </w:tr>
      <w:tr>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项目名称：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手术器械采购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二次</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采购人名称：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驻马店市中心医院</w:t>
            </w:r>
          </w:p>
          <w:p>
            <w:pPr>
              <w:widowControl/>
              <w:shd w:val="clear"/>
              <w:spacing w:line="460" w:lineRule="atLeast"/>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 xml:space="preserve"> 项目编号：驻政采购-2023-10-12</w:t>
            </w:r>
          </w:p>
        </w:tc>
      </w:tr>
      <w:tr>
        <w:tblPrEx>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合格供应商：具备竞争性磋商公告“</w:t>
            </w:r>
            <w:r>
              <w:rPr>
                <w:rFonts w:hint="eastAsia" w:ascii="宋体" w:hAnsi="宋体" w:eastAsia="宋体" w:cs="宋体"/>
                <w:b/>
                <w:bCs/>
                <w:color w:val="000000" w:themeColor="text1"/>
                <w:kern w:val="0"/>
                <w:sz w:val="21"/>
                <w:szCs w:val="21"/>
                <w:highlight w:val="none"/>
                <w14:textFill>
                  <w14:solidFill>
                    <w14:schemeClr w14:val="tx1"/>
                  </w14:solidFill>
                </w14:textFill>
              </w:rPr>
              <w:t>二、申请人的资格要求</w:t>
            </w:r>
            <w:r>
              <w:rPr>
                <w:rFonts w:hint="eastAsia" w:ascii="宋体" w:hAnsi="宋体" w:eastAsia="宋体" w:cs="宋体"/>
                <w:color w:val="000000" w:themeColor="text1"/>
                <w:kern w:val="0"/>
                <w:sz w:val="21"/>
                <w:szCs w:val="21"/>
                <w:highlight w:val="none"/>
                <w14:textFill>
                  <w14:solidFill>
                    <w14:schemeClr w14:val="tx1"/>
                  </w14:solidFill>
                </w14:textFill>
              </w:rPr>
              <w:t>”规定的条件。</w:t>
            </w:r>
          </w:p>
        </w:tc>
      </w:tr>
      <w:tr>
        <w:tblPrEx>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磋商报价及费用：</w:t>
            </w:r>
          </w:p>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 本次磋商应以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综合折扣率</w:t>
            </w:r>
            <w:r>
              <w:rPr>
                <w:rFonts w:hint="eastAsia" w:ascii="宋体" w:hAnsi="宋体" w:eastAsia="宋体" w:cs="宋体"/>
                <w:color w:val="000000" w:themeColor="text1"/>
                <w:kern w:val="0"/>
                <w:sz w:val="21"/>
                <w:szCs w:val="21"/>
                <w:highlight w:val="none"/>
                <w14:textFill>
                  <w14:solidFill>
                    <w14:schemeClr w14:val="tx1"/>
                  </w14:solidFill>
                </w14:textFill>
              </w:rPr>
              <w:t>报价。</w:t>
            </w:r>
          </w:p>
          <w:p>
            <w:pPr>
              <w:widowControl/>
              <w:shd w:val="clear"/>
              <w:spacing w:line="460" w:lineRule="atLeast"/>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 供应商的最后一轮报价均超过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各包段</w:t>
            </w:r>
            <w:r>
              <w:rPr>
                <w:rFonts w:hint="eastAsia" w:ascii="宋体" w:hAnsi="宋体" w:eastAsia="宋体" w:cs="宋体"/>
                <w:color w:val="000000" w:themeColor="text1"/>
                <w:kern w:val="0"/>
                <w:sz w:val="21"/>
                <w:szCs w:val="21"/>
                <w:highlight w:val="none"/>
                <w14:textFill>
                  <w14:solidFill>
                    <w14:schemeClr w14:val="tx1"/>
                  </w14:solidFill>
                </w14:textFill>
              </w:rPr>
              <w:t>采购预算或最高限价的，采购人不能支付的，本项目磋商废止。</w:t>
            </w:r>
          </w:p>
        </w:tc>
      </w:tr>
      <w:tr>
        <w:tblPrEx>
          <w:tblCellMar>
            <w:top w:w="0" w:type="dxa"/>
            <w:left w:w="0" w:type="dxa"/>
            <w:bottom w:w="0" w:type="dxa"/>
            <w:right w:w="0" w:type="dxa"/>
          </w:tblCellMar>
        </w:tblPrEx>
        <w:trPr>
          <w:trHeight w:val="586"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460" w:lineRule="atLeas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现场踏勘或标前答疑：本项目不组织现场踏勘或标前答疑会。供应商根据需要可以自行现场踏勘。</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tblPrEx>
          <w:tblCellMar>
            <w:top w:w="0" w:type="dxa"/>
            <w:left w:w="0" w:type="dxa"/>
            <w:bottom w:w="0" w:type="dxa"/>
            <w:right w:w="0" w:type="dxa"/>
          </w:tblCellMar>
        </w:tblPrEx>
        <w:trPr>
          <w:trHeight w:val="565"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样品要求：无</w:t>
            </w:r>
          </w:p>
        </w:tc>
      </w:tr>
      <w:tr>
        <w:tblPrEx>
          <w:tblCellMar>
            <w:top w:w="0" w:type="dxa"/>
            <w:left w:w="0" w:type="dxa"/>
            <w:bottom w:w="0" w:type="dxa"/>
            <w:right w:w="0" w:type="dxa"/>
          </w:tblCellMar>
        </w:tblPrEx>
        <w:trPr>
          <w:trHeight w:val="835"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83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响应性文件组成：加密的电子响应性文件壹份（*.zmdtf 格式，在会员系统指定位置上传）</w:t>
            </w:r>
          </w:p>
        </w:tc>
      </w:tr>
      <w:tr>
        <w:tblPrEx>
          <w:tblCellMar>
            <w:top w:w="0" w:type="dxa"/>
            <w:left w:w="0" w:type="dxa"/>
            <w:bottom w:w="0" w:type="dxa"/>
            <w:right w:w="0" w:type="dxa"/>
          </w:tblCellMar>
        </w:tblPrEx>
        <w:trPr>
          <w:trHeight w:val="665"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递交响应性文件截止时间及地点：详见竞争性磋商公告</w:t>
            </w:r>
          </w:p>
        </w:tc>
      </w:tr>
      <w:tr>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4"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8371" w:type="dxa"/>
            <w:tcBorders>
              <w:top w:val="nil"/>
              <w:left w:val="nil"/>
              <w:bottom w:val="single" w:color="auto" w:sz="4" w:space="0"/>
              <w:right w:val="single" w:color="auto" w:sz="8" w:space="0"/>
            </w:tcBorders>
            <w:tcMar>
              <w:left w:w="108" w:type="dxa"/>
              <w:right w:w="108" w:type="dxa"/>
            </w:tcMar>
            <w:vAlign w:val="center"/>
          </w:tcPr>
          <w:p>
            <w:pPr>
              <w:widowControl/>
              <w:shd w:val="clea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磋商时间及地点：详见竞争性磋商公告。</w:t>
            </w:r>
          </w:p>
        </w:tc>
      </w:tr>
      <w:tr>
        <w:tblPrEx>
          <w:tblCellMar>
            <w:top w:w="0" w:type="dxa"/>
            <w:left w:w="0" w:type="dxa"/>
            <w:bottom w:w="0" w:type="dxa"/>
            <w:right w:w="0" w:type="dxa"/>
          </w:tblCellMar>
        </w:tblPrEx>
        <w:trPr>
          <w:trHeight w:val="1490" w:hRule="atLeast"/>
        </w:trPr>
        <w:tc>
          <w:tcPr>
            <w:tcW w:w="869"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8371" w:type="dxa"/>
            <w:tcBorders>
              <w:top w:val="single" w:color="auto" w:sz="4" w:space="0"/>
              <w:left w:val="nil"/>
              <w:bottom w:val="single" w:color="auto" w:sz="4" w:space="0"/>
              <w:right w:val="single" w:color="auto" w:sz="4" w:space="0"/>
            </w:tcBorders>
            <w:tcMar>
              <w:left w:w="108" w:type="dxa"/>
              <w:right w:w="108" w:type="dxa"/>
            </w:tcMar>
            <w:vAlign w:val="center"/>
          </w:tcPr>
          <w:p>
            <w:pPr>
              <w:pStyle w:val="21"/>
              <w:shd w:val="clear" w:color="auto"/>
              <w:spacing w:before="0" w:beforeAutospacing="0" w:after="225" w:afterAutospacing="0" w:line="36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评审办法：</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方法。</w:t>
            </w:r>
          </w:p>
        </w:tc>
      </w:tr>
      <w:tr>
        <w:tblPrEx>
          <w:tblCellMar>
            <w:top w:w="0" w:type="dxa"/>
            <w:left w:w="0" w:type="dxa"/>
            <w:bottom w:w="0" w:type="dxa"/>
            <w:right w:w="0" w:type="dxa"/>
          </w:tblCellMar>
        </w:tblPrEx>
        <w:trPr>
          <w:trHeight w:val="147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成交公告及成交通知书：由采购人授权磋商小组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推荐3</w:t>
            </w:r>
            <w:r>
              <w:rPr>
                <w:rFonts w:hint="eastAsia" w:ascii="宋体" w:hAnsi="宋体" w:eastAsia="宋体" w:cs="宋体"/>
                <w:color w:val="000000" w:themeColor="text1"/>
                <w:kern w:val="0"/>
                <w:sz w:val="21"/>
                <w:szCs w:val="21"/>
                <w:highlight w:val="none"/>
                <w14:textFill>
                  <w14:solidFill>
                    <w14:schemeClr w14:val="tx1"/>
                  </w14:solidFill>
                </w14:textFill>
              </w:rPr>
              <w:t>名成交候选人。磋商结束后，采购代理机构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w:t>
            </w:r>
            <w:r>
              <w:rPr>
                <w:rFonts w:hint="eastAsia" w:ascii="宋体" w:hAnsi="宋体" w:eastAsia="宋体" w:cs="宋体"/>
                <w:color w:val="000000" w:themeColor="text1"/>
                <w:kern w:val="0"/>
                <w:sz w:val="21"/>
                <w:szCs w:val="21"/>
                <w:highlight w:val="none"/>
                <w14:textFill>
                  <w14:solidFill>
                    <w14:schemeClr w14:val="tx1"/>
                  </w14:solidFill>
                </w14:textFill>
              </w:rPr>
              <w:t>当在《河南省政府采购网》、《</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驻马店市公共资源交易平台</w:t>
            </w:r>
            <w:r>
              <w:rPr>
                <w:rFonts w:hint="eastAsia" w:ascii="宋体" w:hAnsi="宋体" w:eastAsia="宋体" w:cs="宋体"/>
                <w:color w:val="000000" w:themeColor="text1"/>
                <w:kern w:val="0"/>
                <w:sz w:val="21"/>
                <w:szCs w:val="21"/>
                <w:highlight w:val="none"/>
                <w14:textFill>
                  <w14:solidFill>
                    <w14:schemeClr w14:val="tx1"/>
                  </w14:solidFill>
                </w14:textFill>
              </w:rPr>
              <w:t>》等相关媒体上发布成交公告，同时向成交供应商发出成交通知书。</w:t>
            </w:r>
          </w:p>
        </w:tc>
      </w:tr>
      <w:tr>
        <w:tblPrEx>
          <w:tblCellMar>
            <w:top w:w="0" w:type="dxa"/>
            <w:left w:w="0" w:type="dxa"/>
            <w:bottom w:w="0" w:type="dxa"/>
            <w:right w:w="0" w:type="dxa"/>
          </w:tblCellMar>
        </w:tblPrEx>
        <w:trPr>
          <w:trHeight w:val="600" w:hRule="atLeast"/>
        </w:trPr>
        <w:tc>
          <w:tcPr>
            <w:tcW w:w="869"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8371" w:type="dxa"/>
            <w:tcBorders>
              <w:top w:val="single" w:color="auto" w:sz="4" w:space="0"/>
              <w:left w:val="nil"/>
              <w:bottom w:val="single" w:color="auto" w:sz="4"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磋商保证金交纳与退还：本项目不收取磋商保证金。</w:t>
            </w:r>
          </w:p>
        </w:tc>
      </w:tr>
      <w:tr>
        <w:tblPrEx>
          <w:tblCellMar>
            <w:top w:w="0" w:type="dxa"/>
            <w:left w:w="0" w:type="dxa"/>
            <w:bottom w:w="0" w:type="dxa"/>
            <w:right w:w="0" w:type="dxa"/>
          </w:tblCellMar>
        </w:tblPrEx>
        <w:trPr>
          <w:trHeight w:val="705" w:hRule="atLeast"/>
        </w:trPr>
        <w:tc>
          <w:tcPr>
            <w:tcW w:w="869"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8371" w:type="dxa"/>
            <w:tcBorders>
              <w:top w:val="single" w:color="auto" w:sz="4" w:space="0"/>
              <w:left w:val="nil"/>
              <w:bottom w:val="single" w:color="auto" w:sz="4" w:space="0"/>
              <w:right w:val="single" w:color="auto" w:sz="4"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签订合同：成交通知书发出之日起2个工作日内。</w:t>
            </w:r>
          </w:p>
        </w:tc>
      </w:tr>
      <w:tr>
        <w:tblPrEx>
          <w:tblCellMar>
            <w:top w:w="0" w:type="dxa"/>
            <w:left w:w="0" w:type="dxa"/>
            <w:bottom w:w="0" w:type="dxa"/>
            <w:right w:w="0" w:type="dxa"/>
          </w:tblCellMar>
        </w:tblPrEx>
        <w:trPr>
          <w:trHeight w:val="587"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履约保证金的收取及退还:本项目不收取履约保证金。</w:t>
            </w:r>
          </w:p>
        </w:tc>
      </w:tr>
      <w:tr>
        <w:tblPrEx>
          <w:tblCellMar>
            <w:top w:w="0" w:type="dxa"/>
            <w:left w:w="0" w:type="dxa"/>
            <w:bottom w:w="0" w:type="dxa"/>
            <w:right w:w="0" w:type="dxa"/>
          </w:tblCellMar>
        </w:tblPrEx>
        <w:trPr>
          <w:trHeight w:val="522"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政府采购合同融资：成交供应商可以以政府采购合同为担保向金融机构进行贷款融资。</w:t>
            </w:r>
          </w:p>
        </w:tc>
      </w:tr>
      <w:tr>
        <w:tblPrEx>
          <w:tblCellMar>
            <w:top w:w="0" w:type="dxa"/>
            <w:left w:w="0" w:type="dxa"/>
            <w:bottom w:w="0" w:type="dxa"/>
            <w:right w:w="0" w:type="dxa"/>
          </w:tblCellMar>
        </w:tblPrEx>
        <w:trPr>
          <w:trHeight w:val="576" w:hRule="atLeast"/>
        </w:trPr>
        <w:tc>
          <w:tcPr>
            <w:tcW w:w="86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8371" w:type="dxa"/>
            <w:tcBorders>
              <w:top w:val="single" w:color="auto" w:sz="4" w:space="0"/>
              <w:left w:val="nil"/>
              <w:bottom w:val="single" w:color="auto" w:sz="8"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采购资金来源：</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自筹</w:t>
            </w:r>
            <w:r>
              <w:rPr>
                <w:rFonts w:hint="eastAsia" w:ascii="宋体" w:hAnsi="宋体" w:eastAsia="宋体" w:cs="宋体"/>
                <w:color w:val="000000" w:themeColor="text1"/>
                <w:kern w:val="0"/>
                <w:sz w:val="21"/>
                <w:szCs w:val="21"/>
                <w:highlight w:val="none"/>
                <w14:textFill>
                  <w14:solidFill>
                    <w14:schemeClr w14:val="tx1"/>
                  </w14:solidFill>
                </w14:textFill>
              </w:rPr>
              <w:t>资金</w:t>
            </w:r>
          </w:p>
        </w:tc>
      </w:tr>
      <w:tr>
        <w:tblPrEx>
          <w:tblCellMar>
            <w:top w:w="0" w:type="dxa"/>
            <w:left w:w="0" w:type="dxa"/>
            <w:bottom w:w="0" w:type="dxa"/>
            <w:right w:w="0" w:type="dxa"/>
          </w:tblCellMar>
        </w:tblPrEx>
        <w:trPr>
          <w:trHeight w:val="472"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8371" w:type="dxa"/>
            <w:tcBorders>
              <w:top w:val="nil"/>
              <w:left w:val="nil"/>
              <w:bottom w:val="single" w:color="auto" w:sz="8" w:space="0"/>
              <w:right w:val="single" w:color="auto" w:sz="8" w:space="0"/>
            </w:tcBorders>
            <w:tcMar>
              <w:left w:w="108" w:type="dxa"/>
              <w:right w:w="108" w:type="dxa"/>
            </w:tcMar>
            <w:vAlign w:val="center"/>
          </w:tcPr>
          <w:p>
            <w:pPr>
              <w:widowControl/>
              <w:shd w:val="clear"/>
              <w:spacing w:line="460"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响应性文件有效期：递交响应性文件截止期结束后60日。成交供应商的响应性文件是合同的组成部分,有效期至合同完全履行止。</w:t>
            </w:r>
          </w:p>
        </w:tc>
      </w:tr>
      <w:tr>
        <w:tblPrEx>
          <w:tblCellMar>
            <w:top w:w="0" w:type="dxa"/>
            <w:left w:w="0" w:type="dxa"/>
            <w:bottom w:w="0" w:type="dxa"/>
            <w:right w:w="0" w:type="dxa"/>
          </w:tblCellMar>
        </w:tblPrEx>
        <w:trPr>
          <w:trHeight w:val="520" w:hRule="atLeast"/>
        </w:trPr>
        <w:tc>
          <w:tcPr>
            <w:tcW w:w="869" w:type="dxa"/>
            <w:tcBorders>
              <w:top w:val="nil"/>
              <w:left w:val="single" w:color="auto" w:sz="8" w:space="0"/>
              <w:bottom w:val="single" w:color="auto" w:sz="4" w:space="0"/>
              <w:right w:val="single" w:color="auto" w:sz="8"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8371" w:type="dxa"/>
            <w:tcBorders>
              <w:top w:val="nil"/>
              <w:left w:val="nil"/>
              <w:bottom w:val="single" w:color="auto" w:sz="4" w:space="0"/>
              <w:right w:val="single" w:color="auto" w:sz="8" w:space="0"/>
            </w:tcBorders>
            <w:tcMar>
              <w:left w:w="108" w:type="dxa"/>
              <w:right w:w="108" w:type="dxa"/>
            </w:tcMar>
            <w:vAlign w:val="center"/>
          </w:tcPr>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本项目使用远程不见面交易的模式。供应商应于磋商截止时间前将加密电子</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响应性文件(.zmdtf格式)在驻马店市公共资源交易中心电子交易平台加密上传，逾期上传磋商将被拒绝。</w:t>
            </w:r>
          </w:p>
        </w:tc>
      </w:tr>
      <w:tr>
        <w:tblPrEx>
          <w:tblCellMar>
            <w:top w:w="0" w:type="dxa"/>
            <w:left w:w="0" w:type="dxa"/>
            <w:bottom w:w="0" w:type="dxa"/>
            <w:right w:w="0" w:type="dxa"/>
          </w:tblCellMar>
        </w:tblPrEx>
        <w:trPr>
          <w:trHeight w:val="255"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hd w:val="clea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响应性文件制作:</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1、供应商通过“驻马店市公共资源交易中心（www.zmdggzy.gov.cn/tpfront</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）”网站下载中心（政府采购类）：下载“新点响应性文件制作软件（驻马店）”。</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2、供应商凭 CA 密钥登陆交易系统下载磋商文件(.zmdzf格式)。</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3、供应商须在响应性文件递交截止时间前制作并提交：加密的电子响应性文件（.zmdtf格式）,应在响应性文件截止时间前通过“驻马店市公共资源交易中心（www.zmdggzy.gov.cn/tpfront）”电子交易平台内上传；</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4、加密的电子响应性文件为“驻马店市公共资源交易中心（www.zmdggzy.gov.</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cn/tpfront）”网站提供的“新点响应性文件制作软件（驻马店）”制作生成</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的加密版响应性文件。</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5、供应商在编制电子响应性文件时，生成后的电子响应性文件须按磋商文件的格式要求完成电子签字或盖章。其他要求签字盖章的磋商文件格式内容，供应商须将盖章签字后的扫描图片替换到相应格式中。</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6、磋商文件格式所要求包含的全部资料应全部制作在响应性文件内，严格按照本项目磋商文件所有格式如实填写（不涉及的内容除外），不应存在漏项或</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缺项，否则将存在响应性文件被拒绝的风险。</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7、响应性文件以外的任何资料采购人和采购机构将拒收。</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8、供应商编辑电子响应性文件时，根据磋商文件要求用法人CA密钥和企业CA密钥进行签章制作；最后一步生成电子响应性文件（.zmdtf 格式和.nzmdtf</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格式）时，只能用本单位的企业 CA 密钥。</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9、电子响应性文件制作流程，可参考驻马店市公共资源交易中心官方网站的，</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下载中心板块的视频（</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/TPFront/InfoDetail/?I</w:t>
            </w:r>
          </w:p>
          <w:p>
            <w:pPr>
              <w:shd w:val="clea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nfoID=844e0ea7-2b6c-425d-99f6-91bd5b500e5e&amp;CategoryNum=026002）</w:t>
            </w:r>
          </w:p>
        </w:tc>
      </w:tr>
      <w:tr>
        <w:tblPrEx>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hd w:val="clea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磋商文件的澄清与变更:</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1、采购人、采购机构对已发出的磋商文件进行的澄清、更正或更改，澄</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清、更正或更改的内容将作为磋商文件的组成部分。采购机构将通过网</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站“变更公告”和“答疑文件”告知供应商。各供应商须下载磋商文件和最</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新的答疑文件，以此编制响应性文件。</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2、因驻马店市公共资源交易中心平台在开标前具有保密性，供应商在磋商文</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件递交截止时间前须自行查看项目进展、变更通知、澄清及回复，因供应商</w:t>
            </w:r>
          </w:p>
          <w:p>
            <w:pPr>
              <w:shd w:val="clea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未及时查看而造成的后果自负。</w:t>
            </w:r>
          </w:p>
        </w:tc>
      </w:tr>
      <w:tr>
        <w:tblPrEx>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签字或盖章要求：</w:t>
            </w:r>
          </w:p>
          <w:p>
            <w:pPr>
              <w:shd w:val="clea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1、电子</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（1）经过加密的电子</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上传件为正本</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（2）所有要求供应商加盖公章的地方都须加盖供应商单位的CA印章。</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（3）所有要求法定代表人签字的地方都须加盖法定代表人CA印章, 需要委托代理人签字的地方，可将委托代理人的签字以图片形式扫描上传。</w:t>
            </w:r>
          </w:p>
        </w:tc>
      </w:tr>
      <w:tr>
        <w:tblPrEx>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响应文件开启：</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1、开标当日，供应商无需到达开标现场，仅需在任意地点使用企业CA密钥登入驻马店市公共资源交易中心不见面开标大厅（</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:9190/BidOpening/bidopeninghallaction/hall/login）及相应的配套硬件设备（摄像头、话筒、麦克风等）参加开标会议。</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开标时，供应商必须使用能正确解密响应性文件的CA密钥在规定的时间内完成远程解密，因供应商原因未能解密、解密失败或解密超时，视为供应商撤销其响应性文件，系统内响应性文件将被退回；因采购人原因或网上磋商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3、远程开标前，供应商务必在驻马店市公共资源交易电子交易平台（http:/</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/www.zmdggzy.gov.cn:8820/TPBidder）响应性文件上传模块中使用“模拟解密”功能，验证本机远程自助解密环境。</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4、特别提醒：</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因驻马店市公共资源不见面交易系统具备视频直播、语音通话等，对网络带</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宽及硬件要求相对较高的功能，故供应商在参与使用不见面交易系统开标的</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项目时，需确认是否满足如下要求：</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（1）网络要求：网络带宽4M以上。</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（2）硬件要求：电脑要求内存4G及以上，且需配套网络摄像头、麦克风、音</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箱等，并确保其均能正常运转。操作系统要求Windows7及以上，IE浏览器IE1</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1及以上。</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（3）人员要求：对于参与驻马店不见面交易系统开标的供应商，要求能熟练</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掌握电脑基础操作。不见面开标操作手册下载地址：</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/TPFront/InfoDetail/?InfoID=6e085538-</w:t>
            </w:r>
          </w:p>
          <w:p>
            <w:pPr>
              <w:shd w:val="clea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6be5-4d25-80b2-12f5fc669ba1&amp;CategoryNum=026005）</w:t>
            </w:r>
          </w:p>
          <w:p>
            <w:pPr>
              <w:pStyle w:val="23"/>
              <w:shd w:val="clear"/>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5、在开标过程中，投标截止时间前各投标供应商必须在网上开标系统内完成签到，供应商未完成签到的采购人不予受理，其投标按无效标处理，系统内</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将被退回。</w:t>
            </w:r>
          </w:p>
        </w:tc>
      </w:tr>
      <w:tr>
        <w:tblPrEx>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83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hd w:val="clear"/>
              <w:spacing w:line="360" w:lineRule="exact"/>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pPr>
              <w:widowControl/>
              <w:shd w:val="clear"/>
              <w:spacing w:line="360" w:lineRule="exact"/>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按本款前述规定仍不能形成结论的，由采购人（或采购代理机构）负责解释。</w:t>
            </w:r>
          </w:p>
        </w:tc>
      </w:tr>
    </w:tbl>
    <w:p>
      <w:pPr>
        <w:widowControl/>
        <w:shd w:val="clear" w:color="auto"/>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  说    明</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1.适用范围</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本竞争性磋商文件仅适用于竞争性磋商公告中所叙述项目的相关</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1"/>
          <w:szCs w:val="21"/>
          <w:highlight w:val="none"/>
          <w14:textFill>
            <w14:solidFill>
              <w14:schemeClr w14:val="tx1"/>
            </w14:solidFill>
          </w14:textFill>
        </w:rPr>
        <w:t>采购。</w:t>
      </w:r>
    </w:p>
    <w:p>
      <w:pPr>
        <w:widowControl/>
        <w:shd w:val="clear" w:color="auto"/>
        <w:spacing w:line="460" w:lineRule="atLeast"/>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2.定义</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 “采购人”系指本次采购项目的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驻马店市中心医院</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 “采购代理机构”系指本次采购项目活动组织方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大成工程咨询</w:t>
      </w:r>
      <w:r>
        <w:rPr>
          <w:rFonts w:hint="eastAsia" w:ascii="宋体" w:hAnsi="宋体" w:eastAsia="宋体" w:cs="宋体"/>
          <w:color w:val="000000" w:themeColor="text1"/>
          <w:kern w:val="0"/>
          <w:sz w:val="21"/>
          <w:szCs w:val="21"/>
          <w:highlight w:val="none"/>
          <w14:textFill>
            <w14:solidFill>
              <w14:schemeClr w14:val="tx1"/>
            </w14:solidFill>
          </w14:textFill>
        </w:rPr>
        <w:t>有限公司。</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 “供应商”系指下载了本竞争性磋商文件，且已经提交本次响应文件的参加磋商主体。</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 “供应商代表”系指代表供应商参加本次磋商活动的供应商的法定代表人或其委托代理人。</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 “货物”系指供应商按磋商文件规定向采购人提供的一切设备、机械、仪器仪表、备品备件、工具、手册及其它有关技术资料和材料。</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 “竞争性磋商文件有效期”系指本次采购项目递交响应文件截止之日起至合同签订之日止的期限。成交供应商的竞争性磋商文件有效期至合同完全履行止。</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3.采购预算</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A包：</w:t>
      </w:r>
      <w:r>
        <w:rPr>
          <w:rFonts w:hint="eastAsia" w:ascii="宋体" w:hAnsi="宋体" w:eastAsia="宋体" w:cs="宋体"/>
          <w:color w:val="000000" w:themeColor="text1"/>
          <w:kern w:val="0"/>
          <w:sz w:val="21"/>
          <w:szCs w:val="21"/>
          <w:highlight w:val="none"/>
          <w14:textFill>
            <w14:solidFill>
              <w14:schemeClr w14:val="tx1"/>
            </w14:solidFill>
          </w14:textFill>
        </w:rPr>
        <w:t>采购预算为</w:t>
      </w:r>
      <w:r>
        <w:rPr>
          <w:rFonts w:hint="eastAsia" w:ascii="宋体" w:hAnsi="宋体" w:eastAsia="宋体" w:cs="宋体"/>
          <w:color w:val="000000" w:themeColor="text1"/>
          <w:sz w:val="21"/>
          <w:szCs w:val="21"/>
          <w:highlight w:val="none"/>
          <w:lang w:val="en-US" w:eastAsia="zh-CN"/>
          <w14:textFill>
            <w14:solidFill>
              <w14:schemeClr w14:val="tx1"/>
            </w14:solidFill>
          </w14:textFill>
        </w:rPr>
        <w:t>200000.00元</w:t>
      </w:r>
      <w:r>
        <w:rPr>
          <w:rFonts w:hint="eastAsia" w:ascii="宋体" w:hAnsi="宋体" w:eastAsia="宋体" w:cs="宋体"/>
          <w:color w:val="000000" w:themeColor="text1"/>
          <w:sz w:val="21"/>
          <w:szCs w:val="21"/>
          <w:highlight w:val="none"/>
          <w14:textFill>
            <w14:solidFill>
              <w14:schemeClr w14:val="tx1"/>
            </w14:solidFill>
          </w14:textFill>
        </w:rPr>
        <w:t>，最高限价为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综合折扣率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4.供应商应提交的证明文件</w:t>
      </w:r>
    </w:p>
    <w:p>
      <w:pPr>
        <w:shd w:val="clear"/>
        <w:snapToGrid w:val="0"/>
        <w:spacing w:line="490" w:lineRule="exact"/>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4.1供应商应具有有效的医疗器械生产许可证或医疗器械经营许可证或备案凭证</w:t>
      </w:r>
    </w:p>
    <w:p>
      <w:pPr>
        <w:shd w:val="clear"/>
        <w:snapToGrid w:val="0"/>
        <w:spacing w:line="49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kern w:val="0"/>
          <w:sz w:val="21"/>
          <w:szCs w:val="21"/>
          <w:highlight w:val="none"/>
          <w14:textFill>
            <w14:solidFill>
              <w14:schemeClr w14:val="tx1"/>
            </w14:solidFill>
          </w14:textFill>
        </w:rPr>
        <w:t>驻马店市政府采购供应商信用承诺函。（原件扫描件）（格式见第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五</w:t>
      </w:r>
      <w:r>
        <w:rPr>
          <w:rFonts w:hint="eastAsia" w:ascii="宋体" w:hAnsi="宋体" w:eastAsia="宋体" w:cs="宋体"/>
          <w:color w:val="000000" w:themeColor="text1"/>
          <w:kern w:val="0"/>
          <w:sz w:val="21"/>
          <w:szCs w:val="21"/>
          <w:highlight w:val="none"/>
          <w14:textFill>
            <w14:solidFill>
              <w14:schemeClr w14:val="tx1"/>
            </w14:solidFill>
          </w14:textFill>
        </w:rPr>
        <w:t>章附件</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.1）</w:t>
      </w:r>
    </w:p>
    <w:p>
      <w:pPr>
        <w:widowControl/>
        <w:shd w:val="clear"/>
        <w:wordWrap w:val="0"/>
        <w:snapToGrid w:val="0"/>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法定代表人本人参加投标的，提供法人身份证（原件的扫描件）；法定代表人委托代理人参加投标的，提供法人授权委托书、委托代理人的身份证（原件的扫描件）；</w:t>
      </w:r>
    </w:p>
    <w:p>
      <w:pPr>
        <w:shd w:val="clear"/>
        <w:snapToGrid w:val="0"/>
        <w:spacing w:line="490" w:lineRule="exact"/>
        <w:ind w:firstLine="420" w:firstLineChars="200"/>
        <w:jc w:val="left"/>
        <w:rPr>
          <w:rFonts w:hint="eastAsia"/>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4.4根据《关于在政府采购活动中查询及使用信用记录有关问题的通知》（财库[2016]125号）和豫财购【2016】15号的规定，对列入失信被执行人（此项查询以信用中国网站自动链接至中国执行信息公开网的查询结果为准）、重大税收违法失信主体、政府采购严重违法失信行为记录名单的供应商，拒绝参与本项目政府采购活动。【采购人、采购代理机构通过“信用中国”网站（www.creditchina.gov.cn）、中国政府采购网（www.ccgp.gov.cn）等渠道查询相关主体信用记录,信用信息查询记录及相关证据与其他采购文件一并保存。查询截止时间：本项目响应文件截止时间后】；</w:t>
      </w:r>
    </w:p>
    <w:p>
      <w:pPr>
        <w:widowControl/>
        <w:shd w:val="clear" w:color="auto"/>
        <w:spacing w:line="360" w:lineRule="auto"/>
        <w:ind w:firstLine="482"/>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注∶以上为必须提供的材料（4.</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1"/>
          <w:szCs w:val="21"/>
          <w:highlight w:val="none"/>
          <w14:textFill>
            <w14:solidFill>
              <w14:schemeClr w14:val="tx1"/>
            </w14:solidFill>
          </w14:textFill>
        </w:rPr>
        <w:t>项除外）。本项目采用不见面开评标，供应商在响应文件截止时间前应及时完善主体诚信库中企业信息及扫描件（4.1、4.2</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4.3</w:t>
      </w:r>
      <w:r>
        <w:rPr>
          <w:rFonts w:hint="eastAsia" w:ascii="宋体" w:hAnsi="宋体" w:eastAsia="宋体" w:cs="宋体"/>
          <w:b/>
          <w:bCs/>
          <w:color w:val="000000" w:themeColor="text1"/>
          <w:kern w:val="0"/>
          <w:sz w:val="21"/>
          <w:szCs w:val="21"/>
          <w:highlight w:val="none"/>
          <w14:textFill>
            <w14:solidFill>
              <w14:schemeClr w14:val="tx1"/>
            </w14:solidFill>
          </w14:textFill>
        </w:rPr>
        <w:t>项所需材料），提交并自行核验通过。同时在"资格审查及评审材料"菜单下按分包挑选该包投标所用资格审查材料（4.1、4.2</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4.3</w:t>
      </w:r>
      <w:r>
        <w:rPr>
          <w:rFonts w:hint="eastAsia" w:ascii="宋体" w:hAnsi="宋体" w:eastAsia="宋体" w:cs="宋体"/>
          <w:b/>
          <w:bCs/>
          <w:color w:val="000000" w:themeColor="text1"/>
          <w:kern w:val="0"/>
          <w:sz w:val="21"/>
          <w:szCs w:val="21"/>
          <w:highlight w:val="none"/>
          <w14:textFill>
            <w14:solidFill>
              <w14:schemeClr w14:val="tx1"/>
            </w14:solidFill>
          </w14:textFill>
        </w:rPr>
        <w:t>项所需材料），以供评标过程中采购人查阅。供应商应确保主体诚信库信息与电子响应文件信息一致，上传的资料要真实并清晰可辨。评标时以电子响应文件及"资格审查及评审材料"菜单中选取的企业信息为准。</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5.磋商费用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不论磋商结果如何，供应商均应自行承担所有与磋商有关的全部费用。</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6.不接受联合体参加磋商</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7.转包与分包</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7.1 本项目不允许采取转包方式履行合同。</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7.2本项目不允许采取分包方式履行合同。</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8.特别说明：</w:t>
      </w:r>
    </w:p>
    <w:p>
      <w:pPr>
        <w:widowControl/>
        <w:shd w:val="clear" w:color="auto"/>
        <w:spacing w:line="44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8.1供应商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w:t>
      </w:r>
      <w:r>
        <w:rPr>
          <w:rFonts w:hint="eastAsia" w:ascii="宋体" w:hAnsi="宋体" w:eastAsia="宋体" w:cs="宋体"/>
          <w:color w:val="000000" w:themeColor="text1"/>
          <w:kern w:val="0"/>
          <w:sz w:val="21"/>
          <w:szCs w:val="21"/>
          <w:highlight w:val="none"/>
          <w14:textFill>
            <w14:solidFill>
              <w14:schemeClr w14:val="tx1"/>
            </w14:solidFill>
          </w14:textFill>
        </w:rPr>
        <w:t>参加磋商所使用的资格、信誉、荣誉、业绩与企业认证必须为本法人所拥有。</w:t>
      </w:r>
    </w:p>
    <w:p>
      <w:pPr>
        <w:widowControl/>
        <w:shd w:val="clear" w:color="auto"/>
        <w:spacing w:line="44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8.2供应商代表只能接受一个供应商的委托参加磋商。</w:t>
      </w:r>
    </w:p>
    <w:p>
      <w:pPr>
        <w:pStyle w:val="98"/>
        <w:shd w:val="clear" w:color="auto"/>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8.3《政府采购法》第二十二条第五款“参加政府采购活动前三年内，在经营活动中没有重大违法记录”，“重大违法记录”是指</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供应商因违法经营受到刑事处罚或者责令停产停业、吊销许可证或者执照、较大数额罚款等行政处罚。</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8.4供应商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w:t>
      </w:r>
      <w:r>
        <w:rPr>
          <w:rFonts w:hint="eastAsia" w:ascii="宋体" w:hAnsi="宋体" w:eastAsia="宋体" w:cs="宋体"/>
          <w:color w:val="000000" w:themeColor="text1"/>
          <w:kern w:val="0"/>
          <w:sz w:val="21"/>
          <w:szCs w:val="21"/>
          <w:highlight w:val="none"/>
          <w14:textFill>
            <w14:solidFill>
              <w14:schemeClr w14:val="tx1"/>
            </w14:solidFill>
          </w14:textFill>
        </w:rPr>
        <w:t>在磋商活动中提供虚假材料或从事其他违法活动的,其响应无效，由相关部门查处。</w:t>
      </w:r>
    </w:p>
    <w:p>
      <w:pPr>
        <w:widowControl/>
        <w:shd w:val="clear"/>
        <w:snapToGrid w:val="0"/>
        <w:spacing w:line="44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8.5关联企业参加磋商</w:t>
      </w:r>
    </w:p>
    <w:p>
      <w:pPr>
        <w:widowControl/>
        <w:shd w:val="clear"/>
        <w:snapToGrid w:val="0"/>
        <w:spacing w:line="44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8.5.1 本磋商文件所称关联企业,是指存在关联关系的企业。“关联关系”的界定适用《中华人民共和国公司法》第二百一十七条、《中华人民共和国政府采购法实施条例》第十八条之规定。</w:t>
      </w:r>
    </w:p>
    <w:p>
      <w:pPr>
        <w:pStyle w:val="98"/>
        <w:shd w:val="clear" w:color="auto"/>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8.5.2 关联企业中, 同一个法定代表人的两个及两个以上法人，母公司、全资子公司及其控股公司，都不得同时磋商活动。</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单位负责人为同一人或者存在直接控股、管理关系的不同供应商，不得参加同一合同项下的磋商活动。</w:t>
      </w:r>
      <w:r>
        <w:rPr>
          <w:rFonts w:hint="eastAsia" w:ascii="宋体" w:hAnsi="宋体" w:eastAsia="宋体" w:cs="宋体"/>
          <w:color w:val="000000" w:themeColor="text1"/>
          <w:sz w:val="21"/>
          <w:szCs w:val="21"/>
          <w:highlight w:val="none"/>
          <w14:textFill>
            <w14:solidFill>
              <w14:schemeClr w14:val="tx1"/>
            </w14:solidFill>
          </w14:textFill>
        </w:rPr>
        <w:t>一经发现，将导致磋商同时被拒绝。</w:t>
      </w:r>
    </w:p>
    <w:p>
      <w:pPr>
        <w:pStyle w:val="23"/>
        <w:shd w:val="clear"/>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8.6 供应商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w:t>
      </w:r>
      <w:r>
        <w:rPr>
          <w:rFonts w:hint="eastAsia" w:ascii="宋体" w:hAnsi="宋体" w:eastAsia="宋体" w:cs="宋体"/>
          <w:color w:val="000000" w:themeColor="text1"/>
          <w:kern w:val="0"/>
          <w:sz w:val="21"/>
          <w:szCs w:val="21"/>
          <w:highlight w:val="none"/>
          <w14:textFill>
            <w14:solidFill>
              <w14:schemeClr w14:val="tx1"/>
            </w14:solidFill>
          </w14:textFill>
        </w:rPr>
        <w:t>在磋商期间不得有任何影响或干预评审的行为，否则将导致其丧失参加磋商的资格，并承担相应的法律责任。</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9.质疑和投诉</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9.1供应商认为竞争性磋商文件使自己的合法权益受到损害的，应在递交响应文件截止时间2日之前提出质疑；供应商对磋商过程和成交结果使自己的合法权益受到损害的，应当在知道或者应知其权益受到损害之日起7个工作日内提出质疑，</w:t>
      </w:r>
      <w:r>
        <w:rPr>
          <w:rFonts w:hint="eastAsia" w:ascii="宋体" w:hAnsi="宋体" w:eastAsia="宋体" w:cs="宋体"/>
          <w:bCs/>
          <w:color w:val="000000" w:themeColor="text1"/>
          <w:kern w:val="0"/>
          <w:sz w:val="21"/>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 w:val="21"/>
          <w:szCs w:val="21"/>
          <w:highlight w:val="none"/>
          <w14:textFill>
            <w14:solidFill>
              <w14:schemeClr w14:val="tx1"/>
            </w14:solidFill>
          </w14:textFill>
        </w:rPr>
        <w:t>供应商对采购人或采购代理机构的质疑答复不满意或采购人或采购代理机构未在规定时间内作出答复的，可以在答复期满后15个工作日内向同级财政部门投诉。</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10.供应商的风险</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供应商没有按照竞争性磋商文件要求提供全部资料，或者供应商没有对磋商文件在各方面都作出实质性响应是供应商的风险，并可能导致其响应被拒绝。</w:t>
      </w:r>
    </w:p>
    <w:p>
      <w:pPr>
        <w:widowControl/>
        <w:shd w:val="clear" w:color="auto"/>
        <w:spacing w:line="360" w:lineRule="auto"/>
        <w:ind w:firstLine="2554"/>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   竞争性磋商文件</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11.竞争性磋商文件的构成。本竞争性磋商文件由以下部分组成：</w:t>
      </w:r>
    </w:p>
    <w:p>
      <w:pPr>
        <w:widowControl/>
        <w:shd w:val="clear" w:color="auto"/>
        <w:spacing w:line="360" w:lineRule="auto"/>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11.1 竞争性磋商公告</w:t>
      </w:r>
    </w:p>
    <w:p>
      <w:pPr>
        <w:widowControl/>
        <w:shd w:val="clear" w:color="auto"/>
        <w:spacing w:line="360" w:lineRule="auto"/>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 采购需求</w:t>
      </w:r>
    </w:p>
    <w:p>
      <w:pPr>
        <w:widowControl/>
        <w:shd w:val="clear" w:color="auto"/>
        <w:spacing w:line="360" w:lineRule="auto"/>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11.3 供应商须知</w:t>
      </w:r>
    </w:p>
    <w:p>
      <w:pPr>
        <w:widowControl/>
        <w:shd w:val="clear" w:color="auto"/>
        <w:spacing w:line="360" w:lineRule="auto"/>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  合同主要条款</w:t>
      </w:r>
    </w:p>
    <w:p>
      <w:pPr>
        <w:widowControl/>
        <w:shd w:val="clear" w:color="auto"/>
        <w:spacing w:line="360" w:lineRule="auto"/>
        <w:ind w:firstLine="411"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 响应文件格式</w:t>
      </w:r>
    </w:p>
    <w:p>
      <w:pPr>
        <w:widowControl/>
        <w:shd w:val="clear" w:color="auto"/>
        <w:spacing w:line="360" w:lineRule="auto"/>
        <w:ind w:firstLine="413" w:firstLineChars="19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12.竞争性磋商文件的澄清与修改</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12.1 采购代理机构对已发出的竞争性磋商文件进行必要澄清、修改或补充的，应当在竞争性磋商文件要求提交响应文件截止时间5日前（如至原定截止时间不足5日的，则需延长磋商截止时间，磋商文件领取时间等可以相应延长），在河南省政府采购网、驻马店市公共资源交易网</w:t>
      </w:r>
      <w:r>
        <w:rPr>
          <w:rFonts w:hint="eastAsia" w:ascii="宋体" w:hAnsi="宋体" w:eastAsia="宋体" w:cs="宋体"/>
          <w:color w:val="000000" w:themeColor="text1"/>
          <w:kern w:val="0"/>
          <w:sz w:val="21"/>
          <w:szCs w:val="21"/>
          <w:highlight w:val="none"/>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14:textFill>
            <w14:solidFill>
              <w14:schemeClr w14:val="tx1"/>
            </w14:solidFill>
          </w14:textFill>
        </w:rPr>
        <w:instrText xml:space="preserve"> HYPERLINK "http://zhumadian.hngp.gov.cn/prx/000/http/www.sxztb.gov.cn/" </w:instrText>
      </w:r>
      <w:r>
        <w:rPr>
          <w:rFonts w:hint="eastAsia" w:ascii="宋体" w:hAnsi="宋体" w:eastAsia="宋体" w:cs="宋体"/>
          <w:color w:val="000000" w:themeColor="text1"/>
          <w:kern w:val="0"/>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等相关媒体上发布更正公告或变更公告。竞争性磋商文件公示期间对竞争性磋商文件进行的澄清、修改或补充不受上述限制。</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 竞争性磋商文件澄清、修改或补充的内容为竞争性磋商文件的组成部分。</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12.3 竞争性磋商文件的澄清、修改或补充都应通过本代理机构以法定形式发布。采购人未通过本代理机构对竞争性磋商文件进行的澄清、修改或补充无效，磋商时不予认可。</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12.4 采购代理机构可以视采购具体情况延长递交响应文件截止时间和开始磋商时间，但至少应当在竞争性磋商文件要求提交响应文件的截止时间3个工作日前，将变更时间在河南省政府采购网、驻马店市公共资源交易网</w:t>
      </w:r>
      <w:r>
        <w:rPr>
          <w:rFonts w:hint="eastAsia" w:ascii="宋体" w:hAnsi="宋体" w:eastAsia="宋体" w:cs="宋体"/>
          <w:color w:val="000000" w:themeColor="text1"/>
          <w:kern w:val="0"/>
          <w:sz w:val="21"/>
          <w:szCs w:val="21"/>
          <w:highlight w:val="none"/>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14:textFill>
            <w14:solidFill>
              <w14:schemeClr w14:val="tx1"/>
            </w14:solidFill>
          </w14:textFill>
        </w:rPr>
        <w:instrText xml:space="preserve"> HYPERLINK "http://zhumadian.hngp.gov.cn/prx/000/http/www.sxztb.gov.cn/" </w:instrText>
      </w:r>
      <w:r>
        <w:rPr>
          <w:rFonts w:hint="eastAsia" w:ascii="宋体" w:hAnsi="宋体" w:eastAsia="宋体" w:cs="宋体"/>
          <w:color w:val="000000" w:themeColor="text1"/>
          <w:kern w:val="0"/>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等相关媒体上发布更正公告或变更公告。</w:t>
      </w:r>
    </w:p>
    <w:p>
      <w:pPr>
        <w:widowControl/>
        <w:shd w:val="clear" w:color="auto"/>
        <w:spacing w:line="360" w:lineRule="auto"/>
        <w:ind w:firstLine="20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   响应文件的编制</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13.要求</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自拟格式出具的证明文件须有法定代表人签字。响应性文件应对竞争性磋商文件的要求作出实质性响应（包括供应商资格要求、技术要求、商务要求、采购人对项目的特殊要求及说明及磋商文件中对响应的要求），供应商对所提供的全部资料的合法性、真实性负责。</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13.2 供应商应完整签署响应文件格式附件中《抵制商业贿赂承诺》，不得随意增减或修改内容。否则视为对竞争性磋商文件未作出实质性响应。</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14.响应文件的语言和计量单位</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14.1响应文件以及供应商与采购人、代理机构就有关磋商事宜的所有来往函电均应使用简体中文书写。</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14.2 关于计量单位，竞争性磋商文件已有明确规定的，使用竞争性磋商文件规定的计量单位；竞争性磋商文件没有规定的，应采用中华人民共和国法定计量单位。否则视为对竞争性磋商文件未作出实质性响应。</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14.3 </w:t>
      </w:r>
      <w:r>
        <w:rPr>
          <w:rFonts w:hint="eastAsia" w:ascii="宋体" w:hAnsi="宋体" w:eastAsia="宋体" w:cs="宋体"/>
          <w:color w:val="000000" w:themeColor="text1"/>
          <w:spacing w:val="10"/>
          <w:kern w:val="0"/>
          <w:sz w:val="21"/>
          <w:szCs w:val="21"/>
          <w:highlight w:val="none"/>
          <w14:textFill>
            <w14:solidFill>
              <w14:schemeClr w14:val="tx1"/>
            </w14:solidFill>
          </w14:textFill>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pPr>
        <w:widowControl/>
        <w:shd w:val="clear" w:color="auto"/>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15.响应文件的组成</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响应文件应包括下列部分：</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15.1竞争性磋商响应书</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15.2 初次报价一览表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15.3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明细表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15.4服务技术响应表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15.5 商务响应表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 法定代表人身份证明</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 法定代表人授权书</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15.8 证明文件</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15.9 抵制商业贿赂承诺书</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15.10供应商认为有必要提供的其他资料</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16.响应文件有效期</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16.1 响应文件从竞争性磋商公告所规定的递交响应性文件截止期之后开始生效，在供应商须知前附表第16项所规定的期限内保持有效。有效期不足将导致其响应文件被拒绝。成交供应商的响应文件有效期至合同完全履行止。</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16.2特殊情况下采购代理机构可于响应文件有效期满之前书面要求供应商同意延长有效期，供应商应在采购代理机构规定的期限内以书面形式予以答复。供应商答复不明确或者逾期未答复的，均视为拒绝上述要求。</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17.磋商报价</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17.1 所有磋商报价均以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折扣率</w:t>
      </w:r>
      <w:r>
        <w:rPr>
          <w:rFonts w:hint="eastAsia" w:ascii="宋体" w:hAnsi="宋体" w:eastAsia="宋体" w:cs="宋体"/>
          <w:color w:val="000000" w:themeColor="text1"/>
          <w:kern w:val="0"/>
          <w:sz w:val="21"/>
          <w:szCs w:val="21"/>
          <w:highlight w:val="none"/>
          <w14:textFill>
            <w14:solidFill>
              <w14:schemeClr w14:val="tx1"/>
            </w14:solidFill>
          </w14:textFill>
        </w:rPr>
        <w:t>为计算单位。</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的磋商报价，包括相关设备费、管线材料费、运杂费、保险费、税费、安装费、特种工具费、调试费、保管费、技术服务费(含售后服务费）、培训费、相关部门验收费、计量检定费等正式交付使用前所发生的一切费用。</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17.2 供应商要按初次报价一览表的内容填写。</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17.3 供应商的最后一轮报价为成交价格，供应商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w:t>
      </w:r>
      <w:r>
        <w:rPr>
          <w:rFonts w:hint="eastAsia" w:ascii="宋体" w:hAnsi="宋体" w:eastAsia="宋体" w:cs="宋体"/>
          <w:color w:val="000000" w:themeColor="text1"/>
          <w:kern w:val="0"/>
          <w:sz w:val="21"/>
          <w:szCs w:val="21"/>
          <w:highlight w:val="none"/>
          <w14:textFill>
            <w14:solidFill>
              <w14:schemeClr w14:val="tx1"/>
            </w14:solidFill>
          </w14:textFill>
        </w:rPr>
        <w:t>在服务过程中不得以任何理由拖延、暂停或中断服务。否则，由此造成的一切后果责任由供应商承担且采购人有权要求供应商赔偿由此造成的一切损失。</w:t>
      </w:r>
    </w:p>
    <w:p>
      <w:pPr>
        <w:widowControl/>
        <w:shd w:val="clear" w:color="auto"/>
        <w:spacing w:line="460" w:lineRule="atLeast"/>
        <w:ind w:firstLine="48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17.4  报价为供应商自主报价，供应商应承诺若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在本项目实施期间，及时支付工人工资；否则，在本项目付款期间，采购人有权从应付</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人的项目款中扣减支付相应款项或者暂停支付相应款项，确保避免因本项目产生债务纠纷。</w:t>
      </w:r>
    </w:p>
    <w:p>
      <w:pPr>
        <w:widowControl/>
        <w:shd w:val="clear" w:color="auto"/>
        <w:spacing w:line="460" w:lineRule="atLeast"/>
        <w:ind w:firstLine="48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18.磋商保证金（不收取）</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19.响应文件的签署</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供应商应按本竞争性磋商文件规定的格式、要求和顺序编制、上传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19.2加密的电子响应文件（.zmdtf格式）是根据“驻马店市公共资源交易中心电子交易平台”下载的电子采购文件，制作生成的加密版响应文件。</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19.3 未按本文件规定的格式填写响应性文件或响应性文件字迹模糊不清，导致磋商小组无法认定是否实质性响应竞争性磋商文件的,其响应性文件将被作为无效响应性文件。</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19.4 供应商在编制电子响应文件时，根据磋商文件的要求用法人CA密钥和企业CA密钥进行签章制作。生成电子响应文件时，只能用本单位的企业CA密钥。生成后的电子响应文件须按磋商文件的格式要求完成电子签字或盖章。</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19.5 不接受电报、电传和传真的响应文件。</w:t>
      </w:r>
    </w:p>
    <w:p>
      <w:pPr>
        <w:shd w:val="clea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磋商文件的,其响应文件将被作为无效响应文件。</w:t>
      </w:r>
    </w:p>
    <w:p>
      <w:pPr>
        <w:shd w:val="clear"/>
        <w:snapToGrid w:val="0"/>
        <w:spacing w:line="360" w:lineRule="auto"/>
        <w:ind w:firstLine="420"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19.7 电子响应文件制作流程。可参考驻马店市公共资源交易中心官方网站的下载中心板块的视频。</w:t>
      </w:r>
    </w:p>
    <w:p>
      <w:pPr>
        <w:widowControl/>
        <w:shd w:val="clear" w:color="auto"/>
        <w:spacing w:line="360" w:lineRule="auto"/>
        <w:ind w:firstLine="2554"/>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  响应文件的</w:t>
      </w:r>
      <w:r>
        <w:rPr>
          <w:rFonts w:hint="eastAsia" w:ascii="宋体" w:hAnsi="宋体" w:eastAsia="宋体" w:cs="宋体"/>
          <w:b/>
          <w:color w:val="000000" w:themeColor="text1"/>
          <w:kern w:val="0"/>
          <w:sz w:val="21"/>
          <w:szCs w:val="21"/>
          <w:highlight w:val="none"/>
          <w14:textFill>
            <w14:solidFill>
              <w14:schemeClr w14:val="tx1"/>
            </w14:solidFill>
          </w14:textFill>
        </w:rPr>
        <w:t>上传、递交</w:t>
      </w:r>
    </w:p>
    <w:p>
      <w:pPr>
        <w:widowControl/>
        <w:shd w:val="clear" w:color="auto"/>
        <w:spacing w:line="360" w:lineRule="auto"/>
        <w:ind w:firstLine="482"/>
        <w:jc w:val="left"/>
        <w:rPr>
          <w:rFonts w:hint="eastAsia" w:ascii="宋体" w:hAnsi="宋体" w:eastAsia="宋体" w:cs="宋体"/>
          <w:b/>
          <w:color w:val="000000" w:themeColor="text1"/>
          <w:kern w:val="0"/>
          <w:sz w:val="21"/>
          <w:szCs w:val="21"/>
          <w:highlight w:val="none"/>
          <w14:textFill>
            <w14:solidFill>
              <w14:schemeClr w14:val="tx1"/>
            </w14:solidFill>
          </w14:textFill>
        </w:rPr>
      </w:pPr>
      <w:bookmarkStart w:id="23" w:name="_Hlk53733935"/>
      <w:r>
        <w:rPr>
          <w:rFonts w:hint="eastAsia" w:ascii="宋体" w:hAnsi="宋体" w:eastAsia="宋体" w:cs="宋体"/>
          <w:b/>
          <w:bCs/>
          <w:color w:val="000000" w:themeColor="text1"/>
          <w:kern w:val="0"/>
          <w:sz w:val="21"/>
          <w:szCs w:val="21"/>
          <w:highlight w:val="none"/>
          <w14:textFill>
            <w14:solidFill>
              <w14:schemeClr w14:val="tx1"/>
            </w14:solidFill>
          </w14:textFill>
        </w:rPr>
        <w:t>20.响应文件的</w:t>
      </w:r>
      <w:r>
        <w:rPr>
          <w:rFonts w:hint="eastAsia" w:ascii="宋体" w:hAnsi="宋体" w:eastAsia="宋体" w:cs="宋体"/>
          <w:b/>
          <w:color w:val="000000" w:themeColor="text1"/>
          <w:kern w:val="0"/>
          <w:sz w:val="21"/>
          <w:szCs w:val="21"/>
          <w:highlight w:val="none"/>
          <w14:textFill>
            <w14:solidFill>
              <w14:schemeClr w14:val="tx1"/>
            </w14:solidFill>
          </w14:textFill>
        </w:rPr>
        <w:t>加密、密封、标记</w:t>
      </w:r>
    </w:p>
    <w:bookmarkEnd w:id="23"/>
    <w:p>
      <w:pPr>
        <w:shd w:val="clear"/>
        <w:kinsoku w:val="0"/>
        <w:overflowPunct w:val="0"/>
        <w:autoSpaceDE w:val="0"/>
        <w:autoSpaceDN w:val="0"/>
        <w:spacing w:line="40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14:textFill>
            <w14:solidFill>
              <w14:schemeClr w14:val="tx1"/>
            </w14:solidFill>
          </w14:textFill>
        </w:rPr>
        <w:t>网上上传的电子响应性文件应使用数字证书认证并加密；如网上上传的响应文件未按要求加密和数字证书认证的，采购人将不予受理。</w:t>
      </w:r>
    </w:p>
    <w:p>
      <w:pPr>
        <w:widowControl/>
        <w:shd w:val="clear"/>
        <w:wordWrap w:val="0"/>
        <w:spacing w:line="46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21.磋商响应文件的上传、递交</w:t>
      </w:r>
    </w:p>
    <w:p>
      <w:pPr>
        <w:shd w:val="clear"/>
        <w:kinsoku w:val="0"/>
        <w:overflowPunct w:val="0"/>
        <w:autoSpaceDE w:val="0"/>
        <w:autoSpaceDN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供应商应在竞争性磋商公告中规定的响应文件提交截止时间前将制作好的电子响应文件加密上传至驻马店市公共资源交易中心电子交易平台，逾期上传其响应将被拒绝。</w:t>
      </w:r>
    </w:p>
    <w:p>
      <w:pPr>
        <w:widowControl/>
        <w:shd w:val="clear"/>
        <w:wordWrap w:val="0"/>
        <w:spacing w:line="46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22.磋商响应文件的修改和撤回</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22.2供应商在响应文件提交截止期后不得修改、撤回响应文件。供应商在响应文件提交截止时间后修改响应文件的，将被拒绝接受。</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 供应商有下列情形之一的，采购代理机构将拒绝接受其响应性文件：</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22.3.1 在竞争性磋商文件规定的递交响应性文件截止时间之后上传响应性文件的。</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22.3.2 一个供应商不只上传一套响应性文件的。</w:t>
      </w:r>
    </w:p>
    <w:p>
      <w:pPr>
        <w:shd w:val="clea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22.3.3未进行网上下载磋商文件参加磋商的</w:t>
      </w:r>
      <w:r>
        <w:rPr>
          <w:rFonts w:hint="eastAsia" w:ascii="宋体" w:hAnsi="宋体" w:eastAsia="宋体" w:cs="宋体"/>
          <w:color w:val="000000" w:themeColor="text1"/>
          <w:sz w:val="21"/>
          <w:szCs w:val="21"/>
          <w:highlight w:val="none"/>
          <w14:textFill>
            <w14:solidFill>
              <w14:schemeClr w14:val="tx1"/>
            </w14:solidFill>
          </w14:textFill>
        </w:rPr>
        <w:t>。</w:t>
      </w:r>
    </w:p>
    <w:p>
      <w:pPr>
        <w:widowControl/>
        <w:shd w:val="clear" w:color="auto"/>
        <w:spacing w:line="360" w:lineRule="auto"/>
        <w:ind w:firstLine="303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五   磋商</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23.组建磋商小组及不见面开标程序</w:t>
      </w:r>
    </w:p>
    <w:p>
      <w:pPr>
        <w:widowControl/>
        <w:shd w:val="clear" w:color="auto"/>
        <w:spacing w:line="460" w:lineRule="atLeast"/>
        <w:ind w:firstLine="48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23.1磋商小组组建</w:t>
      </w:r>
    </w:p>
    <w:p>
      <w:pPr>
        <w:widowControl/>
        <w:shd w:val="clear" w:color="auto"/>
        <w:spacing w:line="460" w:lineRule="atLeast"/>
        <w:ind w:firstLine="688" w:firstLineChars="328"/>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采购代理机构根据采购项目的特点依法组建磋商小组。磋商小组由评审专家、采购人组成，成员为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kern w:val="0"/>
          <w:sz w:val="21"/>
          <w:szCs w:val="21"/>
          <w:highlight w:val="none"/>
          <w14:textFill>
            <w14:solidFill>
              <w14:schemeClr w14:val="tx1"/>
            </w14:solidFill>
          </w14:textFill>
        </w:rPr>
        <w:t>人(采购人代表1名，评审专家2名。采购人代表不得担任磋商小组组长)。</w:t>
      </w:r>
    </w:p>
    <w:p>
      <w:pPr>
        <w:widowControl/>
        <w:shd w:val="clear"/>
        <w:wordWrap w:val="0"/>
        <w:snapToGrid w:val="0"/>
        <w:spacing w:line="400" w:lineRule="exact"/>
        <w:ind w:firstLine="413" w:firstLineChars="196"/>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23.2</w:t>
      </w:r>
      <w:r>
        <w:rPr>
          <w:rStyle w:val="38"/>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0"/>
          <w:sz w:val="21"/>
          <w:szCs w:val="21"/>
          <w:highlight w:val="none"/>
          <w14:textFill>
            <w14:solidFill>
              <w14:schemeClr w14:val="tx1"/>
            </w14:solidFill>
          </w14:textFill>
        </w:rPr>
        <w:t>响应文件开启</w:t>
      </w:r>
    </w:p>
    <w:p>
      <w:pPr>
        <w:shd w:val="clea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23.2.1采购人在规定的响应性文件截止时间（开标时间）和供应商须知前附表规定的地点开标。供应商的法定代表人或其委托代理人无需到达开标现场，仅需在任意地点通过驻马店不见面开标系统（</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https://ggzy.zhumadian.gov.cn </w:t>
      </w:r>
      <w:r>
        <w:rPr>
          <w:rFonts w:hint="eastAsia" w:ascii="宋体" w:hAnsi="宋体" w:eastAsia="宋体" w:cs="宋体"/>
          <w:color w:val="000000" w:themeColor="text1"/>
          <w:sz w:val="21"/>
          <w:szCs w:val="21"/>
          <w:highlight w:val="none"/>
          <w14:textFill>
            <w14:solidFill>
              <w14:schemeClr w14:val="tx1"/>
            </w14:solidFill>
          </w14:textFill>
        </w:rPr>
        <w:t>:9190/BidOpening/bidopeninghallaction/hall/login）及相应的配套硬件设备（摄像头、话筒、麦克风等），使用CA密钥完成远程解密、文件传输、提疑澄清、结果公布等交互环节。供应商必须使用能正确解密响应性文件的“CA锁”在规定的时间内完成远程解密，因供应商人原因未能解密、解密失败或解密超时，视为供应商撤销其响应性文件，系统内响应性文件将被退回；因采购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pPr>
        <w:shd w:val="clea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工程采用远程不见面电子开标。响应性文件递交截止时间到达后，各供应商按时对电子响应性文件进行解密。解密完成后各供应商的电子响应性文件的实质性内容将自动显示在网页中。供应商在投标截止时间前未上传电子响应性文件的将被视为放弃投标。</w:t>
      </w:r>
    </w:p>
    <w:p>
      <w:pPr>
        <w:shd w:val="clear"/>
        <w:spacing w:line="40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（2）远程开标前，各供应商务必在驻马店市公共资源交易电子交易平台响应性文件上传模块中使用“模拟解密功能”，验证本机远程自助解密环境。</w:t>
      </w:r>
    </w:p>
    <w:p>
      <w:pPr>
        <w:shd w:val="clear"/>
        <w:spacing w:line="40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23.3开标时出现下列情况的，采购人将拒绝其响应性文件。</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（1）经检查数字证书无效的响应性文件；</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（2）供应商未按供应商须知表规定的时间内因供应商自身原因，导致电子响应性文件上传件出现问题的；</w:t>
      </w:r>
    </w:p>
    <w:p>
      <w:pPr>
        <w:shd w:val="clear"/>
        <w:spacing w:line="400" w:lineRule="exact"/>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23.4电子开标过程中当出现以下情况时，导致系统无法正常运行，根据实际情况延迟评标或调整磋商时间：</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（1）系统服务器发生故障，无法访问或无法使用系统；</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（2）系统的软件或数据库出现错误，不能进行正常操作；</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（3）系统发现有安全漏洞，有潜在的泄密危险；</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（4）出现断电事故；</w:t>
      </w:r>
    </w:p>
    <w:p>
      <w:pPr>
        <w:shd w:val="clear"/>
        <w:spacing w:line="40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（5）其他无法保证采购过程正常进行的情形。</w:t>
      </w:r>
    </w:p>
    <w:p>
      <w:pPr>
        <w:shd w:val="clear"/>
        <w:autoSpaceDE w:val="0"/>
        <w:autoSpaceDN w:val="0"/>
        <w:adjustRightInd w:val="0"/>
        <w:spacing w:line="420" w:lineRule="exact"/>
        <w:ind w:firstLine="316" w:firstLineChars="150"/>
        <w:jc w:val="left"/>
        <w:outlineLvl w:val="9"/>
        <w:rPr>
          <w:rFonts w:hint="eastAsia" w:ascii="宋体" w:hAnsi="宋体" w:eastAsia="宋体" w:cs="宋体"/>
          <w:b/>
          <w:color w:val="000000" w:themeColor="text1"/>
          <w:kern w:val="0"/>
          <w:sz w:val="21"/>
          <w:szCs w:val="21"/>
          <w:highlight w:val="none"/>
          <w14:textFill>
            <w14:solidFill>
              <w14:schemeClr w14:val="tx1"/>
            </w14:solidFill>
          </w14:textFill>
        </w:rPr>
      </w:pPr>
      <w:bookmarkStart w:id="24" w:name="_Toc17123"/>
      <w:bookmarkStart w:id="25" w:name="_Toc47455062"/>
      <w:r>
        <w:rPr>
          <w:rFonts w:hint="eastAsia" w:ascii="宋体" w:hAnsi="宋体" w:eastAsia="宋体" w:cs="宋体"/>
          <w:b/>
          <w:color w:val="000000" w:themeColor="text1"/>
          <w:kern w:val="0"/>
          <w:sz w:val="21"/>
          <w:szCs w:val="21"/>
          <w:highlight w:val="none"/>
          <w14:textFill>
            <w14:solidFill>
              <w14:schemeClr w14:val="tx1"/>
            </w14:solidFill>
          </w14:textFill>
        </w:rPr>
        <w:t>23.5 开标异议</w:t>
      </w:r>
      <w:bookmarkEnd w:id="24"/>
      <w:bookmarkEnd w:id="25"/>
    </w:p>
    <w:p>
      <w:pPr>
        <w:shd w:val="clear"/>
        <w:autoSpaceDE w:val="0"/>
        <w:autoSpaceDN w:val="0"/>
        <w:adjustRightInd w:val="0"/>
        <w:spacing w:line="420" w:lineRule="exact"/>
        <w:ind w:firstLine="315" w:firstLineChars="150"/>
        <w:jc w:val="left"/>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26" w:name="_Toc557"/>
      <w:bookmarkStart w:id="27" w:name="_Toc47455063"/>
      <w:r>
        <w:rPr>
          <w:rFonts w:hint="eastAsia" w:ascii="宋体" w:hAnsi="宋体" w:eastAsia="宋体" w:cs="宋体"/>
          <w:color w:val="000000" w:themeColor="text1"/>
          <w:sz w:val="21"/>
          <w:szCs w:val="21"/>
          <w:highlight w:val="none"/>
          <w14:textFill>
            <w14:solidFill>
              <w14:schemeClr w14:val="tx1"/>
            </w14:solidFill>
          </w14:textFill>
        </w:rPr>
        <w:t>供应商对开标有异议的，应当通过驻马店市公共资源电子平台不见面系统提出，采购人当场做出答复，并制作记录。</w:t>
      </w:r>
      <w:bookmarkEnd w:id="26"/>
      <w:bookmarkEnd w:id="27"/>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24.响应文件的初审</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24.1磋商小组会将对响应文件进行检查，以确定响应文件是否完整、有无计算上的错误、是否已正确签署等。响应文件如果出现计算或表达上的错误，修正错误的原则如下：</w:t>
      </w:r>
    </w:p>
    <w:p>
      <w:pPr>
        <w:widowControl/>
        <w:shd w:val="clear" w:color="auto"/>
        <w:spacing w:line="42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价一览表的内容与报价明细表的内容不一致的，以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供应商的磋商文件应保证</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后，不以任何理由改变产品参数和服务标准提高单价。</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 资格性检查和符合性检查。</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将被视为未实质性响应竞争性磋商文件。在磋商过程中，磋商小组会有权要求供应商按竞争性磋商文件的规定提供相关资格证明材料的原件以供审查。供应商应在磋商小组规定的时限内提供。供应商拒不提供的，或者不能在规定时限内提供的，视为其不具备该资格条件。</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它作出实质性响应的供应商的竞争地位。对没有实质性响应竞争性磋商文件的供应商，将不进入下一阶段磋商。凡有下列情况之一者，其响应文件也将被视为未实质性响应竞争性磋商文件：</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(1)响应性文件未按规定签字、盖章的。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(2)供应商代表未能出具有效身份证明，或与身份不符的。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(3)资格证明文件不全的，或不符合竞争性磋商文件标明的资格要求的。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(4)响应文件有效期、</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kern w:val="0"/>
          <w:sz w:val="21"/>
          <w:szCs w:val="21"/>
          <w:highlight w:val="none"/>
          <w14:textFill>
            <w14:solidFill>
              <w14:schemeClr w14:val="tx1"/>
            </w14:solidFill>
          </w14:textFill>
        </w:rPr>
        <w:t>等实质性内容未响应磋商文件要求的。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(5)未按竞争性磋商文件提供的格式填列、项目不齐全或内容虚假的。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(6）响应性文件的实质性内容未使用中文表述，或意思表述不明确，或前后矛盾，或使用计量单位不符合竞争性磋商文件要求的。</w:t>
      </w:r>
    </w:p>
    <w:p>
      <w:pPr>
        <w:widowControl/>
        <w:shd w:val="clear" w:color="auto"/>
        <w:spacing w:line="460" w:lineRule="atLeast"/>
        <w:ind w:left="0" w:leftChars="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（7）响应性文件的关键内容字迹模糊、无法辨认,或响应性文件中经修正的内容字迹模糊无法辩认，或修改处未按规定签名盖章的。</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）不符合竞争性磋商文件中规定的其它实质性条款。</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磋商小组将拒绝被确定为没有实质性响应竞争性磋商文件的响应文件。磋商小组决定供应商是否实质性响应竞争性磋商文件只根据响应文件本身的内容，而不寻求其他的外部证据。</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 在评审过程中，磋商小组发现供应商有下列情形之一的，视为供应商相互串通。具体表现形式如下：</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24.3.1不同供应商的响应文件异常一致的。</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24.3.2不同供应商的响应文件由同一单位或个人编制的。</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24.3.3不同供应商的响应文件载明的项目管理成员为同一人的。</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24.3.4不同供应商的响应文件相互混装的。</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24.3.5不同供应商授权同一人作为供应商代表的。</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24.3.6有证据证明供应商与采购人、采购代理机构或其他供应商串通的其他情形的。</w:t>
      </w:r>
    </w:p>
    <w:p>
      <w:pPr>
        <w:widowControl/>
        <w:shd w:val="clear" w:color="auto"/>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24.3.7 磋商小组认定的其他串通情形。</w:t>
      </w:r>
    </w:p>
    <w:p>
      <w:pPr>
        <w:widowControl/>
        <w:shd w:val="clear" w:color="auto"/>
        <w:spacing w:line="360" w:lineRule="auto"/>
        <w:ind w:firstLine="422"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25.响应文件的澄清</w:t>
      </w:r>
    </w:p>
    <w:p>
      <w:pPr>
        <w:widowControl/>
        <w:shd w:val="clear" w:color="auto"/>
        <w:spacing w:line="460" w:lineRule="atLeas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磋商小组可以要求供应商对响应文件中含义不明确、同类问题表述不一致或者有明显文字和计算错误的内容等作出必要的澄清、说明或者更正。供应商的澄清说明或者更正应当在磋商小组规定的时间内以书面形式</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通过驻马店市公共资源电子平台不见面系统网上</w:t>
      </w:r>
      <w:r>
        <w:rPr>
          <w:rFonts w:hint="eastAsia" w:ascii="宋体" w:hAnsi="宋体" w:eastAsia="宋体" w:cs="宋体"/>
          <w:color w:val="000000" w:themeColor="text1"/>
          <w:kern w:val="0"/>
          <w:sz w:val="21"/>
          <w:szCs w:val="21"/>
          <w:highlight w:val="none"/>
          <w14:textFill>
            <w14:solidFill>
              <w14:schemeClr w14:val="tx1"/>
            </w14:solidFill>
          </w14:textFill>
        </w:rPr>
        <w:t>作出必要的澄清、说明或者纠正。供应商的澄清、说明或者纠正应当在磋商小组规定的时间内</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通过驻马店市公共资源电子平台不见面系统网上以书面形式做出</w:t>
      </w:r>
      <w:r>
        <w:rPr>
          <w:rFonts w:hint="eastAsia" w:ascii="宋体" w:hAnsi="宋体" w:eastAsia="宋体" w:cs="宋体"/>
          <w:color w:val="000000" w:themeColor="text1"/>
          <w:kern w:val="0"/>
          <w:sz w:val="21"/>
          <w:szCs w:val="21"/>
          <w:highlight w:val="none"/>
          <w14:textFill>
            <w14:solidFill>
              <w14:schemeClr w14:val="tx1"/>
            </w14:solidFill>
          </w14:textFill>
        </w:rPr>
        <w:t>，由供应商代表签字。但澄清、说明或者纠事项不得超出响应性文件的范围或者改变响应性文件的实质性内容。</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26.磋商</w:t>
      </w:r>
    </w:p>
    <w:p>
      <w:pPr>
        <w:widowControl/>
        <w:shd w:val="clear" w:color="auto"/>
        <w:spacing w:line="360" w:lineRule="auto"/>
        <w:ind w:right="150"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26.1对资格性检查和符合性检查合格的供应商，进入本次磋商程序。</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26.2</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磋商小组所有成员集中与单一供应商分别进行磋商。</w:t>
      </w:r>
      <w:r>
        <w:rPr>
          <w:rFonts w:hint="eastAsia" w:ascii="宋体" w:hAnsi="宋体" w:eastAsia="宋体" w:cs="宋体"/>
          <w:color w:val="000000" w:themeColor="text1"/>
          <w:kern w:val="0"/>
          <w:sz w:val="21"/>
          <w:szCs w:val="21"/>
          <w:highlight w:val="none"/>
          <w14:textFill>
            <w14:solidFill>
              <w14:schemeClr w14:val="tx1"/>
            </w14:solidFill>
          </w14:textFill>
        </w:rPr>
        <w:t>在磋商中，磋商的任何一方不得透露与磋商有关的其他供应商的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通过驻马店市公共资源电子平台不见面系统</w:t>
      </w:r>
      <w:r>
        <w:rPr>
          <w:rFonts w:hint="eastAsia" w:ascii="宋体" w:hAnsi="宋体" w:eastAsia="宋体" w:cs="宋体"/>
          <w:color w:val="000000" w:themeColor="text1"/>
          <w:kern w:val="0"/>
          <w:sz w:val="21"/>
          <w:szCs w:val="21"/>
          <w:highlight w:val="none"/>
          <w14:textFill>
            <w14:solidFill>
              <w14:schemeClr w14:val="tx1"/>
            </w14:solidFill>
          </w14:textFill>
        </w:rPr>
        <w:t>通知所有参加磋商供应商。</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26.3本次磋商进行二轮次报价，并给予每个供应商相同的机会。响应文件报价为第一轮报价，以后轮次报价不得高于上一轮次报价（除磋商文件有实质性变动外），否则将被视为未实质性响应竞争性磋商文件。供应商应当</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通过驻马店市公共资源电子平台不见面系统进行网上二轮报价</w:t>
      </w:r>
      <w:r>
        <w:rPr>
          <w:rFonts w:hint="eastAsia" w:ascii="宋体" w:hAnsi="宋体" w:eastAsia="宋体" w:cs="宋体"/>
          <w:color w:val="000000" w:themeColor="text1"/>
          <w:kern w:val="0"/>
          <w:sz w:val="21"/>
          <w:szCs w:val="21"/>
          <w:highlight w:val="none"/>
          <w14:textFill>
            <w14:solidFill>
              <w14:schemeClr w14:val="tx1"/>
            </w14:solidFill>
          </w14:textFill>
        </w:rPr>
        <w:t>，在驻马店公共资源交易中心不见面系统规定的时限内提交给磋商小组，磋商报价以供应商的后一轮次报价为准。</w:t>
      </w:r>
    </w:p>
    <w:p>
      <w:pPr>
        <w:pStyle w:val="130"/>
        <w:shd w:val="clear"/>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pacing w:val="0"/>
          <w:kern w:val="2"/>
          <w:sz w:val="21"/>
          <w:szCs w:val="21"/>
          <w:highlight w:val="none"/>
          <w:lang w:val="zh-CN"/>
          <w14:textFill>
            <w14:solidFill>
              <w14:schemeClr w14:val="tx1"/>
            </w14:solidFill>
          </w14:textFill>
        </w:rPr>
        <w:t>注：</w:t>
      </w:r>
      <w:r>
        <w:rPr>
          <w:rFonts w:hint="eastAsia" w:ascii="宋体" w:hAnsi="宋体" w:eastAsia="宋体" w:cs="宋体"/>
          <w:b/>
          <w:color w:val="000000" w:themeColor="text1"/>
          <w:spacing w:val="0"/>
          <w:kern w:val="2"/>
          <w:sz w:val="21"/>
          <w:szCs w:val="21"/>
          <w:highlight w:val="none"/>
          <w14:textFill>
            <w14:solidFill>
              <w14:schemeClr w14:val="tx1"/>
            </w14:solidFill>
          </w14:textFill>
        </w:rPr>
        <w:t>磋商</w:t>
      </w:r>
      <w:r>
        <w:rPr>
          <w:rFonts w:hint="eastAsia" w:ascii="宋体" w:hAnsi="宋体" w:eastAsia="宋体" w:cs="宋体"/>
          <w:b/>
          <w:color w:val="000000" w:themeColor="text1"/>
          <w:spacing w:val="0"/>
          <w:kern w:val="2"/>
          <w:sz w:val="21"/>
          <w:szCs w:val="21"/>
          <w:highlight w:val="none"/>
          <w:lang w:val="zh-CN"/>
          <w14:textFill>
            <w14:solidFill>
              <w14:schemeClr w14:val="tx1"/>
            </w14:solidFill>
          </w14:textFill>
        </w:rPr>
        <w:t>小组在完成资格性审查和符合性审查后，通过驻马店市公共资源交易中心不见面开评标交易平台向通过资格性审查和符合性审查的投标供应商推送二次报价信息，请各投标供应商密切关注驻马店市公共资源交易中心不见面开评标交易平台信息推送提示，若因投标供应商操作不当，造成二次报价错误或错过报价时间或投标供应商长时间未进行二次报价等一切后果由投标供应商自行承担。</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26.4 在确定成交供应商之前，磋商小组认为排在前面的成交候选人的最低报价或某些分项报价明显不合理或者低于成本，有可能影响质量和不能诚信履约的，应当要求其在规定的期限内</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通过驻马店市公共资源电子平台不见面系统</w:t>
      </w:r>
      <w:r>
        <w:rPr>
          <w:rFonts w:hint="eastAsia" w:ascii="宋体" w:hAnsi="宋体" w:eastAsia="宋体" w:cs="宋体"/>
          <w:color w:val="000000" w:themeColor="text1"/>
          <w:kern w:val="0"/>
          <w:sz w:val="21"/>
          <w:szCs w:val="21"/>
          <w:highlight w:val="none"/>
          <w14:textFill>
            <w14:solidFill>
              <w14:schemeClr w14:val="tx1"/>
            </w14:solidFill>
          </w14:textFill>
        </w:rPr>
        <w:t>提供书面文件予以解释说明，并提交相关证明村料。不能合理说明并提供相关证明材料的，磋商小组可以取消该供应商的成交候选人资格，按顺序由排在后面的供应商递补，以此类推。</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27.磋商过程及保密原则</w:t>
      </w:r>
    </w:p>
    <w:p>
      <w:pPr>
        <w:widowControl/>
        <w:shd w:val="clear" w:color="auto"/>
        <w:autoSpaceDE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27.1 凡与本次磋商有关人员对属于审查、澄清、评价和磋商中的有关资料等，均不得向任何人透露。否则,将按有关规定追究相关人员的责任。</w:t>
      </w:r>
    </w:p>
    <w:p>
      <w:pPr>
        <w:widowControl/>
        <w:shd w:val="clear" w:color="auto"/>
        <w:autoSpaceDE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27.2 在磋商期间，供应商试图影响或干预评审的任何行为，将导致其丧失参加磋商的资格，并承担相应的法律责任。</w:t>
      </w:r>
    </w:p>
    <w:p>
      <w:pPr>
        <w:widowControl/>
        <w:shd w:val="clear" w:color="auto"/>
        <w:spacing w:line="360" w:lineRule="auto"/>
        <w:ind w:firstLine="2233"/>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六   确定成交供应商</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28.成交原则</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28.1本次磋商将按照综合评分法确定成交供应商，是指响应文件满足磋商文件全部实质性要求且按评审因素的量化指标评审得分最高的供应商为成交候选供应商的评审办法。价格分采用低价优先法计算，即满足磋商文件要求且最后报价最低的供应商的价格为磋商基准价，其价格分为满分。其他供应商的价格分按照下列公式计算：磋商报价得分＝（磋商基准价／最后磋商报价）×价格权值×100。</w:t>
      </w:r>
    </w:p>
    <w:p>
      <w:pPr>
        <w:shd w:val="clear"/>
        <w:autoSpaceDE w:val="0"/>
        <w:autoSpaceDN w:val="0"/>
        <w:adjustRightInd w:val="0"/>
        <w:spacing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28.2磋商结果按评审后得分由高到低顺序排列，响应文件满足磋商文件全部实质性要求，且按照评审因素的量化指标评审得分最高的供应商为排名第一的成交候选供应商。得分相同的，按磋商最后报价由低到高顺序排列。得分与磋商最后报价均相同的，</w:t>
      </w:r>
      <w:r>
        <w:rPr>
          <w:rFonts w:hint="eastAsia" w:ascii="宋体" w:hAnsi="宋体" w:eastAsia="宋体" w:cs="宋体"/>
          <w:color w:val="000000" w:themeColor="text1"/>
          <w:kern w:val="0"/>
          <w:sz w:val="21"/>
          <w:szCs w:val="21"/>
          <w:highlight w:val="none"/>
          <w14:textFill>
            <w14:solidFill>
              <w14:schemeClr w14:val="tx1"/>
            </w14:solidFill>
          </w14:textFill>
        </w:rPr>
        <w:t>按服务优劣顺序排列。</w:t>
      </w:r>
      <w:r>
        <w:rPr>
          <w:rFonts w:hint="eastAsia" w:ascii="宋体" w:hAnsi="宋体" w:eastAsia="宋体" w:cs="宋体"/>
          <w:color w:val="000000" w:themeColor="text1"/>
          <w:sz w:val="21"/>
          <w:szCs w:val="21"/>
          <w:highlight w:val="none"/>
          <w14:textFill>
            <w14:solidFill>
              <w14:schemeClr w14:val="tx1"/>
            </w14:solidFill>
          </w14:textFill>
        </w:rPr>
        <w:t>以上全部相同的，通过随机抽取产生。</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29.确定成交供应商和成交候选供应商</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本项目由采购人授权磋商小组推荐3名成交候选人。</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0"/>
          <w:sz w:val="21"/>
          <w:szCs w:val="21"/>
          <w:highlight w:val="none"/>
          <w14:textFill>
            <w14:solidFill>
              <w14:schemeClr w14:val="tx1"/>
            </w14:solidFill>
          </w14:textFill>
        </w:rPr>
        <w:t>成交通知书及成交公告</w:t>
      </w:r>
    </w:p>
    <w:p>
      <w:pPr>
        <w:widowControl/>
        <w:shd w:val="clear" w:color="auto"/>
        <w:spacing w:line="460" w:lineRule="atLeas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30.1磋商结束后，采购代理机构及时在河南省政府采购网、驻马店市公共资源交易网</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"http://zhumadian.hngp.gov.cn/prx/000/http/www.sxztb.gov.cn/"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等相关媒体上发布成交公告，同时向成交供应商发出成交通知书。</w:t>
      </w:r>
    </w:p>
    <w:p>
      <w:pPr>
        <w:widowControl/>
        <w:shd w:val="clear" w:color="auto"/>
        <w:spacing w:line="420" w:lineRule="atLeast"/>
        <w:ind w:firstLine="478"/>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pPr>
        <w:widowControl/>
        <w:shd w:val="clear" w:color="auto"/>
        <w:spacing w:line="360" w:lineRule="auto"/>
        <w:ind w:firstLine="47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spacing w:line="360" w:lineRule="auto"/>
        <w:ind w:firstLine="47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30.4成交通知书将作为签订合同的依据。合同签订后，成交通知书成为合同的一部分。</w:t>
      </w:r>
    </w:p>
    <w:p>
      <w:pPr>
        <w:widowControl/>
        <w:shd w:val="clear" w:color="auto"/>
        <w:spacing w:line="360" w:lineRule="auto"/>
        <w:ind w:firstLine="47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30.5供应商的响应文件必须完全响应若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在规定时间内不领取</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 w:val="21"/>
          <w:szCs w:val="21"/>
          <w:highlight w:val="none"/>
          <w14:textFill>
            <w14:solidFill>
              <w14:schemeClr w14:val="tx1"/>
            </w14:solidFill>
          </w14:textFill>
        </w:rPr>
        <w:t>造成的一切后果及造成的损失承担责任，否则将上报有关监督部门进行处罚。</w:t>
      </w:r>
    </w:p>
    <w:p>
      <w:pPr>
        <w:widowControl/>
        <w:shd w:val="clear" w:color="auto"/>
        <w:spacing w:line="360" w:lineRule="auto"/>
        <w:ind w:firstLine="47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31.采购代理机构宣布磋商终止的权利</w:t>
      </w:r>
    </w:p>
    <w:p>
      <w:pPr>
        <w:widowControl/>
        <w:shd w:val="clear" w:color="auto"/>
        <w:spacing w:line="360" w:lineRule="auto"/>
        <w:ind w:firstLine="47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出现下列情况之一时，采购代理机构有权宣布磋商废止，并将理由通知所有供应商：</w:t>
      </w:r>
    </w:p>
    <w:p>
      <w:pPr>
        <w:widowControl/>
        <w:shd w:val="clear" w:color="auto"/>
        <w:spacing w:line="360" w:lineRule="auto"/>
        <w:ind w:left="1229" w:hanging="708"/>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31.1出现影响采购公正的违法、违规行为的。</w:t>
      </w:r>
    </w:p>
    <w:p>
      <w:pPr>
        <w:widowControl/>
        <w:shd w:val="clear" w:color="auto"/>
        <w:spacing w:line="360" w:lineRule="auto"/>
        <w:ind w:left="1229" w:hanging="708"/>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31.2 供应商的最后一轮报价均超过了采购控制价，采购人不能支付的。</w:t>
      </w:r>
    </w:p>
    <w:p>
      <w:pPr>
        <w:widowControl/>
        <w:shd w:val="clear" w:color="auto"/>
        <w:spacing w:line="360" w:lineRule="auto"/>
        <w:ind w:left="1229" w:hanging="708"/>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31.3 因重大变故，采购任务取消的。</w:t>
      </w:r>
      <w:bookmarkStart w:id="28" w:name="_Toc355985903"/>
    </w:p>
    <w:p>
      <w:pPr>
        <w:shd w:val="clear"/>
        <w:spacing w:line="460" w:lineRule="exact"/>
        <w:ind w:firstLine="1792" w:firstLineChars="85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七  </w:t>
      </w:r>
      <w:bookmarkStart w:id="29" w:name="_Hlk53737771"/>
      <w:r>
        <w:rPr>
          <w:rFonts w:hint="eastAsia" w:ascii="宋体" w:hAnsi="宋体" w:eastAsia="宋体" w:cs="宋体"/>
          <w:b/>
          <w:color w:val="000000" w:themeColor="text1"/>
          <w:sz w:val="21"/>
          <w:szCs w:val="21"/>
          <w:highlight w:val="none"/>
          <w14:textFill>
            <w14:solidFill>
              <w14:schemeClr w14:val="tx1"/>
            </w14:solidFill>
          </w14:textFill>
        </w:rPr>
        <w:t>磋商办法及评分标准</w:t>
      </w:r>
      <w:bookmarkEnd w:id="28"/>
      <w:bookmarkEnd w:id="29"/>
    </w:p>
    <w:p>
      <w:pPr>
        <w:widowControl/>
        <w:shd w:val="clear"/>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kern w:val="0"/>
          <w:sz w:val="21"/>
          <w:szCs w:val="21"/>
          <w:highlight w:val="none"/>
          <w14:textFill>
            <w14:solidFill>
              <w14:schemeClr w14:val="tx1"/>
            </w14:solidFill>
          </w14:textFill>
        </w:rPr>
        <w:t>磋商办法及评分标准</w:t>
      </w:r>
    </w:p>
    <w:p>
      <w:pPr>
        <w:widowControl/>
        <w:shd w:val="clear"/>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为公正、公平、科学地选择成交供应商，根据《中华人民共和国政府采购法》、《政府采购竞争性磋商采购方式管理暂行规定》等有关法律法规的规定，并结合本项目的实际，制定本办法。</w:t>
      </w:r>
    </w:p>
    <w:p>
      <w:pPr>
        <w:widowControl/>
        <w:numPr>
          <w:ilvl w:val="0"/>
          <w:numId w:val="4"/>
        </w:numPr>
        <w:shd w:val="clear"/>
        <w:wordWrap w:val="0"/>
        <w:spacing w:line="46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总则</w:t>
      </w:r>
    </w:p>
    <w:p>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本次评审采用综合评分法，总分为100</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。按供应商须知第28项的规定排列成交资格。排名第一的供应商为</w:t>
      </w:r>
      <w:r>
        <w:rPr>
          <w:rFonts w:hint="eastAsia" w:ascii="宋体" w:hAnsi="宋体" w:eastAsia="宋体" w:cs="宋体"/>
          <w:color w:val="000000" w:themeColor="text1"/>
          <w:sz w:val="21"/>
          <w:szCs w:val="21"/>
          <w:highlight w:val="none"/>
          <w:lang w:eastAsia="zh-CN"/>
          <w14:textFill>
            <w14:solidFill>
              <w14:schemeClr w14:val="tx1"/>
            </w14:solidFill>
          </w14:textFill>
        </w:rPr>
        <w:t>第一</w:t>
      </w:r>
      <w:r>
        <w:rPr>
          <w:rFonts w:hint="eastAsia" w:ascii="宋体" w:hAnsi="宋体" w:eastAsia="宋体" w:cs="宋体"/>
          <w:color w:val="000000" w:themeColor="text1"/>
          <w:sz w:val="21"/>
          <w:szCs w:val="21"/>
          <w:highlight w:val="none"/>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候选</w:t>
      </w:r>
      <w:r>
        <w:rPr>
          <w:rFonts w:hint="eastAsia" w:ascii="宋体" w:hAnsi="宋体" w:eastAsia="宋体" w:cs="宋体"/>
          <w:color w:val="000000" w:themeColor="text1"/>
          <w:sz w:val="21"/>
          <w:szCs w:val="21"/>
          <w:highlight w:val="none"/>
          <w14:textFill>
            <w14:solidFill>
              <w14:schemeClr w14:val="tx1"/>
            </w14:solidFill>
          </w14:textFill>
        </w:rPr>
        <w:t>供应商（其他供应商成交候选资格依此类推）。评分过程中采用四舍五入法，保留小数2位。</w:t>
      </w:r>
    </w:p>
    <w:p>
      <w:pPr>
        <w:shd w:val="clear"/>
        <w:spacing w:line="460" w:lineRule="exact"/>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二、磋商内容及标准</w:t>
      </w:r>
    </w:p>
    <w:p>
      <w:pPr>
        <w:shd w:val="clear"/>
        <w:autoSpaceDE w:val="0"/>
        <w:autoSpaceDN w:val="0"/>
        <w:spacing w:before="0" w:line="360" w:lineRule="auto"/>
        <w:jc w:val="left"/>
        <w:outlineLvl w:val="9"/>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竞争性磋商小组根据政府采购相关规定，对有效供应商的磋商符合价格折扣条件的，按照“价格调整要素及价格折扣幅度列表”进行报价调整，以调整后的价格作为供应商的评审价。</w:t>
      </w:r>
      <w:bookmarkStart w:id="30" w:name="_Hlk53740145"/>
    </w:p>
    <w:p>
      <w:pPr>
        <w:shd w:val="clear"/>
        <w:autoSpaceDE w:val="0"/>
        <w:autoSpaceDN w:val="0"/>
        <w:spacing w:before="0"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价格调整要素及价格折扣幅度列表：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0" w:type="dxa"/>
            <w:tcBorders>
              <w:top w:val="single" w:color="auto" w:sz="4" w:space="0"/>
              <w:left w:val="single" w:color="auto" w:sz="4" w:space="0"/>
              <w:bottom w:val="single" w:color="auto" w:sz="4" w:space="0"/>
              <w:right w:val="single" w:color="auto" w:sz="4" w:space="0"/>
            </w:tcBorders>
          </w:tcPr>
          <w:p>
            <w:pPr>
              <w:widowControl/>
              <w:shd w:val="clear"/>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评审价格要素</w:t>
            </w:r>
          </w:p>
        </w:tc>
        <w:tc>
          <w:tcPr>
            <w:tcW w:w="5220" w:type="dxa"/>
            <w:tcBorders>
              <w:top w:val="single" w:color="auto" w:sz="4" w:space="0"/>
              <w:left w:val="single" w:color="auto" w:sz="4" w:space="0"/>
              <w:bottom w:val="single" w:color="auto" w:sz="4" w:space="0"/>
              <w:right w:val="single" w:color="auto" w:sz="4" w:space="0"/>
            </w:tcBorders>
          </w:tcPr>
          <w:p>
            <w:pPr>
              <w:widowControl/>
              <w:shd w:val="clear"/>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0" w:type="dxa"/>
            <w:tcBorders>
              <w:top w:val="single" w:color="auto" w:sz="4" w:space="0"/>
              <w:left w:val="single" w:color="auto" w:sz="4" w:space="0"/>
              <w:bottom w:val="single" w:color="auto" w:sz="4" w:space="0"/>
              <w:right w:val="single" w:color="auto" w:sz="4" w:space="0"/>
            </w:tcBorders>
          </w:tcPr>
          <w:p>
            <w:pPr>
              <w:widowControl/>
              <w:shd w:val="clear"/>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小微企业参加磋商的。监狱企业、残疾人福利性单位视同小型、微型企业。</w:t>
            </w:r>
          </w:p>
        </w:tc>
        <w:tc>
          <w:tcPr>
            <w:tcW w:w="5220" w:type="dxa"/>
            <w:tcBorders>
              <w:top w:val="single" w:color="auto" w:sz="4" w:space="0"/>
              <w:left w:val="single" w:color="auto" w:sz="4" w:space="0"/>
              <w:bottom w:val="single" w:color="auto" w:sz="4" w:space="0"/>
              <w:right w:val="single" w:color="auto" w:sz="4" w:space="0"/>
            </w:tcBorders>
          </w:tcPr>
          <w:p>
            <w:pPr>
              <w:widowControl/>
              <w:shd w:val="clear"/>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15%；联合体参加投标的，小型、微型企业的协议合同金额占到联合体协议合同总金额30%以上的，给予联合体5%的价格扣除。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0" w:type="dxa"/>
            <w:tcBorders>
              <w:top w:val="single" w:color="auto" w:sz="4" w:space="0"/>
              <w:left w:val="single" w:color="auto" w:sz="4" w:space="0"/>
              <w:bottom w:val="single" w:color="auto" w:sz="4" w:space="0"/>
              <w:right w:val="single" w:color="auto" w:sz="4" w:space="0"/>
            </w:tcBorders>
          </w:tcPr>
          <w:p>
            <w:pPr>
              <w:widowControl/>
              <w:shd w:val="clear"/>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220" w:type="dxa"/>
            <w:tcBorders>
              <w:top w:val="single" w:color="auto" w:sz="4" w:space="0"/>
              <w:left w:val="single" w:color="auto" w:sz="4" w:space="0"/>
              <w:bottom w:val="single" w:color="auto" w:sz="4" w:space="0"/>
              <w:right w:val="single" w:color="auto" w:sz="4" w:space="0"/>
            </w:tcBorders>
          </w:tcPr>
          <w:p>
            <w:pPr>
              <w:widowControl/>
              <w:shd w:val="clear"/>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供应商或所提供产品按规定享受其他国家政策支持、扶持的，由供应商提供相关法律法规依据，每项按0.5%折扣。</w:t>
            </w:r>
          </w:p>
        </w:tc>
      </w:tr>
    </w:tbl>
    <w:p>
      <w:pPr>
        <w:widowControl/>
        <w:shd w:val="clear"/>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注：（1）提供产品属节能或环</w:t>
      </w:r>
      <w:r>
        <w:rPr>
          <w:rFonts w:hint="eastAsia" w:ascii="宋体" w:hAnsi="宋体" w:eastAsia="宋体" w:cs="宋体"/>
          <w:color w:val="000000" w:themeColor="text1"/>
          <w:kern w:val="0"/>
          <w:sz w:val="21"/>
          <w:szCs w:val="21"/>
          <w:highlight w:val="none"/>
          <w14:textFill>
            <w14:solidFill>
              <w14:schemeClr w14:val="tx1"/>
            </w14:solidFill>
          </w14:textFill>
        </w:rPr>
        <w:t>境标志</w:t>
      </w:r>
      <w:r>
        <w:rPr>
          <w:rFonts w:hint="eastAsia" w:ascii="宋体" w:hAnsi="宋体" w:eastAsia="宋体" w:cs="宋体"/>
          <w:bCs/>
          <w:color w:val="000000" w:themeColor="text1"/>
          <w:kern w:val="0"/>
          <w:sz w:val="21"/>
          <w:szCs w:val="21"/>
          <w:highlight w:val="none"/>
          <w14:textFill>
            <w14:solidFill>
              <w14:schemeClr w14:val="tx1"/>
            </w14:solidFill>
          </w14:textFill>
        </w:rPr>
        <w:t>产品</w:t>
      </w:r>
      <w:r>
        <w:rPr>
          <w:rFonts w:hint="eastAsia" w:ascii="宋体" w:hAnsi="宋体" w:eastAsia="宋体" w:cs="宋体"/>
          <w:color w:val="000000" w:themeColor="text1"/>
          <w:kern w:val="0"/>
          <w:sz w:val="21"/>
          <w:szCs w:val="21"/>
          <w:highlight w:val="none"/>
          <w14:textFill>
            <w14:solidFill>
              <w14:schemeClr w14:val="tx1"/>
            </w14:solidFill>
          </w14:textFill>
        </w:rPr>
        <w:t>品目清单范围</w:t>
      </w:r>
      <w:r>
        <w:rPr>
          <w:rFonts w:hint="eastAsia" w:ascii="宋体" w:hAnsi="宋体" w:eastAsia="宋体" w:cs="宋体"/>
          <w:bCs/>
          <w:color w:val="000000" w:themeColor="text1"/>
          <w:kern w:val="0"/>
          <w:sz w:val="21"/>
          <w:szCs w:val="21"/>
          <w:highlight w:val="none"/>
          <w14:textFill>
            <w14:solidFill>
              <w14:schemeClr w14:val="tx1"/>
            </w14:solidFill>
          </w14:textFill>
        </w:rPr>
        <w:t>的，以</w:t>
      </w:r>
      <w:r>
        <w:rPr>
          <w:rFonts w:hint="eastAsia" w:ascii="宋体" w:hAnsi="宋体" w:eastAsia="宋体" w:cs="宋体"/>
          <w:color w:val="000000" w:themeColor="text1"/>
          <w:kern w:val="0"/>
          <w:sz w:val="21"/>
          <w:szCs w:val="21"/>
          <w:highlight w:val="none"/>
          <w14:textFill>
            <w14:solidFill>
              <w14:schemeClr w14:val="tx1"/>
            </w14:solidFill>
          </w14:textFill>
        </w:rPr>
        <w:t>国家确定的认证机构出具的、处于有效期之内的节能产品、环境标志产品认证证书</w:t>
      </w:r>
      <w:r>
        <w:rPr>
          <w:rFonts w:hint="eastAsia" w:ascii="宋体" w:hAnsi="宋体" w:eastAsia="宋体" w:cs="宋体"/>
          <w:bCs/>
          <w:color w:val="000000" w:themeColor="text1"/>
          <w:kern w:val="0"/>
          <w:sz w:val="21"/>
          <w:szCs w:val="21"/>
          <w:highlight w:val="none"/>
          <w14:textFill>
            <w14:solidFill>
              <w14:schemeClr w14:val="tx1"/>
            </w14:solidFill>
          </w14:textFill>
        </w:rPr>
        <w:t>为准。属于强制采购的产品，不再给予价格优惠。</w:t>
      </w:r>
    </w:p>
    <w:p>
      <w:pPr>
        <w:shd w:val="clea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（2）根据《政府采购促进中小企业发展暂行办法》（财库[2020]46号）的规定，参加政府采购活动的中小企业应当提供《中小企业声明函》。（格式见第五章附件）</w:t>
      </w:r>
    </w:p>
    <w:p>
      <w:pPr>
        <w:shd w:val="clea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spacing w:line="360" w:lineRule="auto"/>
        <w:ind w:firstLine="48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（4）根据《财政部 民政部 中国残疾人联合会关于促进残疾人就业政府采购政策的通知》（财库〔2017〕141号）的规定，享受政府采购支持政策的残疾人福利性单位应当提供《残疾人福利性单位声明函》。（格式见第五章附件）</w:t>
      </w:r>
      <w:r>
        <w:rPr>
          <w:rFonts w:hint="eastAsia" w:ascii="宋体" w:hAnsi="宋体" w:eastAsia="宋体" w:cs="宋体"/>
          <w:bCs/>
          <w:color w:val="000000" w:themeColor="text1"/>
          <w:kern w:val="0"/>
          <w:sz w:val="21"/>
          <w:szCs w:val="21"/>
          <w:highlight w:val="none"/>
          <w14:textFill>
            <w14:solidFill>
              <w14:schemeClr w14:val="tx1"/>
            </w14:solidFill>
          </w14:textFill>
        </w:rPr>
        <w:t>。</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（5）价格调整</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如果同一包为单一产品，对最后一轮报价进行调整，调整后的报价作为最终评定价。</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最终评定价=最后一轮报价×（1-∑价格折扣幅度）</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1.2.如果同一包内有多个产品，部分产品符合政策功能要求的，只对符合政策功能要求的产品依据《报价明细表》按上述价格折扣幅度进行折扣。</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1.3.如果最后一轮供应商按《报价明细表》报价，对最后一轮报价进行调整，调整后的报价作为最终评定价。</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单项调整报价=最后一轮单项报价×（1-∑价格折扣幅度）</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最终评定价=∑单项调整报价+∑不进行价格调整产品的最后一轮单项报价</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1.4如果最后一轮报价只报总价，先对第一轮报价进行调整，再按最后一轮报价比第一轮报价降价幅度计算出最终评定价。</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第一轮单项调整报价=第一轮单项报价×（1-∑价格折扣幅度）</w:t>
      </w:r>
    </w:p>
    <w:p>
      <w:pPr>
        <w:widowControl/>
        <w:shd w:val="clear" w:color="auto"/>
        <w:spacing w:line="360" w:lineRule="auto"/>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第一轮调整后报价总价=∑第一轮单项调整报价+∑不进行价格调整产品的第一轮单项报价</w:t>
      </w:r>
    </w:p>
    <w:p>
      <w:pPr>
        <w:widowControl/>
        <w:shd w:val="clear" w:color="auto"/>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最终评定价=（最后一轮报价/第一轮报价）×第一轮调整后报价总价</w:t>
      </w:r>
    </w:p>
    <w:bookmarkEnd w:id="30"/>
    <w:p>
      <w:pPr>
        <w:pStyle w:val="9"/>
        <w:shd w:val="clear"/>
        <w:spacing w:line="360" w:lineRule="auto"/>
        <w:ind w:left="100" w:right="219" w:firstLine="55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注：价格扣除，仅作为价格评审的依据，并不影响合同执行价格，合同执行价格为成交供应商的最后报价。</w:t>
      </w:r>
    </w:p>
    <w:p>
      <w:pPr>
        <w:shd w:val="clea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价格分应当采用低价优先法计算，即满足磋商文件要求且磋商价格最低的报价为评审基准价，其价格分为满分。其他供应商的价格分统一按照下列公式计算：</w:t>
      </w:r>
    </w:p>
    <w:p>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磋商报价得分=(评审基准价／最后磋商报价)×价格权值×100</w:t>
      </w:r>
    </w:p>
    <w:tbl>
      <w:tblPr>
        <w:tblStyle w:val="2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650"/>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38" w:type="dxa"/>
            <w:gridSpan w:val="3"/>
            <w:vAlign w:val="top"/>
          </w:tcPr>
          <w:p>
            <w:pPr>
              <w:tabs>
                <w:tab w:val="left" w:pos="300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77" w:type="dxa"/>
            <w:vAlign w:val="center"/>
          </w:tcPr>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rPr>
              <w:t>一、价格标部分（3</w:t>
            </w:r>
            <w:r>
              <w:rPr>
                <w:rFonts w:hint="eastAsia" w:ascii="宋体" w:hAnsi="宋体" w:eastAsia="宋体" w:cs="宋体"/>
                <w:b/>
                <w:szCs w:val="21"/>
                <w:lang w:val="en-US" w:eastAsia="zh-CN"/>
              </w:rPr>
              <w:t>0</w:t>
            </w:r>
            <w:r>
              <w:rPr>
                <w:rFonts w:hint="eastAsia" w:ascii="宋体" w:hAnsi="宋体" w:eastAsia="宋体" w:cs="宋体"/>
                <w:b/>
                <w:szCs w:val="21"/>
              </w:rPr>
              <w:t>分）</w:t>
            </w:r>
          </w:p>
        </w:tc>
        <w:tc>
          <w:tcPr>
            <w:tcW w:w="7961" w:type="dxa"/>
            <w:gridSpan w:val="2"/>
            <w:vAlign w:val="center"/>
          </w:tcPr>
          <w:p>
            <w:pPr>
              <w:pStyle w:val="10"/>
              <w:spacing w:line="460" w:lineRule="exact"/>
              <w:jc w:val="both"/>
              <w:rPr>
                <w:rFonts w:hint="eastAsia" w:ascii="宋体" w:hAnsi="宋体" w:eastAsia="宋体" w:cs="宋体"/>
                <w:b/>
                <w:color w:val="auto"/>
                <w:sz w:val="21"/>
                <w:szCs w:val="21"/>
                <w:u w:val="double"/>
              </w:rPr>
            </w:pPr>
            <w:r>
              <w:rPr>
                <w:rFonts w:hint="eastAsia" w:ascii="宋体" w:hAnsi="宋体" w:eastAsia="宋体" w:cs="宋体"/>
                <w:b/>
                <w:color w:val="auto"/>
                <w:sz w:val="21"/>
                <w:szCs w:val="21"/>
                <w:u w:val="double"/>
              </w:rPr>
              <w:t>说明：当磋商报价明显低于最高或在评审过程中，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标处理。</w:t>
            </w:r>
          </w:p>
          <w:p>
            <w:pPr>
              <w:pStyle w:val="10"/>
              <w:spacing w:line="460" w:lineRule="exact"/>
              <w:jc w:val="both"/>
              <w:rPr>
                <w:rFonts w:hint="eastAsia" w:ascii="宋体" w:hAnsi="宋体" w:eastAsia="宋体" w:cs="宋体"/>
                <w:b/>
                <w:color w:val="auto"/>
                <w:sz w:val="21"/>
                <w:szCs w:val="21"/>
              </w:rPr>
            </w:pPr>
            <w:r>
              <w:rPr>
                <w:rFonts w:hint="eastAsia" w:ascii="宋体" w:hAnsi="宋体" w:eastAsia="宋体" w:cs="宋体"/>
                <w:b/>
                <w:color w:val="auto"/>
                <w:sz w:val="21"/>
                <w:szCs w:val="21"/>
              </w:rPr>
              <w:t>有效磋商报价：通过资格性和符合性审查的供应商，磋商报价小于或等于采购预算价的为有效磋商报价。</w:t>
            </w:r>
          </w:p>
          <w:p>
            <w:pPr>
              <w:pStyle w:val="10"/>
              <w:spacing w:line="460" w:lineRule="exact"/>
              <w:jc w:val="both"/>
              <w:rPr>
                <w:rFonts w:hint="eastAsia" w:ascii="宋体" w:hAnsi="宋体" w:eastAsia="宋体" w:cs="宋体"/>
                <w:b/>
                <w:color w:val="auto"/>
                <w:sz w:val="21"/>
                <w:szCs w:val="21"/>
              </w:rPr>
            </w:pPr>
            <w:r>
              <w:rPr>
                <w:rFonts w:hint="eastAsia" w:ascii="宋体" w:hAnsi="宋体" w:eastAsia="宋体" w:cs="宋体"/>
                <w:b/>
                <w:color w:val="auto"/>
                <w:sz w:val="21"/>
                <w:szCs w:val="21"/>
              </w:rPr>
              <w:t>磋商基准值的确定：满足磋商文件要求且磋商价格最低的有效磋商报价为磋商基准值，其价格分为满分。</w:t>
            </w:r>
          </w:p>
          <w:p>
            <w:pPr>
              <w:widowControl/>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rPr>
              <w:t>磋商报价得分=（磋商基准值/有效磋商报价）×3</w:t>
            </w:r>
            <w:r>
              <w:rPr>
                <w:rFonts w:hint="eastAsia" w:ascii="宋体" w:hAnsi="宋体" w:eastAsia="宋体" w:cs="宋体"/>
                <w:b/>
                <w:szCs w:val="21"/>
                <w:lang w:val="en-US" w:eastAsia="zh-CN"/>
              </w:rPr>
              <w:t>0</w:t>
            </w:r>
            <w:r>
              <w:rPr>
                <w:rFonts w:hint="eastAsia" w:ascii="宋体" w:hAnsi="宋体" w:eastAsia="宋体" w:cs="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restart"/>
            <w:vAlign w:val="center"/>
          </w:tcPr>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rPr>
              <w:t>二、技术部分（</w:t>
            </w:r>
            <w:r>
              <w:rPr>
                <w:rFonts w:hint="eastAsia" w:ascii="宋体" w:hAnsi="宋体" w:eastAsia="宋体" w:cs="宋体"/>
                <w:b/>
                <w:szCs w:val="21"/>
                <w:lang w:val="en-US" w:eastAsia="zh-CN"/>
              </w:rPr>
              <w:t>52</w:t>
            </w:r>
            <w:r>
              <w:rPr>
                <w:rFonts w:hint="eastAsia" w:ascii="宋体" w:hAnsi="宋体" w:eastAsia="宋体" w:cs="宋体"/>
                <w:b/>
                <w:szCs w:val="21"/>
              </w:rPr>
              <w:t>分）</w:t>
            </w:r>
          </w:p>
        </w:tc>
        <w:tc>
          <w:tcPr>
            <w:tcW w:w="165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产品技术指标（</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11" w:type="dxa"/>
            <w:vAlign w:val="center"/>
          </w:tcPr>
          <w:p>
            <w:pPr>
              <w:widowControl/>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供应商所投</w:t>
            </w:r>
            <w:r>
              <w:rPr>
                <w:rFonts w:hint="eastAsia" w:ascii="宋体" w:hAnsi="宋体" w:eastAsia="宋体" w:cs="宋体"/>
                <w:color w:val="000000" w:themeColor="text1"/>
                <w:sz w:val="21"/>
                <w:szCs w:val="21"/>
                <w:highlight w:val="none"/>
                <w14:textFill>
                  <w14:solidFill>
                    <w14:schemeClr w14:val="tx1"/>
                  </w14:solidFill>
                </w14:textFill>
              </w:rPr>
              <w:t>货物技术参数、性能及产品功能全部满足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文件要求得基本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分30</w:t>
            </w:r>
            <w:r>
              <w:rPr>
                <w:rFonts w:hint="eastAsia" w:ascii="宋体" w:hAnsi="宋体" w:eastAsia="宋体" w:cs="宋体"/>
                <w:color w:val="000000" w:themeColor="text1"/>
                <w:sz w:val="21"/>
                <w:szCs w:val="21"/>
                <w:highlight w:val="none"/>
                <w14:textFill>
                  <w14:solidFill>
                    <w14:schemeClr w14:val="tx1"/>
                  </w14:solidFill>
                </w14:textFill>
              </w:rPr>
              <w:t>分；若</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所投</w:t>
            </w:r>
            <w:r>
              <w:rPr>
                <w:rFonts w:hint="eastAsia" w:ascii="宋体" w:hAnsi="宋体" w:eastAsia="宋体" w:cs="宋体"/>
                <w:color w:val="000000" w:themeColor="text1"/>
                <w:sz w:val="21"/>
                <w:szCs w:val="21"/>
                <w:highlight w:val="none"/>
                <w14:textFill>
                  <w14:solidFill>
                    <w14:schemeClr w14:val="tx1"/>
                  </w14:solidFill>
                </w14:textFill>
              </w:rPr>
              <w:t>产品有技术指标与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文件要求相比出现负偏离者或提供证明文件不符</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的，每有1项扣3分，扣完为止</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077" w:type="dxa"/>
            <w:vMerge w:val="continue"/>
            <w:vAlign w:val="center"/>
          </w:tcPr>
          <w:p>
            <w:pPr>
              <w:spacing w:line="46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vMerge w:val="restart"/>
            <w:vAlign w:val="center"/>
          </w:tcPr>
          <w:p>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产品综合性能（10分）</w:t>
            </w:r>
          </w:p>
        </w:tc>
        <w:tc>
          <w:tcPr>
            <w:tcW w:w="6311" w:type="dxa"/>
            <w:vAlign w:val="center"/>
          </w:tcPr>
          <w:p>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rPr>
            </w:pPr>
            <w:r>
              <w:rPr>
                <w:rFonts w:hint="eastAsia" w:ascii="宋体" w:hAnsi="宋体" w:eastAsia="宋体" w:cs="宋体"/>
              </w:rPr>
              <w:t>由评委根据项目特性结合各投标产品制造工艺、稳定性等进行打分：</w:t>
            </w:r>
          </w:p>
          <w:p>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投标产品制造工艺、稳定性好，安全性（操作维修安全等）高的得 5 分；</w:t>
            </w:r>
          </w:p>
          <w:p>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投标产品制造工艺、稳定性较好，安全性（操作维修安全等）较高的得3分；</w:t>
            </w:r>
          </w:p>
          <w:p>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lang w:val="en-US" w:eastAsia="zh-CN"/>
              </w:rPr>
            </w:pPr>
            <w:r>
              <w:rPr>
                <w:rFonts w:hint="eastAsia" w:ascii="宋体" w:hAnsi="宋体" w:eastAsia="宋体" w:cs="宋体"/>
                <w:b w:val="0"/>
                <w:kern w:val="2"/>
                <w:sz w:val="21"/>
                <w:szCs w:val="24"/>
                <w:lang w:val="en-US" w:eastAsia="zh-CN" w:bidi="ar-SA"/>
              </w:rPr>
              <w:t>投标产品制造工艺、稳定性、安全性（操作维修安全等）一般的得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077" w:type="dxa"/>
            <w:vMerge w:val="continue"/>
            <w:vAlign w:val="center"/>
          </w:tcPr>
          <w:p>
            <w:pPr>
              <w:spacing w:line="46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vMerge w:val="continue"/>
            <w:vAlign w:val="center"/>
          </w:tcPr>
          <w:p>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311" w:type="dxa"/>
            <w:vAlign w:val="center"/>
          </w:tcPr>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由评委根据项目特性结合各投标产品操控性、性能及技术先进性等进行打分：</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所投产品优秀，操控性强、性能好、技术先进的得 5 分；</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所投产品较好，操控性较强、性能较好、技术较先进的得 3 分；</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所投产品一般，操控性一般、性能一般、技术保守的得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continue"/>
            <w:vAlign w:val="center"/>
          </w:tcPr>
          <w:p>
            <w:pPr>
              <w:spacing w:line="46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供货、运输、交付方案</w:t>
            </w: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6311" w:type="dxa"/>
            <w:vAlign w:val="center"/>
          </w:tcPr>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供货、安装、运输、交付方案包含供货计划、货物密封方式、运输方式、保险、验收程序和方法、人员安排计划、安装调试流程、时间安排、交付院方使用方案等。</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1、全面、合理、措施有保障，完全满足采购要求的，得6分。</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2、供货、安装、运输方案有一定瑕疵，但基本满足采购要求的，得 3 分。 </w:t>
            </w:r>
          </w:p>
          <w:p>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3、供货、安装、运输方案较差的，得1分。</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077" w:type="dxa"/>
            <w:vMerge w:val="continue"/>
            <w:vAlign w:val="center"/>
          </w:tcPr>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Borders>
              <w:top w:val="single" w:color="auto" w:sz="4" w:space="0"/>
            </w:tcBorders>
            <w:vAlign w:val="center"/>
          </w:tcPr>
          <w:p>
            <w:pPr>
              <w:spacing w:line="420" w:lineRule="exact"/>
              <w:jc w:val="center"/>
              <w:rPr>
                <w:rFonts w:hint="eastAsia" w:ascii="宋体" w:hAnsi="宋体" w:eastAsia="宋体" w:cs="宋体"/>
                <w:szCs w:val="21"/>
              </w:rPr>
            </w:pPr>
            <w:r>
              <w:rPr>
                <w:rFonts w:hint="eastAsia" w:ascii="宋体" w:hAnsi="宋体" w:eastAsia="宋体" w:cs="宋体"/>
                <w:szCs w:val="21"/>
              </w:rPr>
              <w:t>质量保证与控制措施及方案</w:t>
            </w:r>
          </w:p>
          <w:p>
            <w:pPr>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szCs w:val="21"/>
              </w:rPr>
              <w:t>（</w:t>
            </w:r>
            <w:r>
              <w:rPr>
                <w:rFonts w:hint="eastAsia" w:ascii="宋体" w:hAnsi="宋体" w:eastAsia="宋体" w:cs="宋体"/>
                <w:bCs/>
                <w:szCs w:val="21"/>
                <w:lang w:val="en-US" w:eastAsia="zh-CN"/>
              </w:rPr>
              <w:t>6</w:t>
            </w:r>
            <w:r>
              <w:rPr>
                <w:rFonts w:hint="eastAsia" w:ascii="宋体" w:hAnsi="宋体" w:eastAsia="宋体" w:cs="宋体"/>
                <w:bCs/>
                <w:szCs w:val="21"/>
              </w:rPr>
              <w:t>分）</w:t>
            </w:r>
          </w:p>
        </w:tc>
        <w:tc>
          <w:tcPr>
            <w:tcW w:w="6311" w:type="dxa"/>
            <w:vAlign w:val="center"/>
          </w:tcPr>
          <w:p>
            <w:pPr>
              <w:spacing w:line="420" w:lineRule="exact"/>
              <w:jc w:val="left"/>
              <w:rPr>
                <w:rFonts w:hint="eastAsia" w:ascii="宋体" w:hAnsi="宋体" w:eastAsia="宋体" w:cs="宋体"/>
                <w:szCs w:val="21"/>
              </w:rPr>
            </w:pPr>
            <w:r>
              <w:rPr>
                <w:rFonts w:hint="eastAsia" w:ascii="宋体" w:hAnsi="宋体" w:eastAsia="宋体" w:cs="宋体"/>
                <w:szCs w:val="21"/>
              </w:rPr>
              <w:t>有详细的质量保证与控制措施,按照其内容详细度、合理性、可行性进行评分。</w:t>
            </w:r>
          </w:p>
          <w:p>
            <w:pPr>
              <w:spacing w:line="420" w:lineRule="exact"/>
              <w:jc w:val="left"/>
              <w:rPr>
                <w:rFonts w:hint="eastAsia" w:ascii="宋体" w:hAnsi="宋体" w:eastAsia="宋体" w:cs="宋体"/>
                <w:szCs w:val="21"/>
              </w:rPr>
            </w:pPr>
            <w:r>
              <w:rPr>
                <w:rFonts w:hint="eastAsia" w:ascii="宋体" w:hAnsi="宋体" w:eastAsia="宋体" w:cs="宋体"/>
                <w:szCs w:val="21"/>
              </w:rPr>
              <w:t>详细、合理、可行，完全满足</w:t>
            </w:r>
            <w:r>
              <w:rPr>
                <w:rFonts w:hint="eastAsia" w:ascii="宋体" w:hAnsi="宋体" w:eastAsia="宋体" w:cs="宋体"/>
                <w:szCs w:val="21"/>
                <w:lang w:val="en-US" w:eastAsia="zh-CN"/>
              </w:rPr>
              <w:t>采购</w:t>
            </w:r>
            <w:r>
              <w:rPr>
                <w:rFonts w:hint="eastAsia" w:ascii="宋体" w:hAnsi="宋体" w:eastAsia="宋体" w:cs="宋体"/>
                <w:szCs w:val="21"/>
              </w:rPr>
              <w:t>需求的得</w:t>
            </w:r>
            <w:r>
              <w:rPr>
                <w:rFonts w:hint="eastAsia" w:ascii="宋体" w:hAnsi="宋体" w:eastAsia="宋体" w:cs="宋体"/>
                <w:szCs w:val="21"/>
                <w:lang w:val="en-US" w:eastAsia="zh-CN"/>
              </w:rPr>
              <w:t>6</w:t>
            </w:r>
            <w:r>
              <w:rPr>
                <w:rFonts w:hint="eastAsia" w:ascii="宋体" w:hAnsi="宋体" w:eastAsia="宋体" w:cs="宋体"/>
                <w:szCs w:val="21"/>
              </w:rPr>
              <w:t>分；</w:t>
            </w:r>
          </w:p>
          <w:p>
            <w:pPr>
              <w:spacing w:line="420" w:lineRule="exact"/>
              <w:jc w:val="left"/>
              <w:rPr>
                <w:rFonts w:hint="eastAsia" w:ascii="宋体" w:hAnsi="宋体" w:eastAsia="宋体" w:cs="宋体"/>
                <w:szCs w:val="21"/>
              </w:rPr>
            </w:pPr>
            <w:r>
              <w:rPr>
                <w:rFonts w:hint="eastAsia" w:ascii="宋体" w:hAnsi="宋体" w:eastAsia="宋体" w:cs="宋体"/>
                <w:szCs w:val="21"/>
              </w:rPr>
              <w:t>基本详细、基本合理、基本可行的3分；</w:t>
            </w:r>
          </w:p>
          <w:p>
            <w:pPr>
              <w:spacing w:line="420" w:lineRule="exact"/>
              <w:jc w:val="left"/>
              <w:rPr>
                <w:rFonts w:hint="eastAsia" w:ascii="宋体" w:hAnsi="宋体" w:eastAsia="宋体" w:cs="宋体"/>
                <w:szCs w:val="21"/>
              </w:rPr>
            </w:pPr>
            <w:r>
              <w:rPr>
                <w:rFonts w:hint="eastAsia" w:ascii="宋体" w:hAnsi="宋体" w:eastAsia="宋体" w:cs="宋体"/>
                <w:szCs w:val="21"/>
              </w:rPr>
              <w:t>基本详细度、合理性差、可行性差的1分；</w:t>
            </w:r>
          </w:p>
          <w:p>
            <w:pPr>
              <w:spacing w:line="4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Cs w:val="21"/>
              </w:rPr>
              <w:t>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77" w:type="dxa"/>
            <w:vMerge w:val="restart"/>
            <w:vAlign w:val="center"/>
          </w:tcPr>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b/>
                <w:szCs w:val="21"/>
              </w:rPr>
            </w:pPr>
          </w:p>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lang w:val="en-US" w:eastAsia="zh-CN"/>
              </w:rPr>
              <w:t>三、</w:t>
            </w:r>
            <w:r>
              <w:rPr>
                <w:rFonts w:hint="eastAsia" w:ascii="宋体" w:hAnsi="宋体" w:eastAsia="宋体" w:cs="宋体"/>
                <w:b/>
                <w:szCs w:val="21"/>
              </w:rPr>
              <w:t>商务部分（</w:t>
            </w:r>
            <w:r>
              <w:rPr>
                <w:rFonts w:hint="eastAsia" w:ascii="宋体" w:hAnsi="宋体" w:eastAsia="宋体" w:cs="宋体"/>
                <w:b/>
                <w:szCs w:val="21"/>
                <w:lang w:val="en-US" w:eastAsia="zh-CN"/>
              </w:rPr>
              <w:t>13</w:t>
            </w:r>
            <w:r>
              <w:rPr>
                <w:rFonts w:hint="eastAsia" w:ascii="宋体" w:hAnsi="宋体" w:eastAsia="宋体" w:cs="宋体"/>
                <w:b/>
                <w:szCs w:val="21"/>
              </w:rPr>
              <w:t>分）</w:t>
            </w:r>
          </w:p>
        </w:tc>
        <w:tc>
          <w:tcPr>
            <w:tcW w:w="1650" w:type="dxa"/>
            <w:tcBorders>
              <w:top w:val="single" w:color="auto" w:sz="4" w:space="0"/>
            </w:tcBorders>
            <w:vAlign w:val="center"/>
          </w:tcPr>
          <w:p>
            <w:pPr>
              <w:pStyle w:val="10"/>
              <w:spacing w:line="460" w:lineRule="exact"/>
              <w:jc w:val="center"/>
              <w:rPr>
                <w:rFonts w:hint="eastAsia" w:ascii="宋体" w:hAnsi="宋体" w:eastAsia="宋体" w:cs="宋体"/>
                <w:bCs/>
                <w:color w:val="auto"/>
                <w:sz w:val="21"/>
                <w:szCs w:val="21"/>
              </w:rPr>
            </w:pPr>
          </w:p>
          <w:p>
            <w:pPr>
              <w:pStyle w:val="10"/>
              <w:spacing w:line="460" w:lineRule="exact"/>
              <w:jc w:val="center"/>
              <w:rPr>
                <w:rFonts w:hint="eastAsia" w:ascii="宋体" w:hAnsi="宋体" w:eastAsia="宋体" w:cs="宋体"/>
                <w:bCs/>
                <w:color w:val="auto"/>
                <w:sz w:val="21"/>
                <w:szCs w:val="21"/>
              </w:rPr>
            </w:pPr>
          </w:p>
          <w:p>
            <w:pPr>
              <w:pStyle w:val="10"/>
              <w:spacing w:line="460" w:lineRule="exact"/>
              <w:jc w:val="center"/>
              <w:rPr>
                <w:rFonts w:hint="eastAsia" w:ascii="宋体" w:hAnsi="宋体" w:eastAsia="宋体" w:cs="宋体"/>
                <w:bCs/>
                <w:color w:val="auto"/>
                <w:sz w:val="21"/>
                <w:szCs w:val="21"/>
              </w:rPr>
            </w:pPr>
          </w:p>
          <w:p>
            <w:pPr>
              <w:pStyle w:val="10"/>
              <w:spacing w:line="460" w:lineRule="exact"/>
              <w:jc w:val="center"/>
              <w:rPr>
                <w:rFonts w:hint="eastAsia" w:ascii="宋体" w:hAnsi="宋体" w:eastAsia="宋体" w:cs="宋体"/>
                <w:bCs/>
                <w:color w:val="auto"/>
                <w:sz w:val="21"/>
                <w:szCs w:val="21"/>
              </w:rPr>
            </w:pPr>
          </w:p>
          <w:p>
            <w:pPr>
              <w:pStyle w:val="10"/>
              <w:spacing w:line="460" w:lineRule="exact"/>
              <w:jc w:val="center"/>
              <w:rPr>
                <w:rFonts w:hint="eastAsia" w:ascii="宋体" w:hAnsi="宋体" w:eastAsia="宋体" w:cs="宋体"/>
                <w:bCs/>
                <w:color w:val="auto"/>
                <w:sz w:val="21"/>
                <w:szCs w:val="21"/>
              </w:rPr>
            </w:pPr>
          </w:p>
          <w:p>
            <w:pPr>
              <w:pStyle w:val="10"/>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售后服务承诺</w:t>
            </w:r>
          </w:p>
          <w:p>
            <w:pPr>
              <w:pStyle w:val="1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分）</w:t>
            </w:r>
          </w:p>
        </w:tc>
        <w:tc>
          <w:tcPr>
            <w:tcW w:w="6311" w:type="dxa"/>
            <w:vAlign w:val="center"/>
          </w:tcPr>
          <w:p>
            <w:pPr>
              <w:spacing w:line="360" w:lineRule="auto"/>
              <w:rPr>
                <w:rFonts w:hint="eastAsia" w:ascii="宋体" w:hAnsi="宋体" w:eastAsia="宋体" w:cs="宋体"/>
                <w:bCs/>
                <w:szCs w:val="21"/>
              </w:rPr>
            </w:pPr>
            <w:r>
              <w:rPr>
                <w:rFonts w:hint="eastAsia" w:ascii="宋体" w:hAnsi="宋体" w:eastAsia="宋体" w:cs="宋体"/>
                <w:bCs/>
                <w:szCs w:val="21"/>
                <w:lang w:eastAsia="zh-CN"/>
              </w:rPr>
              <w:t>磋商小组</w:t>
            </w:r>
            <w:r>
              <w:rPr>
                <w:rFonts w:hint="eastAsia" w:ascii="宋体" w:hAnsi="宋体" w:eastAsia="宋体" w:cs="宋体"/>
                <w:bCs/>
                <w:szCs w:val="21"/>
              </w:rPr>
              <w:t>根据各</w:t>
            </w:r>
            <w:r>
              <w:rPr>
                <w:rFonts w:hint="eastAsia" w:ascii="宋体" w:hAnsi="宋体" w:eastAsia="宋体" w:cs="宋体"/>
                <w:bCs/>
                <w:szCs w:val="21"/>
                <w:lang w:eastAsia="zh-CN"/>
              </w:rPr>
              <w:t>响应性文件</w:t>
            </w:r>
            <w:r>
              <w:rPr>
                <w:rFonts w:hint="eastAsia" w:ascii="宋体" w:hAnsi="宋体" w:eastAsia="宋体" w:cs="宋体"/>
                <w:bCs/>
                <w:szCs w:val="21"/>
              </w:rPr>
              <w:t>中质保期内、质保期满后的售后服务措施、建立的服务制度、故障响应时间、应急维修措施预案、培训方案等进行打分：</w:t>
            </w:r>
          </w:p>
          <w:p>
            <w:pPr>
              <w:spacing w:line="360" w:lineRule="auto"/>
              <w:rPr>
                <w:rFonts w:hint="eastAsia" w:ascii="宋体" w:hAnsi="宋体" w:eastAsia="宋体" w:cs="宋体"/>
                <w:bCs/>
                <w:szCs w:val="21"/>
              </w:rPr>
            </w:pPr>
            <w:r>
              <w:rPr>
                <w:rFonts w:hint="eastAsia" w:ascii="宋体" w:hAnsi="宋体" w:eastAsia="宋体" w:cs="宋体"/>
                <w:bCs/>
                <w:szCs w:val="21"/>
              </w:rPr>
              <w:t>服务承诺符合本项目特点，物有所值且价值最高，有详尽的质保期内、质保期满后的售后服务措施，建立健全的服务制度，故障响应时间极快、应急维修措施预案合理且可行，有具体的培训方案的得 10 分；</w:t>
            </w:r>
          </w:p>
          <w:p>
            <w:pPr>
              <w:spacing w:line="360" w:lineRule="auto"/>
              <w:rPr>
                <w:rFonts w:hint="eastAsia" w:ascii="宋体" w:hAnsi="宋体" w:eastAsia="宋体" w:cs="宋体"/>
                <w:bCs/>
                <w:szCs w:val="21"/>
              </w:rPr>
            </w:pPr>
            <w:r>
              <w:rPr>
                <w:rFonts w:hint="eastAsia" w:ascii="宋体" w:hAnsi="宋体" w:eastAsia="宋体" w:cs="宋体"/>
                <w:bCs/>
                <w:szCs w:val="21"/>
              </w:rPr>
              <w:t>服务承诺符合本项目特点，具有一定价值，有较详细的质保期内、质保期满后的售后服务措施，较健全的服务制度，故障响应时间快、应急维修措施预案较合理，有较具体的培训方案的得 7 分；</w:t>
            </w:r>
          </w:p>
          <w:p>
            <w:pPr>
              <w:spacing w:line="360" w:lineRule="auto"/>
              <w:rPr>
                <w:rFonts w:hint="eastAsia" w:ascii="宋体" w:hAnsi="宋体" w:eastAsia="宋体" w:cs="宋体"/>
                <w:bCs/>
                <w:szCs w:val="21"/>
              </w:rPr>
            </w:pPr>
            <w:r>
              <w:rPr>
                <w:rFonts w:hint="eastAsia" w:ascii="宋体" w:hAnsi="宋体" w:eastAsia="宋体" w:cs="宋体"/>
                <w:bCs/>
                <w:szCs w:val="21"/>
              </w:rPr>
              <w:t>服务承诺符合本项目特点，实用性一般，质保期内、质保期满后的售后服务措施不完备，服务制度不完备，故障响应时间较长、应急维修措施预案不完备，培训方案不完备的得 4 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szCs w:val="21"/>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77" w:type="dxa"/>
            <w:vMerge w:val="continue"/>
            <w:vAlign w:val="top"/>
          </w:tcPr>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r>
              <w:rPr>
                <w:rFonts w:hint="eastAsia" w:ascii="宋体" w:hAnsi="宋体" w:eastAsia="宋体" w:cs="宋体"/>
                <w:color w:val="000000" w:themeColor="text1"/>
                <w:sz w:val="21"/>
                <w:szCs w:val="21"/>
                <w:highlight w:val="none"/>
                <w14:textFill>
                  <w14:solidFill>
                    <w14:schemeClr w14:val="tx1"/>
                  </w14:solidFill>
                </w14:textFill>
              </w:rPr>
              <w:t>）</w:t>
            </w:r>
          </w:p>
        </w:tc>
        <w:tc>
          <w:tcPr>
            <w:tcW w:w="6311" w:type="dxa"/>
            <w:vAlign w:val="top"/>
          </w:tcPr>
          <w:p>
            <w:pPr>
              <w:spacing w:line="4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备品备件保障措施考虑周全、高效、可行，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提供备品备件库真实图片及地址，每提供一个得1分，最高得3分</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77" w:type="dxa"/>
            <w:vMerge w:val="restart"/>
            <w:vAlign w:val="center"/>
          </w:tcPr>
          <w:p>
            <w:pPr>
              <w:spacing w:line="460" w:lineRule="exact"/>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四、资信及其他部分（5分）</w:t>
            </w:r>
          </w:p>
        </w:tc>
        <w:tc>
          <w:tcPr>
            <w:tcW w:w="1650" w:type="dxa"/>
            <w:vAlign w:val="top"/>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业绩</w:t>
            </w:r>
          </w:p>
          <w:p>
            <w:pPr>
              <w:spacing w:line="360" w:lineRule="auto"/>
              <w:jc w:val="center"/>
              <w:rPr>
                <w:rFonts w:hint="eastAsia" w:ascii="宋体" w:hAnsi="宋体" w:eastAsia="宋体" w:cs="宋体"/>
                <w:szCs w:val="21"/>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c>
          <w:tcPr>
            <w:tcW w:w="6311" w:type="dxa"/>
            <w:vAlign w:val="top"/>
          </w:tcPr>
          <w:p>
            <w:pPr>
              <w:spacing w:line="460" w:lineRule="exact"/>
              <w:jc w:val="left"/>
              <w:rPr>
                <w:rFonts w:hint="eastAsia" w:ascii="宋体" w:hAnsi="宋体" w:eastAsia="宋体" w:cs="宋体"/>
                <w:szCs w:val="21"/>
              </w:rPr>
            </w:pPr>
            <w:r>
              <w:rPr>
                <w:rFonts w:hint="eastAsia" w:ascii="宋体" w:hAnsi="宋体" w:eastAsia="宋体" w:cs="宋体"/>
                <w:szCs w:val="21"/>
                <w:highlight w:val="none"/>
              </w:rPr>
              <w:t>供应商自2020年1月1日至今（近三年）具有类似业绩，一份业绩得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分。(响应文件中</w:t>
            </w:r>
            <w:r>
              <w:rPr>
                <w:rFonts w:hint="eastAsia" w:ascii="宋体" w:hAnsi="宋体" w:eastAsia="宋体" w:cs="宋体"/>
                <w:szCs w:val="21"/>
                <w:highlight w:val="none"/>
                <w:lang w:val="en-US" w:eastAsia="zh-CN"/>
              </w:rPr>
              <w:t>附</w:t>
            </w:r>
            <w:r>
              <w:rPr>
                <w:rFonts w:hint="eastAsia" w:ascii="宋体" w:hAnsi="宋体" w:eastAsia="宋体" w:cs="宋体"/>
                <w:szCs w:val="21"/>
                <w:highlight w:val="none"/>
              </w:rPr>
              <w:t>合同</w:t>
            </w:r>
            <w:r>
              <w:rPr>
                <w:rFonts w:hint="eastAsia" w:ascii="宋体" w:hAnsi="宋体" w:eastAsia="宋体" w:cs="宋体"/>
                <w:szCs w:val="21"/>
                <w:highlight w:val="none"/>
                <w:lang w:val="en-US" w:eastAsia="zh-CN"/>
              </w:rPr>
              <w:t>扫描件</w:t>
            </w:r>
            <w:r>
              <w:rPr>
                <w:rFonts w:hint="eastAsia" w:ascii="宋体" w:hAnsi="宋体" w:eastAsia="宋体" w:cs="宋体"/>
                <w:szCs w:val="21"/>
                <w:highlight w:val="none"/>
              </w:rPr>
              <w:t>，不符合要求不得分)；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77" w:type="dxa"/>
            <w:vMerge w:val="continue"/>
            <w:vAlign w:val="top"/>
          </w:tcPr>
          <w:p>
            <w:pPr>
              <w:spacing w:line="460" w:lineRule="exact"/>
              <w:jc w:val="center"/>
              <w:rPr>
                <w:rFonts w:hint="default" w:ascii="宋体" w:hAnsi="宋体" w:eastAsia="宋体" w:cs="宋体"/>
                <w:b/>
                <w:szCs w:val="21"/>
                <w:lang w:val="en-US" w:eastAsia="zh-CN"/>
              </w:rPr>
            </w:pPr>
          </w:p>
        </w:tc>
        <w:tc>
          <w:tcPr>
            <w:tcW w:w="1650" w:type="dxa"/>
            <w:vAlign w:val="center"/>
          </w:tcPr>
          <w:p>
            <w:pPr>
              <w:spacing w:line="4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p>
            <w:pPr>
              <w:spacing w:line="420" w:lineRule="exact"/>
              <w:jc w:val="center"/>
              <w:rPr>
                <w:rFonts w:hint="eastAsia" w:ascii="宋体" w:hAnsi="宋体" w:eastAsia="宋体" w:cs="宋体"/>
                <w:szCs w:val="21"/>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c>
          <w:tcPr>
            <w:tcW w:w="6311" w:type="dxa"/>
            <w:vAlign w:val="center"/>
          </w:tcPr>
          <w:p>
            <w:pPr>
              <w:spacing w:line="420" w:lineRule="exact"/>
              <w:jc w:val="left"/>
              <w:rPr>
                <w:rFonts w:hint="eastAsia" w:ascii="宋体" w:hAnsi="宋体" w:eastAsia="宋体" w:cs="宋体"/>
                <w:szCs w:val="21"/>
              </w:rPr>
            </w:pPr>
            <w:r>
              <w:rPr>
                <w:rFonts w:hint="eastAsia" w:ascii="宋体" w:hAnsi="宋体" w:eastAsia="宋体" w:cs="宋体"/>
                <w:color w:val="000000" w:themeColor="text1"/>
                <w:sz w:val="21"/>
                <w:szCs w:val="21"/>
                <w:highlight w:val="none"/>
                <w14:textFill>
                  <w14:solidFill>
                    <w14:schemeClr w14:val="tx1"/>
                  </w14:solidFill>
                </w14:textFill>
              </w:rPr>
              <w:t>在满足采购文件要求的基础上，质保期每增加1年加1分，最多加2分。不足1年不加分。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77" w:type="dxa"/>
            <w:vAlign w:val="top"/>
          </w:tcPr>
          <w:p>
            <w:pPr>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zCs w:val="21"/>
              </w:rPr>
              <w:t>得分的计算</w:t>
            </w:r>
          </w:p>
        </w:tc>
        <w:tc>
          <w:tcPr>
            <w:tcW w:w="7961" w:type="dxa"/>
            <w:gridSpan w:val="2"/>
            <w:vAlign w:val="top"/>
          </w:tcPr>
          <w:p>
            <w:pPr>
              <w:spacing w:line="460" w:lineRule="exact"/>
              <w:jc w:val="left"/>
              <w:rPr>
                <w:rFonts w:hint="eastAsia" w:ascii="宋体" w:hAnsi="宋体" w:eastAsia="宋体" w:cs="宋体"/>
                <w:szCs w:val="21"/>
              </w:rPr>
            </w:pPr>
            <w:r>
              <w:rPr>
                <w:rFonts w:hint="eastAsia" w:ascii="宋体" w:hAnsi="宋体" w:eastAsia="宋体" w:cs="宋体"/>
                <w:szCs w:val="21"/>
              </w:rPr>
              <w:t>磋商小组成员评分=各项评分因素的汇总得分。</w:t>
            </w:r>
          </w:p>
          <w:p>
            <w:pPr>
              <w:spacing w:line="4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Cs w:val="21"/>
              </w:rPr>
              <w:t>评审总得分=磋商小组所有成员合计评分/磋商小组组成人员数。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5" w:hRule="atLeast"/>
          <w:jc w:val="center"/>
        </w:trPr>
        <w:tc>
          <w:tcPr>
            <w:tcW w:w="9038" w:type="dxa"/>
            <w:gridSpan w:val="3"/>
            <w:tcBorders>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注：1、</w:t>
            </w:r>
            <w:r>
              <w:rPr>
                <w:rFonts w:hint="eastAsia" w:ascii="宋体" w:hAnsi="宋体" w:eastAsia="宋体" w:cs="宋体"/>
                <w:color w:val="000000" w:themeColor="text1"/>
                <w:sz w:val="21"/>
                <w:szCs w:val="21"/>
                <w:highlight w:val="none"/>
                <w14:textFill>
                  <w14:solidFill>
                    <w14:schemeClr w14:val="tx1"/>
                  </w14:solidFill>
                </w14:textFill>
              </w:rPr>
              <w:t>在响应文件内须提供以上评分项要求提供的各类证书或证明材料，并上传至驻马店市公共资源交易中心电子交易平台主体诚信库，同时在“资格审查及评审材料”菜单下按分包挑选该包所用评审材料，以供评审过程中磋商小组查阅。磋商时以电子响应文件及“资格审查及评审材料”菜单中选取的企业信息为准。否则不得分。</w:t>
            </w:r>
          </w:p>
          <w:p>
            <w:pPr>
              <w:widowControl/>
              <w:shd w:val="clear"/>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 w:val="21"/>
                <w:szCs w:val="21"/>
                <w:highlight w:val="none"/>
                <w14:textFill>
                  <w14:solidFill>
                    <w14:schemeClr w14:val="tx1"/>
                  </w14:solidFill>
                </w14:textFill>
              </w:rPr>
              <w:t>成员评分=价格分+技术分+商务分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资信及其他部分</w:t>
            </w:r>
          </w:p>
          <w:p>
            <w:pPr>
              <w:widowControl/>
              <w:shd w:val="clea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总得分=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 w:val="21"/>
                <w:szCs w:val="21"/>
                <w:highlight w:val="none"/>
                <w14:textFill>
                  <w14:solidFill>
                    <w14:schemeClr w14:val="tx1"/>
                  </w14:solidFill>
                </w14:textFill>
              </w:rPr>
              <w:t>所有成员合计总分/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 w:val="21"/>
                <w:szCs w:val="21"/>
                <w:highlight w:val="none"/>
                <w14:textFill>
                  <w14:solidFill>
                    <w14:schemeClr w14:val="tx1"/>
                  </w14:solidFill>
                </w14:textFill>
              </w:rPr>
              <w:t xml:space="preserve">组成人员数 </w:t>
            </w:r>
          </w:p>
        </w:tc>
      </w:tr>
    </w:tbl>
    <w:p>
      <w:pPr>
        <w:pStyle w:val="24"/>
        <w:shd w:val="clear"/>
        <w:ind w:left="420" w:firstLine="480"/>
        <w:rPr>
          <w:rFonts w:hint="eastAsia" w:ascii="宋体" w:hAnsi="宋体" w:eastAsia="宋体" w:cs="宋体"/>
          <w:color w:val="000000" w:themeColor="text1"/>
          <w:highlight w:val="none"/>
          <w14:textFill>
            <w14:solidFill>
              <w14:schemeClr w14:val="tx1"/>
            </w14:solidFill>
          </w14:textFill>
        </w:rPr>
        <w:sectPr>
          <w:headerReference r:id="rId10" w:type="default"/>
          <w:footerReference r:id="rId11" w:type="default"/>
          <w:pgSz w:w="11900" w:h="16838"/>
          <w:pgMar w:top="1440" w:right="1800" w:bottom="1440" w:left="1800" w:header="850" w:footer="992" w:gutter="0"/>
          <w:pgNumType w:start="1"/>
          <w:cols w:space="720" w:num="1"/>
          <w:docGrid w:type="lines" w:linePitch="317" w:charSpace="0"/>
        </w:sectPr>
      </w:pPr>
    </w:p>
    <w:p>
      <w:pPr>
        <w:widowControl/>
        <w:shd w:val="clear"/>
        <w:wordWrap w:val="0"/>
        <w:spacing w:line="480" w:lineRule="auto"/>
        <w:ind w:firstLine="2308" w:firstLineChars="1095"/>
        <w:jc w:val="left"/>
        <w:rPr>
          <w:rFonts w:hint="eastAsia" w:ascii="宋体" w:hAnsi="宋体" w:eastAsia="宋体" w:cs="宋体"/>
          <w:b/>
          <w:color w:val="000000" w:themeColor="text1"/>
          <w:kern w:val="0"/>
          <w:sz w:val="21"/>
          <w:szCs w:val="21"/>
          <w:highlight w:val="none"/>
          <w14:textFill>
            <w14:solidFill>
              <w14:schemeClr w14:val="tx1"/>
            </w14:solidFill>
          </w14:textFill>
        </w:rPr>
      </w:pPr>
      <w:bookmarkStart w:id="31" w:name="4._政府采购促进中小企业发展扶持政策"/>
      <w:bookmarkEnd w:id="31"/>
      <w:r>
        <w:rPr>
          <w:rFonts w:hint="eastAsia" w:ascii="宋体" w:hAnsi="宋体" w:eastAsia="宋体" w:cs="宋体"/>
          <w:b/>
          <w:color w:val="000000" w:themeColor="text1"/>
          <w:kern w:val="0"/>
          <w:sz w:val="21"/>
          <w:szCs w:val="21"/>
          <w:highlight w:val="none"/>
          <w14:textFill>
            <w14:solidFill>
              <w14:schemeClr w14:val="tx1"/>
            </w14:solidFill>
          </w14:textFill>
        </w:rPr>
        <w:t>八   合同授予</w:t>
      </w:r>
    </w:p>
    <w:p>
      <w:pPr>
        <w:widowControl/>
        <w:shd w:val="clear" w:color="auto"/>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33.签订合同</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33.1 采购人、成交供应商在成交通知书发出之日起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个工作日内，根据竞争性磋商文件确定的事项和成交供应商响应文件签订合同。双方所签订的合同不得对竞争性磋商文件和成交供应商响应文件作实质性修改。成交供应商逾期未签订合同，视为成交后无正当理由不与采购人签订合同，并按照有关法律规定承担相应的法律责任。采购人逾期不与成交供应商签订合同的，按政府采购的有关规定处理。</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33.2 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pPr>
        <w:widowControl/>
        <w:shd w:val="clear" w:color="auto"/>
        <w:spacing w:line="360" w:lineRule="auto"/>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33.3 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活动。拒绝签订政府采购合同的成交供应商不得参加对该项目重新开展的采购活动。</w:t>
      </w:r>
    </w:p>
    <w:p>
      <w:pPr>
        <w:widowControl/>
        <w:shd w:val="clear" w:color="auto"/>
        <w:spacing w:line="440" w:lineRule="exac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33.4 采购人应在采购合同签订之日起2个工作日内将合同副本报同级财政部门备案。</w:t>
      </w: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pStyle w:val="23"/>
        <w:shd w:val="clear"/>
        <w:ind w:firstLine="442"/>
        <w:rPr>
          <w:rStyle w:val="129"/>
          <w:rFonts w:hint="eastAsia" w:ascii="宋体" w:hAnsi="宋体" w:eastAsia="宋体" w:cs="宋体"/>
          <w:color w:val="000000" w:themeColor="text1"/>
          <w:highlight w:val="none"/>
          <w14:textFill>
            <w14:solidFill>
              <w14:schemeClr w14:val="tx1"/>
            </w14:solidFill>
          </w14:textFill>
        </w:rPr>
      </w:pPr>
    </w:p>
    <w:p>
      <w:pPr>
        <w:pStyle w:val="24"/>
        <w:shd w:val="clear"/>
        <w:ind w:left="420" w:firstLine="883"/>
        <w:rPr>
          <w:rStyle w:val="129"/>
          <w:rFonts w:hint="eastAsia" w:ascii="宋体" w:hAnsi="宋体" w:eastAsia="宋体" w:cs="宋体"/>
          <w:color w:val="000000" w:themeColor="text1"/>
          <w:highlight w:val="none"/>
          <w14:textFill>
            <w14:solidFill>
              <w14:schemeClr w14:val="tx1"/>
            </w14:solidFill>
          </w14:textFill>
        </w:rPr>
      </w:pPr>
    </w:p>
    <w:p>
      <w:pPr>
        <w:shd w:val="clear"/>
        <w:rPr>
          <w:rStyle w:val="129"/>
          <w:rFonts w:hint="eastAsia" w:ascii="宋体" w:hAnsi="宋体" w:eastAsia="宋体" w:cs="宋体"/>
          <w:color w:val="000000" w:themeColor="text1"/>
          <w:highlight w:val="none"/>
          <w14:textFill>
            <w14:solidFill>
              <w14:schemeClr w14:val="tx1"/>
            </w14:solidFill>
          </w14:textFill>
        </w:rPr>
      </w:pPr>
    </w:p>
    <w:p>
      <w:pPr>
        <w:shd w:val="clear"/>
        <w:jc w:val="center"/>
        <w:rPr>
          <w:rStyle w:val="129"/>
          <w:rFonts w:hint="eastAsia" w:ascii="宋体" w:hAnsi="宋体" w:eastAsia="宋体" w:cs="宋体"/>
          <w:color w:val="000000" w:themeColor="text1"/>
          <w:highlight w:val="none"/>
          <w14:textFill>
            <w14:solidFill>
              <w14:schemeClr w14:val="tx1"/>
            </w14:solidFill>
          </w14:textFill>
        </w:rPr>
      </w:pPr>
    </w:p>
    <w:p>
      <w:pPr>
        <w:shd w:val="clear"/>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Style w:val="129"/>
          <w:rFonts w:hint="eastAsia" w:ascii="宋体" w:hAnsi="宋体" w:eastAsia="宋体" w:cs="宋体"/>
          <w:color w:val="000000" w:themeColor="text1"/>
          <w:sz w:val="32"/>
          <w:szCs w:val="32"/>
          <w:highlight w:val="none"/>
          <w14:textFill>
            <w14:solidFill>
              <w14:schemeClr w14:val="tx1"/>
            </w14:solidFill>
          </w14:textFill>
        </w:rPr>
        <w:t>第四章  合同条款及格式</w:t>
      </w:r>
    </w:p>
    <w:p>
      <w:pPr>
        <w:jc w:val="center"/>
        <w:rPr>
          <w:rFonts w:hint="eastAsia" w:ascii="宋体" w:hAnsi="宋体" w:eastAsia="宋体"/>
          <w:sz w:val="24"/>
          <w:szCs w:val="24"/>
        </w:rPr>
      </w:pPr>
      <w:r>
        <w:rPr>
          <w:rFonts w:hint="eastAsia" w:ascii="宋体" w:hAnsi="宋体" w:eastAsia="宋体" w:cs="宋体"/>
          <w:b/>
          <w:sz w:val="24"/>
          <w:szCs w:val="24"/>
        </w:rPr>
        <w:t>医疗器械</w:t>
      </w:r>
      <w:r>
        <w:rPr>
          <w:rFonts w:hint="eastAsia" w:ascii="宋体" w:hAnsi="宋体" w:eastAsia="宋体" w:cs="宋体"/>
          <w:b/>
          <w:sz w:val="24"/>
          <w:szCs w:val="24"/>
          <w:lang w:eastAsia="zh-CN"/>
        </w:rPr>
        <w:t>供货</w:t>
      </w:r>
      <w:r>
        <w:rPr>
          <w:rFonts w:hint="eastAsia" w:ascii="宋体" w:hAnsi="宋体" w:eastAsia="宋体" w:cs="宋体"/>
          <w:b/>
          <w:sz w:val="24"/>
          <w:szCs w:val="24"/>
        </w:rPr>
        <w:t>合同</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合同编号： </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签订地点： 河南省驻马店市中华路西段747号</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买受人（甲方）： 驻马店市中心医院</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出卖人（乙方）： </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eastAsia="宋体" w:cs="宋体"/>
          <w:sz w:val="21"/>
          <w:szCs w:val="21"/>
          <w:highlight w:val="none"/>
        </w:rPr>
        <w:t>《中华人民共和国政府采购法》、《中华人民共和国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》及</w:t>
      </w:r>
      <w:r>
        <w:rPr>
          <w:rFonts w:hint="eastAsia" w:ascii="宋体" w:hAnsi="宋体" w:eastAsia="宋体" w:cs="宋体"/>
          <w:b/>
          <w:sz w:val="21"/>
          <w:szCs w:val="21"/>
          <w:highlight w:val="none"/>
          <w:u w:val="single"/>
        </w:rPr>
        <w:t xml:space="preserve">                      </w:t>
      </w:r>
      <w:r>
        <w:rPr>
          <w:rFonts w:hint="eastAsia" w:ascii="宋体" w:hAnsi="宋体" w:eastAsia="宋体" w:cs="宋体"/>
          <w:sz w:val="21"/>
          <w:szCs w:val="21"/>
          <w:highlight w:val="none"/>
        </w:rPr>
        <w:t>项目（项目编号：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采购文件</w:t>
      </w:r>
      <w:r>
        <w:rPr>
          <w:rFonts w:hint="eastAsia" w:ascii="宋体" w:hAnsi="宋体" w:eastAsia="宋体" w:cs="宋体"/>
          <w:sz w:val="21"/>
          <w:szCs w:val="21"/>
          <w:highlight w:val="none"/>
        </w:rPr>
        <w:t>》、乙方的《</w:t>
      </w:r>
      <w:r>
        <w:rPr>
          <w:rFonts w:hint="eastAsia" w:ascii="宋体" w:hAnsi="宋体" w:eastAsia="宋体" w:cs="宋体"/>
          <w:sz w:val="21"/>
          <w:szCs w:val="21"/>
          <w:highlight w:val="none"/>
          <w:lang w:val="en-US" w:eastAsia="zh-CN"/>
        </w:rPr>
        <w:t>响应性</w:t>
      </w:r>
      <w:r>
        <w:rPr>
          <w:rFonts w:hint="eastAsia" w:ascii="宋体" w:hAnsi="宋体" w:eastAsia="宋体" w:cs="宋体"/>
          <w:sz w:val="21"/>
          <w:szCs w:val="21"/>
          <w:highlight w:val="none"/>
        </w:rPr>
        <w:t>文件》及《</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通知书》），甲、乙双方同意签订本合同。详细技术说明及其它有关合同的特定信息由合同附件予以载明，合</w:t>
      </w:r>
      <w:r>
        <w:rPr>
          <w:rFonts w:hint="eastAsia" w:ascii="宋体" w:hAnsi="宋体" w:eastAsia="宋体" w:cs="宋体"/>
          <w:sz w:val="21"/>
          <w:szCs w:val="21"/>
        </w:rPr>
        <w:t>同附件及乙方</w:t>
      </w:r>
      <w:r>
        <w:rPr>
          <w:rFonts w:hint="eastAsia" w:ascii="宋体" w:hAnsi="宋体" w:eastAsia="宋体" w:cs="宋体"/>
          <w:sz w:val="21"/>
          <w:szCs w:val="21"/>
          <w:lang w:eastAsia="zh-CN"/>
        </w:rPr>
        <w:t>响应性文件</w:t>
      </w:r>
      <w:r>
        <w:rPr>
          <w:rFonts w:hint="eastAsia" w:ascii="宋体" w:hAnsi="宋体" w:eastAsia="宋体" w:cs="宋体"/>
          <w:sz w:val="21"/>
          <w:szCs w:val="21"/>
        </w:rPr>
        <w:t>等均为本合同不可分割的部分。双方签署并共同遵守如下条款：</w:t>
      </w:r>
    </w:p>
    <w:p>
      <w:pPr>
        <w:keepNext w:val="0"/>
        <w:keepLines w:val="0"/>
        <w:pageBreakBefore w:val="0"/>
        <w:widowControl w:val="0"/>
        <w:kinsoku/>
        <w:wordWrap/>
        <w:overflowPunct/>
        <w:topLinePunct w:val="0"/>
        <w:autoSpaceDE/>
        <w:autoSpaceDN/>
        <w:bidi w:val="0"/>
        <w:adjustRightInd/>
        <w:snapToGrid/>
        <w:spacing w:line="456"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一、买卖标的物</w:t>
      </w:r>
    </w:p>
    <w:tbl>
      <w:tblPr>
        <w:tblStyle w:val="25"/>
        <w:tblW w:w="8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9"/>
        <w:gridCol w:w="1593"/>
        <w:gridCol w:w="1234"/>
        <w:gridCol w:w="923"/>
        <w:gridCol w:w="1035"/>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jc w:val="center"/>
        </w:trPr>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品    名</w:t>
            </w:r>
          </w:p>
        </w:tc>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品牌</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规格型号</w:t>
            </w: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单位</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p>
        </w:tc>
        <w:tc>
          <w:tcPr>
            <w:tcW w:w="1593" w:type="dxa"/>
            <w:noWrap w:val="0"/>
            <w:vAlign w:val="top"/>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rPr>
            </w:pP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456" w:lineRule="exact"/>
              <w:jc w:val="center"/>
              <w:textAlignment w:val="auto"/>
              <w:rPr>
                <w:rFonts w:hint="eastAsia" w:ascii="宋体" w:hAnsi="宋体" w:eastAsia="宋体" w:cs="宋体"/>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8265" w:type="dxa"/>
            <w:gridSpan w:val="6"/>
            <w:noWrap w:val="0"/>
            <w:vAlign w:val="center"/>
          </w:tcPr>
          <w:p>
            <w:pPr>
              <w:keepNext w:val="0"/>
              <w:keepLines w:val="0"/>
              <w:pageBreakBefore w:val="0"/>
              <w:widowControl w:val="0"/>
              <w:tabs>
                <w:tab w:val="left" w:pos="812"/>
              </w:tabs>
              <w:kinsoku/>
              <w:wordWrap/>
              <w:overflowPunct/>
              <w:topLinePunct w:val="0"/>
              <w:autoSpaceDE/>
              <w:autoSpaceDN/>
              <w:bidi w:val="0"/>
              <w:adjustRightInd/>
              <w:snapToGrid/>
              <w:spacing w:line="456"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ab/>
            </w:r>
            <w:r>
              <w:rPr>
                <w:rFonts w:hint="eastAsia" w:ascii="宋体" w:hAnsi="宋体" w:eastAsia="宋体" w:cs="宋体"/>
                <w:sz w:val="21"/>
                <w:szCs w:val="21"/>
                <w:lang w:eastAsia="zh-CN"/>
              </w:rPr>
              <w:t>备注：</w:t>
            </w:r>
            <w:r>
              <w:rPr>
                <w:rFonts w:hint="eastAsia" w:ascii="宋体" w:hAnsi="宋体" w:eastAsia="宋体" w:cs="宋体"/>
                <w:sz w:val="21"/>
                <w:szCs w:val="21"/>
                <w:lang w:val="en-US" w:eastAsia="zh-CN"/>
              </w:rPr>
              <w:t>1、以签订供货合同日期为准，供货周期为一年；</w:t>
            </w:r>
          </w:p>
          <w:p>
            <w:pPr>
              <w:keepNext w:val="0"/>
              <w:keepLines w:val="0"/>
              <w:pageBreakBefore w:val="0"/>
              <w:widowControl w:val="0"/>
              <w:numPr>
                <w:ilvl w:val="0"/>
                <w:numId w:val="5"/>
              </w:numPr>
              <w:tabs>
                <w:tab w:val="left" w:pos="812"/>
              </w:tabs>
              <w:kinsoku/>
              <w:wordWrap/>
              <w:overflowPunct/>
              <w:topLinePunct w:val="0"/>
              <w:autoSpaceDE/>
              <w:autoSpaceDN/>
              <w:bidi w:val="0"/>
              <w:adjustRightInd/>
              <w:snapToGrid/>
              <w:spacing w:line="456" w:lineRule="exact"/>
              <w:ind w:firstLine="1260" w:firstLineChars="6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以每批次实际验收数量为准，进行分批结算；</w:t>
            </w:r>
          </w:p>
          <w:p>
            <w:pPr>
              <w:keepNext w:val="0"/>
              <w:keepLines w:val="0"/>
              <w:pageBreakBefore w:val="0"/>
              <w:widowControl w:val="0"/>
              <w:numPr>
                <w:ilvl w:val="0"/>
                <w:numId w:val="5"/>
              </w:numPr>
              <w:tabs>
                <w:tab w:val="left" w:pos="812"/>
              </w:tabs>
              <w:kinsoku/>
              <w:wordWrap/>
              <w:overflowPunct/>
              <w:topLinePunct w:val="0"/>
              <w:autoSpaceDE/>
              <w:autoSpaceDN/>
              <w:bidi w:val="0"/>
              <w:adjustRightInd/>
              <w:snapToGrid/>
              <w:spacing w:line="456" w:lineRule="exact"/>
              <w:ind w:firstLine="1260" w:firstLineChars="6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质保期以验收入库日期为准，顺延至质保期结束。</w:t>
            </w:r>
          </w:p>
        </w:tc>
      </w:tr>
    </w:tbl>
    <w:p>
      <w:pPr>
        <w:keepNext w:val="0"/>
        <w:keepLines w:val="0"/>
        <w:pageBreakBefore w:val="0"/>
        <w:widowControl w:val="0"/>
        <w:numPr>
          <w:ilvl w:val="0"/>
          <w:numId w:val="6"/>
        </w:numPr>
        <w:kinsoku/>
        <w:wordWrap/>
        <w:overflowPunct/>
        <w:topLinePunct w:val="0"/>
        <w:autoSpaceDE/>
        <w:autoSpaceDN/>
        <w:bidi w:val="0"/>
        <w:adjustRightInd/>
        <w:snapToGrid/>
        <w:spacing w:line="456" w:lineRule="exact"/>
        <w:ind w:left="42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lang w:val="en-US" w:eastAsia="zh-CN"/>
        </w:rPr>
        <w:t>交货地点、时间、方式及风险承担</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b w:val="0"/>
          <w:bCs w:val="0"/>
          <w:lang w:val="en-US" w:eastAsia="zh-CN"/>
        </w:rPr>
        <w:t>甲方提前电话通知乙方，乙方按照甲方通知的时间、地点（驻马店市中心医院内）、数量交货。乙方配合甲方安装调试、验收合格后，办理书面交接手续。乙方承担</w:t>
      </w:r>
      <w:r>
        <w:rPr>
          <w:rFonts w:hint="eastAsia" w:ascii="宋体" w:hAnsi="宋体" w:eastAsia="宋体" w:cs="宋体"/>
          <w:sz w:val="21"/>
          <w:szCs w:val="21"/>
        </w:rPr>
        <w:t>标的物设计、材料、制造、运输、安装、调试、培训、验收合格交付使用之前及保修期内保修服务与备用物件等所有其他有关各项的含税费用。本合同履行期间该合同价款不变，甲方无须向乙方支付本合同约定之外的任何其他费用。乙方交货验收时必须要提供该产品的法定质检部门从同类产品中检查</w:t>
      </w:r>
      <w:r>
        <w:rPr>
          <w:rFonts w:hint="eastAsia" w:ascii="宋体" w:hAnsi="宋体" w:eastAsia="宋体" w:cs="宋体"/>
          <w:sz w:val="21"/>
          <w:szCs w:val="21"/>
          <w:lang w:eastAsia="zh-CN"/>
        </w:rPr>
        <w:t>合格</w:t>
      </w:r>
      <w:r>
        <w:rPr>
          <w:rFonts w:hint="eastAsia" w:ascii="宋体" w:hAnsi="宋体" w:eastAsia="宋体" w:cs="宋体"/>
          <w:sz w:val="21"/>
          <w:szCs w:val="21"/>
        </w:rPr>
        <w:t>的检测报告。</w:t>
      </w:r>
    </w:p>
    <w:p>
      <w:pPr>
        <w:keepNext w:val="0"/>
        <w:keepLines w:val="0"/>
        <w:pageBreakBefore w:val="0"/>
        <w:widowControl w:val="0"/>
        <w:numPr>
          <w:ilvl w:val="0"/>
          <w:numId w:val="6"/>
        </w:numPr>
        <w:kinsoku/>
        <w:wordWrap/>
        <w:overflowPunct/>
        <w:topLinePunct w:val="0"/>
        <w:autoSpaceDE/>
        <w:autoSpaceDN/>
        <w:bidi w:val="0"/>
        <w:adjustRightInd/>
        <w:snapToGrid/>
        <w:spacing w:line="456" w:lineRule="exact"/>
        <w:ind w:left="420" w:leftChars="0" w:firstLine="0" w:firstLineChars="0"/>
        <w:textAlignment w:val="auto"/>
        <w:rPr>
          <w:rFonts w:hint="eastAsia" w:ascii="宋体" w:hAnsi="宋体" w:eastAsia="宋体" w:cs="宋体"/>
          <w:sz w:val="24"/>
          <w:szCs w:val="24"/>
        </w:rPr>
      </w:pPr>
      <w:r>
        <w:rPr>
          <w:rFonts w:hint="eastAsia" w:ascii="宋体" w:hAnsi="宋体" w:eastAsia="宋体" w:cs="宋体"/>
          <w:b/>
          <w:bCs/>
          <w:sz w:val="21"/>
          <w:szCs w:val="21"/>
          <w:lang w:eastAsia="zh-CN"/>
        </w:rPr>
        <w:t>质量</w:t>
      </w:r>
      <w:r>
        <w:rPr>
          <w:rFonts w:hint="eastAsia" w:ascii="宋体" w:hAnsi="宋体" w:eastAsia="宋体" w:cs="宋体"/>
          <w:b/>
          <w:sz w:val="21"/>
          <w:szCs w:val="21"/>
        </w:rPr>
        <w:t>标准及相关质量问题的处理</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乙方所供产品的医疗器械质量应符合国家有关法律、法规，以及行业质量标准的要求，医疗器械应随货附当批次质量检验报告；进口商品须符合进口医疗器械管理办法，且随货应附报关单和合格证明文件。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乙方对所供冷链管理的产品，应符合冷链运输储存的质量标准和要求。</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医疗器械的包装应符合国家有关标准或行业标准，并保证适合运输、储存。</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乙方提供的标的物必须是合格出厂的全新（含零部件、配件等）产品，全部外观表面无划伤、无碰撞痕迹，产品所有权及自身涉及的各项知识产权权属清楚，不得存在侵害他人知识产权和其他权益的情形。</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标的物出厂时必须符合或优于国家（没有国标时，以行标）新标准，同时符合本项目招标文件确定的各项质量要求和技术指标及出厂标准。</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标的物的制造质量存在或出现问题时，乙方必须负责三包（包修、包换、包退），费用由乙方负担，甲方有权亲自派员或委托第三方到乙方生产或仓储现场查验标的物质量或生产进度。</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标的物交付后由于甲方保管不当造成的质量问题，乙方应负责修理，费用由甲方负担。</w:t>
      </w:r>
    </w:p>
    <w:p>
      <w:pPr>
        <w:keepNext w:val="0"/>
        <w:keepLines w:val="0"/>
        <w:pageBreakBefore w:val="0"/>
        <w:widowControl w:val="0"/>
        <w:numPr>
          <w:ilvl w:val="0"/>
          <w:numId w:val="0"/>
        </w:numPr>
        <w:kinsoku/>
        <w:wordWrap/>
        <w:overflowPunct/>
        <w:topLinePunct w:val="0"/>
        <w:autoSpaceDE/>
        <w:autoSpaceDN/>
        <w:bidi w:val="0"/>
        <w:adjustRightInd/>
        <w:snapToGrid/>
        <w:spacing w:line="456" w:lineRule="exact"/>
        <w:ind w:left="420" w:leftChars="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四、验收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验收由甲方组织，乙方配合进行：</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（1）标的物在乙方通知安装调试完毕后</w:t>
      </w:r>
      <w:r>
        <w:rPr>
          <w:rFonts w:hint="eastAsia" w:ascii="宋体" w:hAnsi="宋体" w:eastAsia="宋体" w:cs="宋体"/>
          <w:sz w:val="21"/>
          <w:szCs w:val="21"/>
          <w:u w:val="single"/>
        </w:rPr>
        <w:t xml:space="preserve"> 3 </w:t>
      </w:r>
      <w:r>
        <w:rPr>
          <w:rFonts w:hint="eastAsia" w:ascii="宋体" w:hAnsi="宋体" w:eastAsia="宋体" w:cs="宋体"/>
          <w:sz w:val="21"/>
          <w:szCs w:val="21"/>
        </w:rPr>
        <w:t>日内进行初步验收。初步验收合格后，开始进入</w:t>
      </w:r>
      <w:r>
        <w:rPr>
          <w:rFonts w:hint="eastAsia" w:ascii="宋体" w:hAnsi="宋体" w:eastAsia="宋体" w:cs="宋体"/>
          <w:sz w:val="21"/>
          <w:szCs w:val="21"/>
          <w:u w:val="single"/>
        </w:rPr>
        <w:t xml:space="preserve"> 7 </w:t>
      </w:r>
      <w:r>
        <w:rPr>
          <w:rFonts w:hint="eastAsia" w:ascii="宋体" w:hAnsi="宋体" w:eastAsia="宋体" w:cs="宋体"/>
          <w:sz w:val="21"/>
          <w:szCs w:val="21"/>
        </w:rPr>
        <w:t>天试用期；试用期间发生重大质量问题，修复后试用期相应顺延；试用期结束后</w:t>
      </w:r>
      <w:r>
        <w:rPr>
          <w:rFonts w:hint="eastAsia" w:ascii="宋体" w:hAnsi="宋体" w:eastAsia="宋体" w:cs="宋体"/>
          <w:sz w:val="21"/>
          <w:szCs w:val="21"/>
          <w:u w:val="single"/>
        </w:rPr>
        <w:t xml:space="preserve"> 3 </w:t>
      </w:r>
      <w:r>
        <w:rPr>
          <w:rFonts w:hint="eastAsia" w:ascii="宋体" w:hAnsi="宋体" w:eastAsia="宋体" w:cs="宋体"/>
          <w:sz w:val="21"/>
          <w:szCs w:val="21"/>
        </w:rPr>
        <w:t>日内完成最终验收。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（2）验收标准：按国家有关规定以及甲方招标文件的质量要求和技术指标、乙方的</w:t>
      </w:r>
      <w:r>
        <w:rPr>
          <w:rFonts w:hint="eastAsia" w:ascii="宋体" w:hAnsi="宋体" w:eastAsia="宋体" w:cs="宋体"/>
          <w:sz w:val="21"/>
          <w:szCs w:val="21"/>
          <w:lang w:eastAsia="zh-CN"/>
        </w:rPr>
        <w:t>响应性文件</w:t>
      </w:r>
      <w:r>
        <w:rPr>
          <w:rFonts w:hint="eastAsia" w:ascii="宋体" w:hAnsi="宋体" w:eastAsia="宋体" w:cs="宋体"/>
          <w:sz w:val="21"/>
          <w:szCs w:val="21"/>
        </w:rPr>
        <w:t>及承诺及合同约定标准进行验收；甲乙双方如对质量要求和技术指标的约定标准有相互抵触或异议的事项，由甲方在招标文件中按质量要求和技术指标比较优胜的原则确定标准进行验收。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验收时如发现所交付的标的物有短装、次品、损坏或其它不符合标准及本合同规定之情形者，验收方应做出详尽的现场记录，或由双方签署备忘录，因此产生时间延误和有关费用由乙方承担，验收期限相应顺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（4）如质量验收合格，双方签署质量验收手续。</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、标的物安装完成后，甲方无故不进行验收工作并已使用标的物的，视同已安装调试完成并验收合格。</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、乙方应将所提供标的物的装箱清单、配件、随机工具、用户使用手册、原厂保修卡等资料交付给甲方；乙方不能完整交付标的物及本款规不定期的单证和工具的，必须负责补齐，否则视为未按合同约定交货。</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、如标的物经乙方</w:t>
      </w:r>
      <w:r>
        <w:rPr>
          <w:rFonts w:hint="eastAsia" w:ascii="宋体" w:hAnsi="宋体" w:eastAsia="宋体" w:cs="宋体"/>
          <w:sz w:val="21"/>
          <w:szCs w:val="21"/>
          <w:u w:val="single"/>
        </w:rPr>
        <w:t xml:space="preserve"> 二 </w:t>
      </w:r>
      <w:r>
        <w:rPr>
          <w:rFonts w:hint="eastAsia" w:ascii="宋体" w:hAnsi="宋体" w:eastAsia="宋体" w:cs="宋体"/>
          <w:sz w:val="21"/>
          <w:szCs w:val="21"/>
        </w:rPr>
        <w:t>次维修仍不能达到合同约定的质量标准，甲方有权退货，并视作乙方不能交付标的物</w:t>
      </w:r>
      <w:r>
        <w:rPr>
          <w:rFonts w:hint="eastAsia" w:ascii="宋体" w:hAnsi="宋体" w:eastAsia="宋体" w:cs="宋体"/>
          <w:sz w:val="21"/>
          <w:szCs w:val="21"/>
          <w:lang w:eastAsia="zh-CN"/>
        </w:rPr>
        <w:t>，乙方应</w:t>
      </w:r>
      <w:r>
        <w:rPr>
          <w:rFonts w:hint="eastAsia" w:ascii="宋体" w:hAnsi="宋体" w:eastAsia="宋体" w:cs="宋体"/>
          <w:sz w:val="21"/>
          <w:szCs w:val="21"/>
        </w:rPr>
        <w:t>支付</w:t>
      </w:r>
      <w:r>
        <w:rPr>
          <w:rFonts w:hint="eastAsia" w:ascii="宋体" w:hAnsi="宋体" w:eastAsia="宋体" w:cs="宋体"/>
          <w:sz w:val="21"/>
          <w:szCs w:val="21"/>
          <w:lang w:eastAsia="zh-CN"/>
        </w:rPr>
        <w:t>货款总额</w:t>
      </w:r>
      <w:r>
        <w:rPr>
          <w:rFonts w:hint="eastAsia" w:ascii="宋体" w:hAnsi="宋体" w:eastAsia="宋体" w:cs="宋体"/>
          <w:sz w:val="21"/>
          <w:szCs w:val="21"/>
          <w:lang w:val="en-US" w:eastAsia="zh-CN"/>
        </w:rPr>
        <w:t>30%的</w:t>
      </w:r>
      <w:r>
        <w:rPr>
          <w:rFonts w:hint="eastAsia" w:ascii="宋体" w:hAnsi="宋体" w:eastAsia="宋体" w:cs="宋体"/>
          <w:sz w:val="21"/>
          <w:szCs w:val="21"/>
        </w:rPr>
        <w:t>违约赔偿金给甲方，甲方还可以依法追究乙方的相关法律责任。</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、其他未尽事宜应严格按照《中华人民共和国政府采购法》及相关法律法规规定的要求进行。</w:t>
      </w:r>
    </w:p>
    <w:p>
      <w:pPr>
        <w:keepNext w:val="0"/>
        <w:keepLines w:val="0"/>
        <w:pageBreakBefore w:val="0"/>
        <w:widowControl w:val="0"/>
        <w:kinsoku/>
        <w:wordWrap/>
        <w:overflowPunct/>
        <w:topLinePunct w:val="0"/>
        <w:autoSpaceDE/>
        <w:autoSpaceDN/>
        <w:bidi w:val="0"/>
        <w:adjustRightInd/>
        <w:snapToGrid/>
        <w:spacing w:line="456"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五、付款方式</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全部标的物经安装调试完毕并检验合格之日起，甲方接到乙方付款通知和有关票据凭证资料以后，由甲方核付合同总价的百分之</w:t>
      </w:r>
      <w:r>
        <w:rPr>
          <w:rFonts w:hint="eastAsia" w:ascii="宋体" w:hAnsi="宋体" w:eastAsia="宋体" w:cs="宋体"/>
          <w:sz w:val="21"/>
          <w:szCs w:val="21"/>
          <w:u w:val="single"/>
          <w:lang w:val="en-US" w:eastAsia="zh-CN"/>
        </w:rPr>
        <w:t xml:space="preserve"> 九十 </w:t>
      </w:r>
      <w:r>
        <w:rPr>
          <w:rFonts w:hint="eastAsia" w:ascii="宋体" w:hAnsi="宋体" w:eastAsia="宋体" w:cs="宋体"/>
          <w:sz w:val="21"/>
          <w:szCs w:val="21"/>
          <w:u w:val="none"/>
          <w:lang w:val="en-US" w:eastAsia="zh-CN"/>
        </w:rPr>
        <w:t>（90%）</w:t>
      </w:r>
      <w:r>
        <w:rPr>
          <w:rFonts w:hint="eastAsia" w:ascii="宋体" w:hAnsi="宋体" w:eastAsia="宋体" w:cs="宋体"/>
          <w:sz w:val="21"/>
          <w:szCs w:val="21"/>
        </w:rPr>
        <w:t>款项，</w:t>
      </w:r>
      <w:r>
        <w:rPr>
          <w:rFonts w:hint="eastAsia" w:ascii="宋体" w:hAnsi="宋体" w:eastAsia="宋体" w:cs="宋体"/>
          <w:color w:val="auto"/>
          <w:sz w:val="21"/>
          <w:szCs w:val="21"/>
          <w:lang w:val="en-US" w:eastAsia="zh-CN"/>
        </w:rPr>
        <w:t>本合同履行完毕后</w:t>
      </w:r>
      <w:r>
        <w:rPr>
          <w:rFonts w:hint="eastAsia" w:ascii="宋体" w:hAnsi="宋体" w:eastAsia="宋体" w:cs="宋体"/>
          <w:color w:val="auto"/>
          <w:sz w:val="21"/>
          <w:szCs w:val="21"/>
        </w:rPr>
        <w:t>，由甲方核付合同总价的百分之</w:t>
      </w:r>
      <w:r>
        <w:rPr>
          <w:rFonts w:hint="eastAsia" w:ascii="宋体" w:hAnsi="宋体" w:eastAsia="宋体" w:cs="宋体"/>
          <w:color w:val="auto"/>
          <w:sz w:val="21"/>
          <w:szCs w:val="21"/>
          <w:u w:val="single"/>
          <w:lang w:val="en-US" w:eastAsia="zh-CN"/>
        </w:rPr>
        <w:t xml:space="preserve">  十 </w:t>
      </w:r>
      <w:r>
        <w:rPr>
          <w:rFonts w:hint="eastAsia" w:ascii="宋体" w:hAnsi="宋体" w:eastAsia="宋体" w:cs="宋体"/>
          <w:color w:val="auto"/>
          <w:sz w:val="21"/>
          <w:szCs w:val="21"/>
          <w:u w:val="none"/>
          <w:lang w:val="en-US" w:eastAsia="zh-CN"/>
        </w:rPr>
        <w:t>（10%）</w:t>
      </w:r>
      <w:r>
        <w:rPr>
          <w:rFonts w:hint="eastAsia" w:ascii="宋体" w:hAnsi="宋体" w:eastAsia="宋体" w:cs="宋体"/>
          <w:color w:val="auto"/>
          <w:sz w:val="21"/>
          <w:szCs w:val="21"/>
        </w:rPr>
        <w:t>款项</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56" w:lineRule="exact"/>
        <w:ind w:left="420" w:leftChars="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六、售后服务</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1、质保期为验收合格后</w:t>
      </w:r>
      <w:r>
        <w:rPr>
          <w:rFonts w:hint="eastAsia" w:ascii="宋体" w:hAnsi="宋体" w:eastAsia="宋体" w:cs="宋体"/>
          <w:sz w:val="21"/>
          <w:szCs w:val="21"/>
          <w:u w:val="single"/>
        </w:rPr>
        <w:t xml:space="preserve">        </w:t>
      </w:r>
      <w:r>
        <w:rPr>
          <w:rFonts w:hint="eastAsia" w:ascii="宋体" w:hAnsi="宋体" w:eastAsia="宋体" w:cs="宋体"/>
          <w:sz w:val="21"/>
          <w:szCs w:val="21"/>
        </w:rPr>
        <w:t>年，质保期内出现质量问题，乙方在接到甲方通知后 两小时内响应，十二小时内到达现场完成维修或更换，并承担修理更换的费用,维修期间提供备用机；如标的物经乙方</w:t>
      </w:r>
      <w:r>
        <w:rPr>
          <w:rFonts w:hint="eastAsia" w:ascii="宋体" w:hAnsi="宋体" w:eastAsia="宋体" w:cs="宋体"/>
          <w:sz w:val="21"/>
          <w:szCs w:val="21"/>
          <w:u w:val="single"/>
        </w:rPr>
        <w:t xml:space="preserve"> 两 </w:t>
      </w:r>
      <w:r>
        <w:rPr>
          <w:rFonts w:hint="eastAsia" w:ascii="宋体" w:hAnsi="宋体" w:eastAsia="宋体" w:cs="宋体"/>
          <w:sz w:val="21"/>
          <w:szCs w:val="21"/>
        </w:rPr>
        <w:t>次维修仍不能达到本合同约定的质量标准，甲方有权退货并追究乙方的违约责任。标的物到达甲方指定现场后因甲方保管不当造成的数量短缺或质量损害，乙方负责补齐或修复，费用由甲方负担。</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2、乙方须指派专人负责与甲方联系售后服务事宜。</w:t>
      </w:r>
    </w:p>
    <w:p>
      <w:pPr>
        <w:keepNext w:val="0"/>
        <w:keepLines w:val="0"/>
        <w:pageBreakBefore w:val="0"/>
        <w:widowControl w:val="0"/>
        <w:numPr>
          <w:ilvl w:val="0"/>
          <w:numId w:val="0"/>
        </w:numPr>
        <w:kinsoku/>
        <w:wordWrap/>
        <w:overflowPunct/>
        <w:topLinePunct w:val="0"/>
        <w:autoSpaceDE/>
        <w:autoSpaceDN/>
        <w:bidi w:val="0"/>
        <w:adjustRightInd/>
        <w:snapToGrid/>
        <w:spacing w:line="456" w:lineRule="exact"/>
        <w:ind w:left="420" w:leftChars="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七、双方责任</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乙方所供医疗器械的标签及说明书更新证明文件应在货到之日24小时内提供，否则将作退货处理。（如属特殊情况，请签订销售责任保证书）</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乙方在接到甲方采购通知单（款到发货的为收到货款）后，应在5个工作日内将医疗器械送达甲方仓库。否则，甲方将有权另行采购，其原有的购销合同自动解除。</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如乙方的企业名称发生变更，应及时通知甲方，并提前准备好首营企业备案资料，且重新签订双方购销合同。</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乙方在签订本合同时，须提供乙方加盖公章的授权委托书和被授权人员身份证复印件。</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自收到货物之日后，包装完好不影响二次销售的库存，甲方有权进行退货处理，同时乙方开具红字发票。乙方应在收到甲方退货后5个工作日内将货款全额退还给甲方；甲方也可在对乙方的应付款中直接扣除上述退货货款且不需要承担任何违约责任。</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、甲方的违约责任</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甲方无正当理由拒收标的物的，甲方应偿付合同总价的</w:t>
      </w:r>
      <w:r>
        <w:rPr>
          <w:rFonts w:hint="eastAsia" w:ascii="宋体" w:hAnsi="宋体" w:eastAsia="宋体" w:cs="宋体"/>
          <w:sz w:val="21"/>
          <w:szCs w:val="21"/>
          <w:u w:val="single"/>
        </w:rPr>
        <w:t xml:space="preserve"> 百分之三 </w:t>
      </w:r>
      <w:r>
        <w:rPr>
          <w:rFonts w:hint="eastAsia" w:ascii="宋体" w:hAnsi="宋体" w:eastAsia="宋体" w:cs="宋体"/>
          <w:sz w:val="21"/>
          <w:szCs w:val="21"/>
        </w:rPr>
        <w:t>的违约金；</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、乙方违约责任</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（1）乙方交付的标的物质量不符合合同约定的，乙方应向甲方支付合同总价的百分之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的违约金，并须在合同约定的交货时间内更换合格的标的物给甲方，否则，视作乙方不能交付标的物而违约，按本条本款下述第“（2）”项规定由乙方支付违约赔偿金给甲方。</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（2）乙方不能交付标的物或逾期交付标的物而违约的，除应及时交足标的物外，应向甲方支付逾期交货部分货款总额的万分之</w:t>
      </w:r>
      <w:r>
        <w:rPr>
          <w:rFonts w:hint="eastAsia" w:ascii="宋体" w:hAnsi="宋体" w:eastAsia="宋体" w:cs="宋体"/>
          <w:sz w:val="21"/>
          <w:szCs w:val="21"/>
          <w:u w:val="single"/>
        </w:rPr>
        <w:t xml:space="preserve">五 </w:t>
      </w:r>
      <w:r>
        <w:rPr>
          <w:rFonts w:hint="eastAsia" w:ascii="宋体" w:hAnsi="宋体" w:eastAsia="宋体" w:cs="宋体"/>
          <w:sz w:val="21"/>
          <w:szCs w:val="21"/>
        </w:rPr>
        <w:t>/日的违约金；逾期交货超过</w:t>
      </w:r>
      <w:r>
        <w:rPr>
          <w:rFonts w:hint="eastAsia" w:ascii="宋体" w:hAnsi="宋体" w:eastAsia="宋体" w:cs="宋体"/>
          <w:sz w:val="21"/>
          <w:szCs w:val="21"/>
          <w:u w:val="single"/>
        </w:rPr>
        <w:t xml:space="preserve"> 七 </w:t>
      </w:r>
      <w:r>
        <w:rPr>
          <w:rFonts w:hint="eastAsia" w:ascii="宋体" w:hAnsi="宋体" w:eastAsia="宋体" w:cs="宋体"/>
          <w:sz w:val="21"/>
          <w:szCs w:val="21"/>
        </w:rPr>
        <w:t>天，甲方有权解除合同，乙方则应按合同总价的百分之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的款额向甲方支付赔偿金，并须全额退还甲方已经付给乙方的货款及自甲方付款至退款期间的利息（按同期银行贷款利率）。</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（3）乙方标的物经甲方送交具有法定资格条件的质量技术监督机构检测后，如检测结果认定标的物质量不符合本合同规定标准的，则视为乙方没有按时交货而违约，乙方须在</w:t>
      </w:r>
      <w:r>
        <w:rPr>
          <w:rFonts w:hint="eastAsia" w:ascii="宋体" w:hAnsi="宋体" w:eastAsia="宋体" w:cs="宋体"/>
          <w:sz w:val="21"/>
          <w:szCs w:val="21"/>
          <w:u w:val="single"/>
        </w:rPr>
        <w:t xml:space="preserve"> 3 </w:t>
      </w:r>
      <w:r>
        <w:rPr>
          <w:rFonts w:hint="eastAsia" w:ascii="宋体" w:hAnsi="宋体" w:eastAsia="宋体" w:cs="宋体"/>
          <w:sz w:val="21"/>
          <w:szCs w:val="21"/>
        </w:rPr>
        <w:t>天内无条件更换合格标的物，如逾期不能更换合格的标的物，甲方有权终止本合同，乙方应另付合同总价的百分之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的赔偿金给甲方。</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保证本合同标的物的权利无瑕疵，包括标的物所有权及知识产权等权利无瑕疵。如任何第三方经法院（或仲裁机构）裁决有权对上述标的物主张权利或国家机关依法对标的物进行没收查处的，乙方除应向甲方返还已收款项外，还应另按合同总价的百分之</w:t>
      </w:r>
      <w:r>
        <w:rPr>
          <w:rFonts w:hint="eastAsia" w:ascii="宋体" w:hAnsi="宋体" w:eastAsia="宋体" w:cs="宋体"/>
          <w:sz w:val="21"/>
          <w:szCs w:val="21"/>
          <w:u w:val="single"/>
        </w:rPr>
        <w:t>五</w:t>
      </w:r>
      <w:r>
        <w:rPr>
          <w:rFonts w:hint="eastAsia" w:ascii="宋体" w:hAnsi="宋体" w:eastAsia="宋体" w:cs="宋体"/>
          <w:sz w:val="21"/>
          <w:szCs w:val="21"/>
        </w:rPr>
        <w:t>向甲方支付违约金并赔偿因此给甲方造成的一切损失。</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（5）乙方偿付的违约金不足以弥补甲方损失的，还应按甲方损失尚未弥补的部分，支付赔偿金给甲方。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八、</w:t>
      </w:r>
      <w:r>
        <w:rPr>
          <w:rFonts w:hint="eastAsia" w:ascii="宋体" w:hAnsi="宋体" w:eastAsia="宋体" w:cs="宋体"/>
          <w:b/>
          <w:sz w:val="21"/>
          <w:szCs w:val="21"/>
        </w:rPr>
        <w:t>争议解决方法</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1、因标的物的质量发生争议，由甲方委托法定的质量技术监督部门或监督部门指定的质量鉴定机构进行质量鉴定或检测，鉴定费由乙方承担。</w:t>
      </w:r>
    </w:p>
    <w:p>
      <w:pPr>
        <w:keepNext w:val="0"/>
        <w:keepLines w:val="0"/>
        <w:pageBreakBefore w:val="0"/>
        <w:widowControl w:val="0"/>
        <w:kinsoku/>
        <w:wordWrap/>
        <w:overflowPunct/>
        <w:topLinePunct w:val="0"/>
        <w:autoSpaceDE/>
        <w:autoSpaceDN/>
        <w:bidi w:val="0"/>
        <w:adjustRightInd/>
        <w:snapToGrid/>
        <w:spacing w:line="456"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2、因本合同发生争议，双方可协商或由有关部门调解解决；协商或调解不成的，应向甲方住所地有管辖权的人民法院提起诉讼。</w:t>
      </w:r>
    </w:p>
    <w:p>
      <w:pPr>
        <w:keepNext w:val="0"/>
        <w:keepLines w:val="0"/>
        <w:pageBreakBefore w:val="0"/>
        <w:widowControl w:val="0"/>
        <w:kinsoku/>
        <w:wordWrap/>
        <w:overflowPunct/>
        <w:topLinePunct w:val="0"/>
        <w:autoSpaceDE/>
        <w:autoSpaceDN/>
        <w:bidi w:val="0"/>
        <w:adjustRightInd/>
        <w:snapToGrid/>
        <w:spacing w:line="456"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九、其他</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1、合同未尽事宜，由双方另行协商订立补充合同。</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2、本合同一式六份，自双方签章之日起生效。甲方五份，乙方一份。</w:t>
      </w:r>
    </w:p>
    <w:p>
      <w:pPr>
        <w:keepNext w:val="0"/>
        <w:keepLines w:val="0"/>
        <w:pageBreakBefore w:val="0"/>
        <w:widowControl w:val="0"/>
        <w:kinsoku/>
        <w:wordWrap/>
        <w:overflowPunct/>
        <w:topLinePunct w:val="0"/>
        <w:autoSpaceDE/>
        <w:autoSpaceDN/>
        <w:bidi w:val="0"/>
        <w:adjustRightInd/>
        <w:snapToGrid/>
        <w:spacing w:line="456"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3、附件标的物中标通知书</w:t>
      </w:r>
      <w:r>
        <w:rPr>
          <w:rFonts w:hint="eastAsia" w:ascii="宋体" w:hAnsi="宋体" w:eastAsia="宋体" w:cs="宋体"/>
          <w:sz w:val="21"/>
          <w:szCs w:val="21"/>
          <w:lang w:eastAsia="zh-CN"/>
        </w:rPr>
        <w:t>、售后服务承诺书</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甲    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乙    方：（盖章）</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授权代表：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ind w:firstLine="420" w:firstLineChars="200"/>
        <w:rPr>
          <w:rFonts w:hint="eastAsia" w:ascii="宋体" w:hAnsi="宋体" w:eastAsia="宋体" w:cs="宋体"/>
          <w:sz w:val="21"/>
          <w:szCs w:val="21"/>
          <w:lang w:val="en-US" w:eastAsia="zh-CN"/>
        </w:rPr>
      </w:pP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授权代表</w:t>
      </w:r>
      <w:r>
        <w:rPr>
          <w:rFonts w:hint="eastAsia" w:ascii="宋体" w:hAnsi="宋体" w:eastAsia="宋体" w:cs="宋体"/>
          <w:sz w:val="21"/>
          <w:szCs w:val="21"/>
          <w:lang w:eastAsia="zh-CN"/>
        </w:rPr>
        <w:t>人：</w:t>
      </w:r>
    </w:p>
    <w:p>
      <w:pPr>
        <w:ind w:firstLine="420" w:firstLineChars="200"/>
        <w:rPr>
          <w:rFonts w:hint="eastAsia" w:ascii="宋体" w:hAnsi="宋体" w:eastAsia="宋体" w:cs="宋体"/>
          <w:sz w:val="21"/>
          <w:szCs w:val="21"/>
          <w:lang w:eastAsia="zh-CN"/>
        </w:rPr>
      </w:pP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纳税人识别号：</w:t>
      </w:r>
      <w:r>
        <w:rPr>
          <w:rFonts w:hint="eastAsia" w:ascii="宋体" w:hAnsi="宋体" w:eastAsia="宋体" w:cs="宋体"/>
          <w:color w:val="FF0000"/>
          <w:sz w:val="21"/>
          <w:szCs w:val="21"/>
          <w:lang w:val="en-US" w:eastAsia="zh-CN"/>
        </w:rPr>
        <w:t>此项必填</w:t>
      </w:r>
      <w:r>
        <w:rPr>
          <w:rFonts w:hint="eastAsia" w:ascii="宋体" w:hAnsi="宋体" w:eastAsia="宋体" w:cs="宋体"/>
          <w:sz w:val="21"/>
          <w:szCs w:val="21"/>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    址：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地    址：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开户银行：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开户银行：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账    号：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账    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电    话：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电    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传    真：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传    真：</w:t>
      </w:r>
    </w:p>
    <w:p>
      <w:pPr>
        <w:rPr>
          <w:rFonts w:hint="eastAsia" w:ascii="宋体" w:hAnsi="宋体" w:eastAsia="宋体" w:cs="宋体"/>
          <w:sz w:val="21"/>
          <w:szCs w:val="21"/>
        </w:rPr>
      </w:pPr>
      <w:r>
        <w:rPr>
          <w:rFonts w:hint="eastAsia" w:ascii="宋体" w:hAnsi="宋体" w:eastAsia="宋体" w:cs="宋体"/>
          <w:sz w:val="21"/>
          <w:szCs w:val="21"/>
        </w:rPr>
        <w:t xml:space="preserve">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签约日期：      年     月     日          </w:t>
      </w:r>
    </w:p>
    <w:p>
      <w:pPr>
        <w:rPr>
          <w:rFonts w:hint="eastAsia" w:ascii="宋体" w:hAnsi="宋体" w:eastAsia="宋体" w:cs="宋体"/>
          <w:sz w:val="21"/>
          <w:szCs w:val="21"/>
        </w:rPr>
      </w:pPr>
    </w:p>
    <w:p>
      <w:pPr>
        <w:numPr>
          <w:ilvl w:val="0"/>
          <w:numId w:val="0"/>
        </w:numPr>
        <w:ind w:firstLine="420" w:firstLineChars="200"/>
        <w:rPr>
          <w:rFonts w:hint="eastAsia" w:ascii="宋体" w:hAnsi="宋体" w:eastAsia="宋体" w:cs="宋体"/>
          <w:sz w:val="24"/>
          <w:highlight w:val="none"/>
        </w:rPr>
      </w:pPr>
      <w:r>
        <w:rPr>
          <w:rFonts w:hint="eastAsia" w:ascii="宋体" w:hAnsi="宋体" w:eastAsia="宋体" w:cs="宋体"/>
          <w:b w:val="0"/>
          <w:bCs/>
          <w:sz w:val="21"/>
          <w:szCs w:val="21"/>
          <w:lang w:val="en-US" w:eastAsia="zh-CN"/>
        </w:rPr>
        <w:t>医学装备部合同审核人：</w:t>
      </w:r>
    </w:p>
    <w:p>
      <w:pPr>
        <w:shd w:val="clear"/>
        <w:spacing w:line="400" w:lineRule="exact"/>
        <w:ind w:firstLine="3150" w:firstLineChars="15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br w:type="page"/>
      </w:r>
    </w:p>
    <w:p>
      <w:pPr>
        <w:shd w:val="clear"/>
        <w:jc w:val="center"/>
        <w:outlineLvl w:val="0"/>
        <w:rPr>
          <w:rStyle w:val="129"/>
          <w:rFonts w:hint="eastAsia" w:ascii="宋体" w:hAnsi="宋体" w:eastAsia="宋体" w:cs="宋体"/>
          <w:color w:val="000000" w:themeColor="text1"/>
          <w:sz w:val="32"/>
          <w:szCs w:val="32"/>
          <w:highlight w:val="none"/>
          <w14:textFill>
            <w14:solidFill>
              <w14:schemeClr w14:val="tx1"/>
            </w14:solidFill>
          </w14:textFill>
        </w:rPr>
      </w:pPr>
      <w:r>
        <w:rPr>
          <w:rStyle w:val="129"/>
          <w:rFonts w:hint="eastAsia" w:ascii="宋体" w:hAnsi="宋体" w:eastAsia="宋体" w:cs="宋体"/>
          <w:color w:val="000000" w:themeColor="text1"/>
          <w:sz w:val="32"/>
          <w:szCs w:val="32"/>
          <w:highlight w:val="none"/>
          <w14:textFill>
            <w14:solidFill>
              <w14:schemeClr w14:val="tx1"/>
            </w14:solidFill>
          </w14:textFill>
        </w:rPr>
        <w:t>第五章  附件--响应文件格式</w:t>
      </w:r>
    </w:p>
    <w:p>
      <w:pPr>
        <w:widowControl/>
        <w:shd w:val="clear" w:color="auto"/>
        <w:spacing w:line="360" w:lineRule="auto"/>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pPr>
        <w:widowControl/>
        <w:shd w:val="clear" w:color="auto"/>
        <w:spacing w:line="360" w:lineRule="auto"/>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 </w:t>
      </w:r>
    </w:p>
    <w:p>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w:t>
      </w:r>
    </w:p>
    <w:tbl>
      <w:tblPr>
        <w:tblStyle w:val="25"/>
        <w:tblW w:w="8190" w:type="dxa"/>
        <w:tblInd w:w="136" w:type="dxa"/>
        <w:shd w:val="clear" w:color="auto" w:fill="auto"/>
        <w:tblLayout w:type="fixed"/>
        <w:tblCellMar>
          <w:top w:w="0" w:type="dxa"/>
          <w:left w:w="0" w:type="dxa"/>
          <w:bottom w:w="0" w:type="dxa"/>
          <w:right w:w="0" w:type="dxa"/>
        </w:tblCellMar>
      </w:tblPr>
      <w:tblGrid>
        <w:gridCol w:w="8190"/>
      </w:tblGrid>
      <w:tr>
        <w:tblPrEx>
          <w:shd w:val="clear" w:color="auto" w:fill="auto"/>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hd w:val="clear"/>
              <w:spacing w:line="46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注释：</w:t>
            </w:r>
          </w:p>
          <w:p>
            <w:pPr>
              <w:widowControl/>
              <w:shd w:val="clear"/>
              <w:spacing w:line="24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《响应性文件格式》是供应商的部分响应性文件格式和签订合同时所需文件的格式。供应商应按照这些格式文件制作响应性文件。</w:t>
            </w:r>
          </w:p>
        </w:tc>
      </w:tr>
    </w:tbl>
    <w:p>
      <w:pPr>
        <w:widowControl/>
        <w:shd w:val="clear"/>
        <w:spacing w:line="46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 xml:space="preserve"> </w:t>
      </w:r>
    </w:p>
    <w:p>
      <w:pPr>
        <w:widowControl/>
        <w:shd w:val="clear" w:color="auto"/>
        <w:spacing w:line="460" w:lineRule="atLeast"/>
        <w:ind w:firstLine="643"/>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目    录</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 响应性文件封面（格式）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附件2 竞争性磋商响应书（格式）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附件3 初次报价一览表（格式）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附件4  </w:t>
      </w:r>
      <w:r>
        <w:rPr>
          <w:rFonts w:hint="eastAsia" w:ascii="宋体" w:hAnsi="宋体" w:eastAsia="宋体" w:cs="宋体"/>
          <w:color w:val="000000" w:themeColor="text1"/>
          <w:kern w:val="0"/>
          <w:sz w:val="24"/>
          <w:highlight w:val="none"/>
          <w:lang w:eastAsia="zh-CN"/>
          <w14:textFill>
            <w14:solidFill>
              <w14:schemeClr w14:val="tx1"/>
            </w14:solidFill>
          </w14:textFill>
        </w:rPr>
        <w:t>报价</w:t>
      </w:r>
      <w:r>
        <w:rPr>
          <w:rFonts w:hint="eastAsia" w:ascii="宋体" w:hAnsi="宋体" w:eastAsia="宋体" w:cs="宋体"/>
          <w:color w:val="000000" w:themeColor="text1"/>
          <w:kern w:val="0"/>
          <w:sz w:val="24"/>
          <w:highlight w:val="none"/>
          <w14:textFill>
            <w14:solidFill>
              <w14:schemeClr w14:val="tx1"/>
            </w14:solidFill>
          </w14:textFill>
        </w:rPr>
        <w:t>明细表</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附件5 服务技术响应表（格式）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附件6 商务响应表（格式）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附件7  法定代表人身份证明（格式）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附件8 法定代表人授权书（格式）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附件9  证明文件</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附件10 抵制商业贿赂承诺（格式）</w:t>
      </w:r>
    </w:p>
    <w:p>
      <w:pPr>
        <w:widowControl/>
        <w:shd w:val="clear" w:color="auto"/>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附件11  供应商认为有必要提供的其他资料</w:t>
      </w:r>
    </w:p>
    <w:p>
      <w:pPr>
        <w:widowControl/>
        <w:shd w:val="clear" w:color="auto"/>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spacing w:line="460" w:lineRule="atLeast"/>
        <w:ind w:firstLine="480"/>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spacing w:line="460" w:lineRule="atLeast"/>
        <w:jc w:val="left"/>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pPr>
        <w:widowControl/>
        <w:shd w:val="clear"/>
        <w:spacing w:line="460" w:lineRule="atLeast"/>
        <w:ind w:firstLine="482"/>
        <w:rPr>
          <w:rFonts w:hint="eastAsia" w:ascii="宋体" w:hAnsi="宋体" w:eastAsia="宋体" w:cs="宋体"/>
          <w:b/>
          <w:bCs/>
          <w:color w:val="000000" w:themeColor="text1"/>
          <w:kern w:val="0"/>
          <w:sz w:val="24"/>
          <w:highlight w:val="none"/>
          <w14:textFill>
            <w14:solidFill>
              <w14:schemeClr w14:val="tx1"/>
            </w14:solidFill>
          </w14:textFill>
        </w:rPr>
      </w:pPr>
    </w:p>
    <w:p>
      <w:pPr>
        <w:pStyle w:val="23"/>
        <w:shd w:val="clear"/>
        <w:ind w:firstLine="280"/>
        <w:rPr>
          <w:rFonts w:hint="eastAsia" w:ascii="宋体" w:hAnsi="宋体" w:eastAsia="宋体" w:cs="宋体"/>
          <w:color w:val="000000" w:themeColor="text1"/>
          <w:kern w:val="0"/>
          <w:highlight w:val="none"/>
          <w14:textFill>
            <w14:solidFill>
              <w14:schemeClr w14:val="tx1"/>
            </w14:solidFill>
          </w14:textFill>
        </w:rPr>
      </w:pPr>
    </w:p>
    <w:p>
      <w:pPr>
        <w:pStyle w:val="23"/>
        <w:shd w:val="clear"/>
        <w:ind w:firstLine="280"/>
        <w:rPr>
          <w:rFonts w:hint="eastAsia" w:ascii="宋体" w:hAnsi="宋体" w:eastAsia="宋体" w:cs="宋体"/>
          <w:color w:val="000000" w:themeColor="text1"/>
          <w:kern w:val="0"/>
          <w:highlight w:val="none"/>
          <w14:textFill>
            <w14:solidFill>
              <w14:schemeClr w14:val="tx1"/>
            </w14:solidFill>
          </w14:textFill>
        </w:rPr>
      </w:pPr>
    </w:p>
    <w:p>
      <w:pPr>
        <w:pageBreakBefore/>
        <w:widowControl/>
        <w:shd w:val="clear" w:color="auto"/>
        <w:spacing w:line="460"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附件1               竞争性磋商文件封面</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pStyle w:val="9"/>
        <w:shd w:val="clear"/>
        <w:outlineLvl w:val="9"/>
        <w:rPr>
          <w:rFonts w:hint="eastAsia" w:ascii="宋体" w:hAnsi="宋体" w:eastAsia="宋体" w:cs="宋体"/>
          <w:color w:val="000000" w:themeColor="text1"/>
          <w:highlight w:val="none"/>
          <w14:textFill>
            <w14:solidFill>
              <w14:schemeClr w14:val="tx1"/>
            </w14:solidFill>
          </w14:textFill>
        </w:rPr>
      </w:pPr>
    </w:p>
    <w:p>
      <w:pPr>
        <w:widowControl/>
        <w:shd w:val="clear" w:color="auto"/>
        <w:spacing w:line="460" w:lineRule="atLeast"/>
        <w:ind w:left="0" w:leftChars="0" w:firstLine="3426" w:firstLineChars="948"/>
        <w:jc w:val="both"/>
        <w:outlineLvl w:val="9"/>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lang w:eastAsia="zh-CN"/>
          <w14:textFill>
            <w14:solidFill>
              <w14:schemeClr w14:val="tx1"/>
            </w14:solidFill>
          </w14:textFill>
        </w:rPr>
        <w:t>手术器械采购</w:t>
      </w:r>
      <w:r>
        <w:rPr>
          <w:rFonts w:hint="eastAsia" w:ascii="宋体" w:hAnsi="宋体" w:eastAsia="宋体" w:cs="宋体"/>
          <w:b/>
          <w:bCs/>
          <w:color w:val="000000" w:themeColor="text1"/>
          <w:kern w:val="0"/>
          <w:sz w:val="36"/>
          <w:szCs w:val="36"/>
          <w:highlight w:val="none"/>
          <w14:textFill>
            <w14:solidFill>
              <w14:schemeClr w14:val="tx1"/>
            </w14:solidFill>
          </w14:textFill>
        </w:rPr>
        <w:t xml:space="preserve"> </w:t>
      </w:r>
    </w:p>
    <w:p>
      <w:pPr>
        <w:widowControl/>
        <w:shd w:val="clear" w:color="auto"/>
        <w:spacing w:line="460" w:lineRule="atLeast"/>
        <w:ind w:firstLine="482"/>
        <w:jc w:val="center"/>
        <w:outlineLvl w:val="9"/>
        <w:rPr>
          <w:rFonts w:hint="eastAsia" w:ascii="宋体" w:hAnsi="宋体" w:eastAsia="宋体" w:cs="宋体"/>
          <w:b/>
          <w:bCs/>
          <w:color w:val="000000" w:themeColor="text1"/>
          <w:kern w:val="0"/>
          <w:sz w:val="36"/>
          <w:szCs w:val="36"/>
          <w:highlight w:val="none"/>
          <w14:textFill>
            <w14:solidFill>
              <w14:schemeClr w14:val="tx1"/>
            </w14:solidFill>
          </w14:textFill>
        </w:rPr>
      </w:pPr>
    </w:p>
    <w:p>
      <w:pPr>
        <w:widowControl/>
        <w:shd w:val="clear" w:color="auto"/>
        <w:spacing w:line="460" w:lineRule="atLeast"/>
        <w:ind w:firstLine="2992" w:firstLineChars="828"/>
        <w:jc w:val="both"/>
        <w:outlineLvl w:val="9"/>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竞争性磋商响应文件</w:t>
      </w:r>
    </w:p>
    <w:p>
      <w:pPr>
        <w:pStyle w:val="9"/>
        <w:shd w:val="clear"/>
        <w:outlineLvl w:val="9"/>
        <w:rPr>
          <w:rFonts w:hint="eastAsia" w:ascii="宋体" w:hAnsi="宋体" w:eastAsia="宋体" w:cs="宋体"/>
          <w:color w:val="000000" w:themeColor="text1"/>
          <w:kern w:val="0"/>
          <w:sz w:val="32"/>
          <w:szCs w:val="4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b/>
          <w:bCs/>
          <w:color w:val="000000" w:themeColor="text1"/>
          <w:kern w:val="0"/>
          <w:sz w:val="24"/>
          <w:highlight w:val="none"/>
          <w14:textFill>
            <w14:solidFill>
              <w14:schemeClr w14:val="tx1"/>
            </w14:solidFill>
          </w14:textFill>
        </w:rPr>
      </w:pPr>
    </w:p>
    <w:p>
      <w:pPr>
        <w:widowControl/>
        <w:shd w:val="clear" w:color="auto"/>
        <w:spacing w:line="460" w:lineRule="atLeast"/>
        <w:ind w:firstLine="1190"/>
        <w:jc w:val="left"/>
        <w:outlineLvl w:val="9"/>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 目 名 称：</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119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1190"/>
        <w:jc w:val="left"/>
        <w:outlineLvl w:val="9"/>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 目 编 号：</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119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482"/>
        <w:jc w:val="left"/>
        <w:outlineLvl w:val="9"/>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供应商名称 ：</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2"/>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482"/>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日      期 ：</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pPr>
        <w:pageBreakBefore/>
        <w:widowControl/>
        <w:shd w:val="clear" w:color="auto"/>
        <w:spacing w:line="460"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附件2             竞争性磋商响应书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widowControl/>
        <w:shd w:val="clear" w:color="auto"/>
        <w:spacing w:line="460" w:lineRule="atLeast"/>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（采购人）：</w:t>
      </w:r>
    </w:p>
    <w:p>
      <w:pPr>
        <w:widowControl/>
        <w:shd w:val="clear" w:color="auto"/>
        <w:spacing w:line="460" w:lineRule="atLeast"/>
        <w:ind w:firstLine="600"/>
        <w:jc w:val="left"/>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（供应商名称）现委托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）的竞争性磋商。现正式提交下述1份：</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1、初次报价一览表。</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2、技术响应表。</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3、商务响应表。</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4、证明文件。</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5、抵制商业贿赂承诺</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为便于贵方公正、择优地确定成交供应商及其提供产品和服务，我方就本次竞争性磋商有关事项郑重声明并宣布同意如下：</w:t>
      </w:r>
    </w:p>
    <w:p>
      <w:pPr>
        <w:widowControl/>
        <w:shd w:val="clear" w:color="auto"/>
        <w:spacing w:line="42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我方承诺已经具备竞争性磋商文件中规定的参加政府采购活动的供应商应当具备的条件。我方愿意向贵方提供任何与本竞争性磋商项目有关的数据、情况和技术资料，并根据需要提供一切承诺的证明材料，并保证其真实、合法、有效。</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2、我方承诺在竞争性磋商活动中提供的各种材料真实有效。</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3、我方已详细审查全部竞争性磋商文件，包括修改文件（如有的话）和有关附件，将自行承担因对全部竞争性磋商文件理解不正确或误解而产生的相应后果。</w:t>
      </w:r>
    </w:p>
    <w:p>
      <w:pPr>
        <w:widowControl/>
        <w:shd w:val="clear" w:color="auto"/>
        <w:spacing w:line="420" w:lineRule="atLeast"/>
        <w:ind w:firstLine="480" w:firstLineChars="20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、我方保证尊重磋商小组的评审结果，完全理解本采购项目最低报价不作为成交的保证。</w:t>
      </w:r>
    </w:p>
    <w:p>
      <w:pPr>
        <w:widowControl/>
        <w:shd w:val="clear" w:color="auto"/>
        <w:spacing w:line="42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、如果发生供应商人须知第24.2.1、24.2.2项所述情况，同意我方被认定为未实质性响应竞争性磋商文件。</w:t>
      </w:r>
    </w:p>
    <w:p>
      <w:pPr>
        <w:widowControl/>
        <w:shd w:val="clear" w:color="auto"/>
        <w:spacing w:line="42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、如果发生供应商人须知第24.3、31.2项所述情况，同意磋商小组认定我方的行为属于恶意串通行为，并自愿接受监管部门的处罚。</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、如果发生供应商人须知第27.2项所述情况，同意我方被认定为丧失参加磋商的资格，并承担相应的法律责任。</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14:textFill>
            <w14:solidFill>
              <w14:schemeClr w14:val="tx1"/>
            </w14:solidFill>
          </w14:textFill>
        </w:rPr>
        <w:t>、如果被确定为成交供应商，我方同意按竞争性磋商文件的规定领取成交通知书并缴纳服务费。否则，视为我方成交后自动放弃成交资格，承担由此引起的一切后果。</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highlight w:val="none"/>
          <w14:textFill>
            <w14:solidFill>
              <w14:schemeClr w14:val="tx1"/>
            </w14:solidFill>
          </w14:textFill>
        </w:rPr>
        <w:t>、如果被确定为成交供应商，我方同意在领取成交通知书之日起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日内，按照竞争性磋商文件的规定与采购人签订采购合同。否则，视为我方成交后无正当理由不与采购人签订合同并承担相应法律责任。</w:t>
      </w:r>
    </w:p>
    <w:p>
      <w:pPr>
        <w:widowControl/>
        <w:shd w:val="clear" w:color="auto"/>
        <w:spacing w:line="460" w:lineRule="atLeast"/>
        <w:ind w:firstLine="464"/>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highlight w:val="none"/>
          <w14:textFill>
            <w14:solidFill>
              <w14:schemeClr w14:val="tx1"/>
            </w14:solidFill>
          </w14:textFill>
        </w:rPr>
        <w:t>、我方最近3年内的被公开披露或查处的违法违规行为有：。</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、以上事项如有虚假或隐瞒，我方愿意承担一切后果和责任。</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、与本响应有关的一切正式往来通讯请寄：</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地址：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邮编：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电话：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传真：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84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48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pPr>
        <w:widowControl/>
        <w:shd w:val="clear" w:color="auto"/>
        <w:spacing w:line="460" w:lineRule="atLeast"/>
        <w:ind w:firstLine="4920" w:firstLineChars="205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pageBreakBefore/>
        <w:widowControl/>
        <w:shd w:val="clear" w:color="auto"/>
        <w:spacing w:line="405"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附件3             初次报价一览表</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widowControl/>
        <w:shd w:val="clear"/>
        <w:wordWrap w:val="0"/>
        <w:snapToGrid w:val="0"/>
        <w:spacing w:before="50" w:after="50" w:line="480" w:lineRule="auto"/>
        <w:jc w:val="left"/>
        <w:outlineLvl w:val="9"/>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货币单位：</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tbl>
      <w:tblPr>
        <w:tblStyle w:val="25"/>
        <w:tblpPr w:leftFromText="180" w:rightFromText="180" w:vertAnchor="text" w:horzAnchor="page" w:tblpX="1593" w:tblpY="162"/>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645"/>
        <w:gridCol w:w="5974"/>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2645"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项目名称</w:t>
            </w:r>
          </w:p>
        </w:tc>
        <w:tc>
          <w:tcPr>
            <w:tcW w:w="5974"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645" w:type="dxa"/>
            <w:tcBorders>
              <w:top w:val="single" w:color="auto" w:sz="6" w:space="0"/>
              <w:left w:val="single" w:color="auto" w:sz="6" w:space="0"/>
              <w:bottom w:val="single" w:color="auto" w:sz="4" w:space="0"/>
              <w:right w:val="single" w:color="auto" w:sz="6" w:space="0"/>
            </w:tcBorders>
            <w:vAlign w:val="center"/>
          </w:tcPr>
          <w:p>
            <w:pPr>
              <w:shd w:val="clear"/>
              <w:spacing w:line="360" w:lineRule="auto"/>
              <w:jc w:val="center"/>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p>
        </w:tc>
        <w:tc>
          <w:tcPr>
            <w:tcW w:w="5974" w:type="dxa"/>
            <w:tcBorders>
              <w:top w:val="single" w:color="auto" w:sz="6" w:space="0"/>
              <w:left w:val="single" w:color="auto" w:sz="6" w:space="0"/>
              <w:bottom w:val="single" w:color="auto" w:sz="4" w:space="0"/>
              <w:right w:val="single" w:color="auto" w:sz="6" w:space="0"/>
            </w:tcBorders>
            <w:vAlign w:val="center"/>
          </w:tcPr>
          <w:p>
            <w:pPr>
              <w:shd w:val="clear"/>
              <w:spacing w:line="440" w:lineRule="exact"/>
              <w:ind w:right="64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2645"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jc w:val="center"/>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综合折扣率</w:t>
            </w:r>
          </w:p>
        </w:tc>
        <w:tc>
          <w:tcPr>
            <w:tcW w:w="5974"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ind w:firstLine="1680" w:firstLineChars="700"/>
              <w:jc w:val="both"/>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小写：</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shd w:val="clear"/>
              <w:autoSpaceDE w:val="0"/>
              <w:autoSpaceDN w:val="0"/>
              <w:ind w:firstLine="1680" w:firstLineChars="7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大写：</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619" w:type="dxa"/>
            <w:gridSpan w:val="2"/>
            <w:tcBorders>
              <w:top w:val="single" w:color="auto" w:sz="6" w:space="0"/>
              <w:left w:val="single" w:color="auto" w:sz="6" w:space="0"/>
              <w:bottom w:val="single" w:color="auto" w:sz="6" w:space="0"/>
              <w:right w:val="single" w:color="auto" w:sz="6" w:space="0"/>
            </w:tcBorders>
            <w:vAlign w:val="center"/>
          </w:tcPr>
          <w:p>
            <w:pPr>
              <w:shd w:val="clear"/>
              <w:autoSpaceDE w:val="0"/>
              <w:autoSpaceDN w:val="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w:t>
            </w:r>
          </w:p>
        </w:tc>
      </w:tr>
    </w:tbl>
    <w:p>
      <w:pPr>
        <w:widowControl/>
        <w:shd w:val="clear" w:color="auto"/>
        <w:spacing w:before="50" w:after="50" w:line="405" w:lineRule="atLeas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before="50" w:after="50" w:line="460" w:lineRule="atLeast"/>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注: </w:t>
      </w: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1、报价一经涂改，应在涂改处加盖单位公章或供应商代表签字或盖章，否则其响应作无效响应处理。</w:t>
      </w:r>
    </w:p>
    <w:p>
      <w:pPr>
        <w:widowControl/>
        <w:shd w:val="clear" w:color="auto"/>
        <w:spacing w:before="50" w:after="50" w:line="460" w:lineRule="atLeast"/>
        <w:ind w:firstLine="480"/>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的磋商报价，包括人员工资、机械费、服务费、工装费、保险费、售后服务、税金及其他与本项目相关的费用的总和。</w:t>
      </w:r>
    </w:p>
    <w:p>
      <w:pPr>
        <w:widowControl/>
        <w:shd w:val="clear"/>
        <w:wordWrap w:val="0"/>
        <w:snapToGrid w:val="0"/>
        <w:spacing w:before="50" w:after="50" w:line="460" w:lineRule="exact"/>
        <w:ind w:firstLine="480" w:firstLineChars="200"/>
        <w:jc w:val="left"/>
        <w:outlineLvl w:val="9"/>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3、凡认为符合价格折扣条件的，在 “备注”栏内注明符合何种折扣条件。</w:t>
      </w:r>
    </w:p>
    <w:p>
      <w:pPr>
        <w:widowControl/>
        <w:shd w:val="clear" w:color="auto"/>
        <w:spacing w:before="50" w:after="50" w:line="46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4、供应商按格式填列，不得自行更改，否则引起的不利后果由供应商承担。</w:t>
      </w:r>
    </w:p>
    <w:p>
      <w:pPr>
        <w:widowControl/>
        <w:shd w:val="clear" w:color="auto"/>
        <w:spacing w:line="460" w:lineRule="atLeas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3240" w:firstLineChars="135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     </w:t>
      </w:r>
    </w:p>
    <w:p>
      <w:pPr>
        <w:widowControl/>
        <w:shd w:val="clear" w:color="auto"/>
        <w:spacing w:line="460" w:lineRule="atLeast"/>
        <w:ind w:firstLine="48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供应商：</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color="auto"/>
        <w:spacing w:line="460" w:lineRule="atLeast"/>
        <w:ind w:firstLine="4680" w:firstLineChars="1950"/>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4800"/>
        <w:jc w:val="left"/>
        <w:outlineLvl w:val="9"/>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pPr>
        <w:widowControl/>
        <w:shd w:val="clear"/>
        <w:spacing w:line="432" w:lineRule="auto"/>
        <w:jc w:val="left"/>
        <w:outlineLvl w:val="9"/>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p>
    <w:p>
      <w:pPr>
        <w:widowControl/>
        <w:shd w:val="clear"/>
        <w:spacing w:line="432" w:lineRule="auto"/>
        <w:jc w:val="left"/>
        <w:outlineLvl w:val="9"/>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p>
    <w:p>
      <w:pPr>
        <w:pStyle w:val="23"/>
        <w:shd w:val="clear"/>
        <w:ind w:firstLine="280"/>
        <w:outlineLvl w:val="9"/>
        <w:rPr>
          <w:rFonts w:hint="eastAsia" w:ascii="宋体" w:hAnsi="宋体" w:eastAsia="宋体" w:cs="宋体"/>
          <w:color w:val="000000" w:themeColor="text1"/>
          <w:highlight w:val="none"/>
          <w14:textFill>
            <w14:solidFill>
              <w14:schemeClr w14:val="tx1"/>
            </w14:solidFill>
          </w14:textFill>
        </w:rPr>
      </w:pPr>
    </w:p>
    <w:p>
      <w:pPr>
        <w:pageBreakBefore/>
        <w:widowControl/>
        <w:shd w:val="clear" w:color="auto"/>
        <w:spacing w:line="405" w:lineRule="atLeast"/>
        <w:jc w:val="left"/>
        <w:outlineLvl w:val="9"/>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附件4                  初次报价明细表</w:t>
      </w:r>
    </w:p>
    <w:p>
      <w:pPr>
        <w:pStyle w:val="9"/>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项目编号：                            包号：                                  </w:t>
      </w:r>
    </w:p>
    <w:p>
      <w:pPr>
        <w:pStyle w:val="9"/>
        <w:jc w:val="left"/>
        <w:outlineLvl w:val="9"/>
        <w:rPr>
          <w:rFonts w:hint="default"/>
          <w:lang w:val="en-US"/>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货币单位：%</w:t>
      </w:r>
    </w:p>
    <w:tbl>
      <w:tblPr>
        <w:tblStyle w:val="2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863"/>
        <w:gridCol w:w="1864"/>
        <w:gridCol w:w="186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序号</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名称</w:t>
            </w: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规格</w:t>
            </w: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数量</w:t>
            </w:r>
          </w:p>
        </w:tc>
        <w:tc>
          <w:tcPr>
            <w:tcW w:w="1864"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tc>
        <w:tc>
          <w:tcPr>
            <w:tcW w:w="186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864"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63" w:type="dxa"/>
            <w:vMerge w:val="restart"/>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综合折扣率（%）</w:t>
            </w:r>
          </w:p>
        </w:tc>
        <w:tc>
          <w:tcPr>
            <w:tcW w:w="7455" w:type="dxa"/>
            <w:gridSpan w:val="4"/>
            <w:vAlign w:val="center"/>
          </w:tcPr>
          <w:p>
            <w:pPr>
              <w:pStyle w:val="9"/>
              <w:jc w:val="left"/>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63" w:type="dxa"/>
            <w:vMerge w:val="continue"/>
            <w:vAlign w:val="center"/>
          </w:tcPr>
          <w:p>
            <w:pPr>
              <w:pStyle w:val="9"/>
              <w:jc w:val="center"/>
              <w:outlineLvl w:val="9"/>
            </w:pPr>
          </w:p>
        </w:tc>
        <w:tc>
          <w:tcPr>
            <w:tcW w:w="7455" w:type="dxa"/>
            <w:gridSpan w:val="4"/>
            <w:vAlign w:val="center"/>
          </w:tcPr>
          <w:p>
            <w:pPr>
              <w:pStyle w:val="9"/>
              <w:jc w:val="left"/>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小写：</w:t>
            </w:r>
          </w:p>
        </w:tc>
      </w:tr>
    </w:tbl>
    <w:p>
      <w:pPr>
        <w:pStyle w:val="9"/>
        <w:shd w:val="clear"/>
        <w:outlineLvl w:val="9"/>
        <w:rPr>
          <w:rFonts w:hint="eastAsia" w:ascii="宋体" w:hAnsi="宋体" w:eastAsia="宋体" w:cs="宋体"/>
          <w:color w:val="000000" w:themeColor="text1"/>
          <w:kern w:val="0"/>
          <w:highlight w:val="none"/>
          <w14:textFill>
            <w14:solidFill>
              <w14:schemeClr w14:val="tx1"/>
            </w14:solidFill>
          </w14:textFill>
        </w:rPr>
      </w:pPr>
    </w:p>
    <w:p>
      <w:pPr>
        <w:pStyle w:val="20"/>
        <w:shd w:val="clear"/>
        <w:outlineLvl w:val="9"/>
        <w:rPr>
          <w:rFonts w:hint="eastAsia" w:ascii="宋体" w:hAnsi="宋体" w:eastAsia="宋体" w:cs="宋体"/>
          <w:color w:val="000000" w:themeColor="text1"/>
          <w:kern w:val="0"/>
          <w:sz w:val="24"/>
          <w:highlight w:val="none"/>
          <w14:textFill>
            <w14:solidFill>
              <w14:schemeClr w14:val="tx1"/>
            </w14:solidFill>
          </w14:textFill>
        </w:rPr>
      </w:pPr>
    </w:p>
    <w:p>
      <w:pPr>
        <w:pStyle w:val="20"/>
        <w:shd w:val="clear"/>
        <w:outlineLvl w:val="9"/>
        <w:rPr>
          <w:rFonts w:hint="eastAsia" w:ascii="宋体" w:hAnsi="宋体" w:eastAsia="宋体" w:cs="宋体"/>
          <w:color w:val="000000" w:themeColor="text1"/>
          <w:kern w:val="0"/>
          <w:sz w:val="24"/>
          <w:highlight w:val="none"/>
          <w14:textFill>
            <w14:solidFill>
              <w14:schemeClr w14:val="tx1"/>
            </w14:solidFill>
          </w14:textFill>
        </w:rPr>
      </w:pPr>
    </w:p>
    <w:p>
      <w:pPr>
        <w:pStyle w:val="23"/>
        <w:shd w:val="clear"/>
        <w:ind w:firstLine="280"/>
        <w:outlineLvl w:val="9"/>
        <w:rPr>
          <w:rFonts w:hint="eastAsia" w:ascii="宋体" w:hAnsi="宋体" w:eastAsia="宋体" w:cs="宋体"/>
          <w:color w:val="000000" w:themeColor="text1"/>
          <w:highlight w:val="none"/>
          <w14:textFill>
            <w14:solidFill>
              <w14:schemeClr w14:val="tx1"/>
            </w14:solidFill>
          </w14:textFill>
        </w:rPr>
      </w:pPr>
    </w:p>
    <w:p>
      <w:pPr>
        <w:widowControl/>
        <w:shd w:val="clear"/>
        <w:wordWrap w:val="0"/>
        <w:spacing w:line="460" w:lineRule="exact"/>
        <w:ind w:firstLine="2760" w:firstLineChars="1150"/>
        <w:jc w:val="left"/>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wordWrap w:val="0"/>
        <w:snapToGrid w:val="0"/>
        <w:spacing w:line="460" w:lineRule="exact"/>
        <w:ind w:firstLine="2760" w:firstLineChars="1150"/>
        <w:jc w:val="left"/>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wordWrap w:val="0"/>
        <w:spacing w:line="460" w:lineRule="exact"/>
        <w:ind w:firstLine="4800" w:firstLineChars="20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pPr>
        <w:pageBreakBefore/>
        <w:widowControl/>
        <w:shd w:val="clear"/>
        <w:jc w:val="left"/>
        <w:outlineLvl w:val="9"/>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附件5                     </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服务</w:t>
      </w: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技术响应表（格式）   </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p>
    <w:p>
      <w:pPr>
        <w:pStyle w:val="9"/>
        <w:jc w:val="left"/>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项目编号：                           包号：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876"/>
        <w:gridCol w:w="1533"/>
        <w:gridCol w:w="1533"/>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88"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序号</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名称</w:t>
            </w: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磋商文件要求</w:t>
            </w:r>
          </w:p>
        </w:tc>
        <w:tc>
          <w:tcPr>
            <w:tcW w:w="1533"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响应文件响应情况</w:t>
            </w:r>
          </w:p>
        </w:tc>
        <w:tc>
          <w:tcPr>
            <w:tcW w:w="1533"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偏离情况</w:t>
            </w: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88"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88"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88"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88"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88"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88" w:type="dxa"/>
            <w:vAlign w:val="center"/>
          </w:tcPr>
          <w:p>
            <w:pPr>
              <w:pStyle w:val="9"/>
              <w:jc w:val="cente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p>
        </w:tc>
        <w:tc>
          <w:tcPr>
            <w:tcW w:w="1876"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1533" w:type="dxa"/>
            <w:vAlign w:val="center"/>
          </w:tcPr>
          <w:p>
            <w:pPr>
              <w:pStyle w:val="9"/>
              <w:jc w:val="center"/>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bl>
    <w:p>
      <w:pPr>
        <w:pStyle w:val="9"/>
        <w:shd w:val="clear"/>
        <w:outlineLvl w:val="9"/>
        <w:rPr>
          <w:rFonts w:hint="eastAsia" w:ascii="宋体" w:hAnsi="宋体" w:eastAsia="宋体" w:cs="宋体"/>
          <w:color w:val="000000" w:themeColor="text1"/>
          <w:highlight w:val="none"/>
          <w14:textFill>
            <w14:solidFill>
              <w14:schemeClr w14:val="tx1"/>
            </w14:solidFill>
          </w14:textFill>
        </w:rPr>
      </w:pPr>
    </w:p>
    <w:p>
      <w:pPr>
        <w:pStyle w:val="9"/>
        <w:shd w:val="clear"/>
        <w:outlineLvl w:val="9"/>
        <w:rPr>
          <w:rFonts w:hint="eastAsia" w:ascii="宋体" w:hAnsi="宋体" w:eastAsia="宋体" w:cs="宋体"/>
          <w:color w:val="000000" w:themeColor="text1"/>
          <w:highlight w:val="none"/>
          <w14:textFill>
            <w14:solidFill>
              <w14:schemeClr w14:val="tx1"/>
            </w14:solidFill>
          </w14:textFill>
        </w:rPr>
      </w:pPr>
    </w:p>
    <w:p>
      <w:pPr>
        <w:pStyle w:val="9"/>
        <w:shd w:val="clear"/>
        <w:outlineLvl w:val="9"/>
        <w:rPr>
          <w:rFonts w:hint="eastAsia" w:ascii="宋体" w:hAnsi="宋体" w:eastAsia="宋体" w:cs="宋体"/>
          <w:color w:val="000000" w:themeColor="text1"/>
          <w:highlight w:val="none"/>
          <w14:textFill>
            <w14:solidFill>
              <w14:schemeClr w14:val="tx1"/>
            </w14:solidFill>
          </w14:textFill>
        </w:rPr>
      </w:pPr>
    </w:p>
    <w:p>
      <w:pPr>
        <w:pStyle w:val="9"/>
        <w:shd w:val="clear"/>
        <w:outlineLvl w:val="9"/>
        <w:rPr>
          <w:rFonts w:hint="eastAsia" w:ascii="宋体" w:hAnsi="宋体" w:eastAsia="宋体" w:cs="宋体"/>
          <w:color w:val="000000" w:themeColor="text1"/>
          <w:highlight w:val="none"/>
          <w14:textFill>
            <w14:solidFill>
              <w14:schemeClr w14:val="tx1"/>
            </w14:solidFill>
          </w14:textFill>
        </w:rPr>
      </w:pPr>
    </w:p>
    <w:p>
      <w:pPr>
        <w:pStyle w:val="20"/>
        <w:shd w:val="clear"/>
        <w:outlineLvl w:val="9"/>
        <w:rPr>
          <w:rFonts w:hint="eastAsia" w:ascii="宋体" w:hAnsi="宋体" w:eastAsia="宋体" w:cs="宋体"/>
          <w:color w:val="000000" w:themeColor="text1"/>
          <w:sz w:val="24"/>
          <w:szCs w:val="24"/>
          <w:highlight w:val="none"/>
          <w14:textFill>
            <w14:solidFill>
              <w14:schemeClr w14:val="tx1"/>
            </w14:solidFill>
          </w14:textFill>
        </w:rPr>
      </w:pPr>
    </w:p>
    <w:p>
      <w:pPr>
        <w:pStyle w:val="20"/>
        <w:shd w:val="clear"/>
        <w:outlineLvl w:val="9"/>
        <w:rPr>
          <w:rFonts w:hint="eastAsia" w:ascii="宋体" w:hAnsi="宋体" w:eastAsia="宋体" w:cs="宋体"/>
          <w:color w:val="000000" w:themeColor="text1"/>
          <w:sz w:val="24"/>
          <w:szCs w:val="24"/>
          <w:highlight w:val="none"/>
          <w14:textFill>
            <w14:solidFill>
              <w14:schemeClr w14:val="tx1"/>
            </w14:solidFill>
          </w14:textFill>
        </w:rPr>
      </w:pPr>
    </w:p>
    <w:p>
      <w:pPr>
        <w:widowControl/>
        <w:shd w:val="clear"/>
        <w:wordWrap w:val="0"/>
        <w:spacing w:line="460" w:lineRule="exact"/>
        <w:ind w:firstLine="2160" w:firstLineChars="900"/>
        <w:jc w:val="left"/>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wordWrap w:val="0"/>
        <w:snapToGrid w:val="0"/>
        <w:spacing w:line="460" w:lineRule="exact"/>
        <w:ind w:firstLine="2160" w:firstLineChars="900"/>
        <w:jc w:val="left"/>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wordWrap w:val="0"/>
        <w:spacing w:line="460" w:lineRule="exact"/>
        <w:ind w:firstLine="3600" w:firstLineChars="15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pPr>
        <w:widowControl/>
        <w:shd w:val="clear"/>
        <w:wordWrap w:val="0"/>
        <w:spacing w:line="460" w:lineRule="exact"/>
        <w:ind w:firstLine="4800" w:firstLineChars="20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wordWrap w:val="0"/>
        <w:spacing w:line="460" w:lineRule="exact"/>
        <w:ind w:firstLine="4800" w:firstLineChars="20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wordWrap w:val="0"/>
        <w:spacing w:line="460" w:lineRule="exact"/>
        <w:ind w:firstLine="4800" w:firstLineChars="20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wordWrap w:val="0"/>
        <w:spacing w:line="460" w:lineRule="exact"/>
        <w:ind w:firstLine="4800" w:firstLineChars="20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pStyle w:val="23"/>
        <w:shd w:val="clear"/>
        <w:ind w:firstLine="280"/>
        <w:jc w:val="left"/>
        <w:outlineLvl w:val="9"/>
        <w:rPr>
          <w:rFonts w:hint="eastAsia" w:ascii="宋体" w:hAnsi="宋体" w:eastAsia="宋体" w:cs="宋体"/>
          <w:color w:val="000000" w:themeColor="text1"/>
          <w:highlight w:val="none"/>
          <w14:textFill>
            <w14:solidFill>
              <w14:schemeClr w14:val="tx1"/>
            </w14:solidFill>
          </w14:textFill>
        </w:rPr>
      </w:pPr>
    </w:p>
    <w:p>
      <w:pPr>
        <w:widowControl/>
        <w:shd w:val="clear"/>
        <w:wordWrap w:val="0"/>
        <w:snapToGrid w:val="0"/>
        <w:spacing w:before="50" w:line="480" w:lineRule="auto"/>
        <w:jc w:val="left"/>
        <w:outlineLvl w:val="9"/>
        <w:rPr>
          <w:rFonts w:hint="eastAsia" w:ascii="宋体" w:hAnsi="宋体" w:eastAsia="宋体" w:cs="宋体"/>
          <w:b/>
          <w:color w:val="000000" w:themeColor="text1"/>
          <w:kern w:val="0"/>
          <w:sz w:val="28"/>
          <w:szCs w:val="28"/>
          <w:highlight w:val="none"/>
          <w14:textFill>
            <w14:solidFill>
              <w14:schemeClr w14:val="tx1"/>
            </w14:solidFill>
          </w14:textFill>
        </w:rPr>
        <w:sectPr>
          <w:headerReference r:id="rId13" w:type="first"/>
          <w:footerReference r:id="rId16" w:type="first"/>
          <w:headerReference r:id="rId12" w:type="default"/>
          <w:footerReference r:id="rId14" w:type="default"/>
          <w:footerReference r:id="rId15" w:type="even"/>
          <w:pgSz w:w="11906" w:h="16838"/>
          <w:pgMar w:top="1418" w:right="1134" w:bottom="1134" w:left="1701" w:header="851" w:footer="992" w:gutter="0"/>
          <w:cols w:space="720" w:num="1"/>
          <w:titlePg/>
          <w:docGrid w:type="lines" w:linePitch="312" w:charSpace="0"/>
        </w:sectPr>
      </w:pPr>
    </w:p>
    <w:p>
      <w:pPr>
        <w:widowControl/>
        <w:shd w:val="clear"/>
        <w:wordWrap w:val="0"/>
        <w:snapToGrid w:val="0"/>
        <w:spacing w:before="50" w:line="480" w:lineRule="auto"/>
        <w:jc w:val="left"/>
        <w:outlineLvl w:val="9"/>
        <w:rPr>
          <w:rFonts w:hint="eastAsia" w:ascii="宋体" w:hAnsi="宋体" w:eastAsia="宋体" w:cs="宋体"/>
          <w:color w:val="000000" w:themeColor="text1"/>
          <w:kern w:val="0"/>
          <w:sz w:val="28"/>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附件6</w:t>
      </w:r>
      <w:r>
        <w:rPr>
          <w:rFonts w:hint="eastAsia" w:ascii="宋体" w:hAnsi="宋体" w:eastAsia="宋体" w:cs="宋体"/>
          <w:b/>
          <w:color w:val="000000" w:themeColor="text1"/>
          <w:kern w:val="0"/>
          <w:sz w:val="36"/>
          <w:szCs w:val="36"/>
          <w:highlight w:val="none"/>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14:textFill>
            <w14:solidFill>
              <w14:schemeClr w14:val="tx1"/>
            </w14:solidFill>
          </w14:textFill>
        </w:rPr>
        <w:t>商务响应表</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pStyle w:val="9"/>
        <w:shd w:val="clear"/>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项目编号：                                  包号：</w:t>
      </w:r>
    </w:p>
    <w:tbl>
      <w:tblPr>
        <w:tblStyle w:val="2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51"/>
        <w:gridCol w:w="2265"/>
        <w:gridCol w:w="2190"/>
        <w:gridCol w:w="2082"/>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051" w:type="dxa"/>
            <w:shd w:val="clear" w:color="auto" w:fill="auto"/>
            <w:tcMar>
              <w:top w:w="0" w:type="dxa"/>
              <w:left w:w="108" w:type="dxa"/>
              <w:bottom w:w="0" w:type="dxa"/>
              <w:right w:w="108" w:type="dxa"/>
            </w:tcMar>
            <w:vAlign w:val="center"/>
          </w:tcPr>
          <w:p>
            <w:pPr>
              <w:widowControl/>
              <w:shd w:val="clear"/>
              <w:spacing w:line="270" w:lineRule="atLeast"/>
              <w:jc w:val="center"/>
              <w:outlineLvl w:val="9"/>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序号</w:t>
            </w:r>
          </w:p>
        </w:tc>
        <w:tc>
          <w:tcPr>
            <w:tcW w:w="2265" w:type="dxa"/>
            <w:shd w:val="clear" w:color="auto" w:fill="auto"/>
            <w:tcMar>
              <w:top w:w="0" w:type="dxa"/>
              <w:left w:w="108" w:type="dxa"/>
              <w:bottom w:w="0" w:type="dxa"/>
              <w:right w:w="108" w:type="dxa"/>
            </w:tcMar>
            <w:vAlign w:val="center"/>
          </w:tcPr>
          <w:p>
            <w:pPr>
              <w:widowControl/>
              <w:shd w:val="clear"/>
              <w:spacing w:line="270" w:lineRule="atLeast"/>
              <w:jc w:val="center"/>
              <w:outlineLvl w:val="9"/>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名称</w:t>
            </w:r>
          </w:p>
        </w:tc>
        <w:tc>
          <w:tcPr>
            <w:tcW w:w="2190" w:type="dxa"/>
            <w:shd w:val="clear" w:color="auto" w:fill="auto"/>
            <w:vAlign w:val="center"/>
          </w:tcPr>
          <w:p>
            <w:pPr>
              <w:widowControl/>
              <w:shd w:val="clear"/>
              <w:spacing w:before="156" w:line="270" w:lineRule="atLeast"/>
              <w:ind w:firstLine="240" w:firstLineChars="100"/>
              <w:jc w:val="center"/>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磋商文件要求</w:t>
            </w:r>
          </w:p>
        </w:tc>
        <w:tc>
          <w:tcPr>
            <w:tcW w:w="2082" w:type="dxa"/>
            <w:shd w:val="clear" w:color="auto" w:fill="auto"/>
            <w:vAlign w:val="center"/>
          </w:tcPr>
          <w:p>
            <w:pPr>
              <w:widowControl/>
              <w:shd w:val="clear"/>
              <w:spacing w:before="156" w:line="270" w:lineRule="atLeast"/>
              <w:ind w:firstLine="240" w:firstLineChars="100"/>
              <w:jc w:val="center"/>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响应文件响应情况</w:t>
            </w:r>
          </w:p>
        </w:tc>
        <w:tc>
          <w:tcPr>
            <w:tcW w:w="2000" w:type="dxa"/>
            <w:shd w:val="clear" w:color="auto" w:fill="auto"/>
            <w:vAlign w:val="center"/>
          </w:tcPr>
          <w:p>
            <w:pPr>
              <w:widowControl/>
              <w:shd w:val="clear"/>
              <w:spacing w:before="156" w:line="270" w:lineRule="atLeast"/>
              <w:jc w:val="center"/>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4" w:hRule="atLeast"/>
          <w:jc w:val="center"/>
        </w:trPr>
        <w:tc>
          <w:tcPr>
            <w:tcW w:w="1051"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265"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tc>
        <w:tc>
          <w:tcPr>
            <w:tcW w:w="2190" w:type="dxa"/>
            <w:shd w:val="clear" w:color="auto" w:fill="auto"/>
          </w:tcPr>
          <w:p>
            <w:pPr>
              <w:widowControl/>
              <w:shd w:val="clear"/>
              <w:spacing w:line="270" w:lineRule="atLeast"/>
              <w:outlineLvl w:val="9"/>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9" w:hRule="atLeast"/>
          <w:jc w:val="center"/>
        </w:trPr>
        <w:tc>
          <w:tcPr>
            <w:tcW w:w="1051"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265"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tc>
        <w:tc>
          <w:tcPr>
            <w:tcW w:w="2190" w:type="dxa"/>
            <w:shd w:val="clear" w:color="auto" w:fill="auto"/>
          </w:tcPr>
          <w:p>
            <w:pPr>
              <w:widowControl/>
              <w:shd w:val="clear"/>
              <w:spacing w:line="270" w:lineRule="atLeast"/>
              <w:outlineLvl w:val="9"/>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3" w:hRule="atLeast"/>
          <w:jc w:val="center"/>
        </w:trPr>
        <w:tc>
          <w:tcPr>
            <w:tcW w:w="1051"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265"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tc>
        <w:tc>
          <w:tcPr>
            <w:tcW w:w="2190" w:type="dxa"/>
            <w:shd w:val="clear" w:color="auto" w:fill="auto"/>
          </w:tcPr>
          <w:p>
            <w:pPr>
              <w:widowControl/>
              <w:shd w:val="clear"/>
              <w:spacing w:line="270" w:lineRule="atLeast"/>
              <w:outlineLvl w:val="9"/>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051"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265"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tc>
        <w:tc>
          <w:tcPr>
            <w:tcW w:w="2190" w:type="dxa"/>
            <w:shd w:val="clear" w:color="auto" w:fill="auto"/>
          </w:tcPr>
          <w:p>
            <w:pPr>
              <w:widowControl/>
              <w:shd w:val="clear"/>
              <w:spacing w:line="270" w:lineRule="atLeast"/>
              <w:outlineLvl w:val="9"/>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051"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265" w:type="dxa"/>
            <w:shd w:val="clear" w:color="auto" w:fill="auto"/>
            <w:tcMar>
              <w:top w:w="0" w:type="dxa"/>
              <w:left w:w="108" w:type="dxa"/>
              <w:bottom w:w="0" w:type="dxa"/>
              <w:right w:w="108" w:type="dxa"/>
            </w:tcMar>
            <w:vAlign w:val="center"/>
          </w:tcPr>
          <w:p>
            <w:pPr>
              <w:shd w:val="clear"/>
              <w:spacing w:line="360" w:lineRule="auto"/>
              <w:jc w:val="center"/>
              <w:outlineLvl w:val="9"/>
              <w:rPr>
                <w:rFonts w:hint="eastAsia" w:ascii="宋体" w:hAnsi="宋体" w:eastAsia="宋体" w:cs="宋体"/>
                <w:color w:val="000000" w:themeColor="text1"/>
                <w:sz w:val="24"/>
                <w:highlight w:val="none"/>
                <w14:textFill>
                  <w14:solidFill>
                    <w14:schemeClr w14:val="tx1"/>
                  </w14:solidFill>
                </w14:textFill>
              </w:rPr>
            </w:pPr>
          </w:p>
        </w:tc>
        <w:tc>
          <w:tcPr>
            <w:tcW w:w="2190" w:type="dxa"/>
            <w:shd w:val="clear" w:color="auto" w:fill="auto"/>
          </w:tcPr>
          <w:p>
            <w:pPr>
              <w:widowControl/>
              <w:shd w:val="clear"/>
              <w:spacing w:line="270" w:lineRule="atLeast"/>
              <w:outlineLvl w:val="9"/>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pPr>
              <w:widowControl/>
              <w:shd w:val="clear"/>
              <w:spacing w:line="270" w:lineRule="atLeast"/>
              <w:outlineLvl w:val="9"/>
              <w:rPr>
                <w:rFonts w:hint="eastAsia" w:ascii="宋体" w:hAnsi="宋体" w:eastAsia="宋体" w:cs="宋体"/>
                <w:color w:val="000000" w:themeColor="text1"/>
                <w:kern w:val="0"/>
                <w:sz w:val="28"/>
                <w:szCs w:val="28"/>
                <w:highlight w:val="none"/>
                <w14:textFill>
                  <w14:solidFill>
                    <w14:schemeClr w14:val="tx1"/>
                  </w14:solidFill>
                </w14:textFill>
              </w:rPr>
            </w:pPr>
          </w:p>
        </w:tc>
      </w:tr>
    </w:tbl>
    <w:p>
      <w:pPr>
        <w:widowControl/>
        <w:shd w:val="clear" w:color="auto"/>
        <w:spacing w:before="50" w:line="405" w:lineRule="atLeast"/>
        <w:jc w:val="left"/>
        <w:outlineLvl w:val="9"/>
        <w:rPr>
          <w:rFonts w:hint="eastAsia" w:ascii="宋体" w:hAnsi="宋体" w:eastAsia="宋体" w:cs="宋体"/>
          <w:color w:val="000000" w:themeColor="text1"/>
          <w:kern w:val="0"/>
          <w:sz w:val="24"/>
          <w:highlight w:val="none"/>
          <w:u w:val="single"/>
          <w14:textFill>
            <w14:solidFill>
              <w14:schemeClr w14:val="tx1"/>
            </w14:solidFill>
          </w14:textFill>
        </w:rPr>
      </w:pPr>
    </w:p>
    <w:p>
      <w:pPr>
        <w:widowControl/>
        <w:shd w:val="clear" w:color="auto"/>
        <w:spacing w:line="460"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960" w:firstLineChars="400"/>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   </w:t>
      </w:r>
    </w:p>
    <w:p>
      <w:pPr>
        <w:widowControl/>
        <w:shd w:val="clear"/>
        <w:wordWrap w:val="0"/>
        <w:spacing w:line="460" w:lineRule="exact"/>
        <w:ind w:firstLine="2160" w:firstLineChars="9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pPr>
        <w:widowControl/>
        <w:shd w:val="clear" w:color="auto"/>
        <w:spacing w:line="460" w:lineRule="atLeast"/>
        <w:jc w:val="righ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4920" w:firstLineChars="2050"/>
        <w:jc w:val="right"/>
        <w:outlineLvl w:val="9"/>
        <w:rPr>
          <w:rFonts w:hint="eastAsia" w:ascii="宋体" w:hAnsi="宋体" w:eastAsia="宋体" w:cs="宋体"/>
          <w:color w:val="000000" w:themeColor="text1"/>
          <w:kern w:val="0"/>
          <w:sz w:val="24"/>
          <w:highlight w:val="none"/>
          <w14:textFill>
            <w14:solidFill>
              <w14:schemeClr w14:val="tx1"/>
            </w14:solidFill>
          </w14:textFill>
        </w:rPr>
      </w:pPr>
    </w:p>
    <w:p>
      <w:pPr>
        <w:pageBreakBefore/>
        <w:widowControl/>
        <w:shd w:val="clear" w:color="auto"/>
        <w:spacing w:line="460"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附件7                  法定代表人身份证明</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经营期限：</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姓名：____，性别：____，年龄：____，职务：____系</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（供应商名称）的法定代表人。</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特此证明。</w:t>
      </w:r>
    </w:p>
    <w:p>
      <w:pPr>
        <w:widowControl/>
        <w:shd w:val="clear" w:color="auto"/>
        <w:spacing w:line="460" w:lineRule="atLeast"/>
        <w:ind w:firstLine="480" w:firstLineChars="200"/>
        <w:jc w:val="left"/>
        <w:outlineLvl w:val="9"/>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附法定代表人</w:t>
      </w:r>
      <w:r>
        <w:rPr>
          <w:rFonts w:hint="eastAsia" w:ascii="宋体" w:hAnsi="宋体" w:eastAsia="宋体" w:cs="宋体"/>
          <w:color w:val="000000" w:themeColor="text1"/>
          <w:kern w:val="0"/>
          <w:sz w:val="24"/>
          <w:highlight w:val="none"/>
          <w14:textFill>
            <w14:solidFill>
              <w14:schemeClr w14:val="tx1"/>
            </w14:solidFill>
          </w14:textFill>
        </w:rPr>
        <w:t>身份证复印件</w:t>
      </w: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76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3840" w:firstLineChars="16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pPr>
        <w:pageBreakBefore/>
        <w:widowControl/>
        <w:shd w:val="clear" w:color="auto"/>
        <w:spacing w:line="460" w:lineRule="atLeast"/>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附件8                  法定代表人授权书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widowControl/>
        <w:shd w:val="clear" w:color="auto"/>
        <w:spacing w:line="460" w:lineRule="atLeast"/>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（采购人）</w:t>
      </w:r>
      <w:r>
        <w:rPr>
          <w:rFonts w:hint="eastAsia"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我______（姓名）系</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（供应商名称）的法定代表人，现委托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项目（项目编号：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）的竞争性磋商活动，并代表我方全权办理针对上述项目的响应性文件递交、参加磋商、签约等具体事务和签署相关文件。</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法定代表人签名：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职务：</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附</w:t>
      </w:r>
      <w:r>
        <w:rPr>
          <w:rFonts w:hint="eastAsia" w:ascii="宋体" w:hAnsi="宋体" w:eastAsia="宋体" w:cs="宋体"/>
          <w:color w:val="000000" w:themeColor="text1"/>
          <w:kern w:val="0"/>
          <w:sz w:val="24"/>
          <w:highlight w:val="none"/>
          <w14:textFill>
            <w14:solidFill>
              <w14:schemeClr w14:val="tx1"/>
            </w14:solidFill>
          </w14:textFill>
        </w:rPr>
        <w:t xml:space="preserve">委托代理人身份证复印件               </w:t>
      </w:r>
    </w:p>
    <w:p>
      <w:pPr>
        <w:widowControl/>
        <w:shd w:val="clear" w:color="auto"/>
        <w:spacing w:line="460" w:lineRule="atLeast"/>
        <w:ind w:firstLine="24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400"/>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widowControl/>
        <w:shd w:val="clear" w:color="auto"/>
        <w:spacing w:line="460" w:lineRule="atLeast"/>
        <w:ind w:firstLine="24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color="auto"/>
        <w:spacing w:line="460" w:lineRule="atLeast"/>
        <w:ind w:firstLine="48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color="auto"/>
        <w:spacing w:line="460" w:lineRule="atLeast"/>
        <w:ind w:firstLine="3360" w:firstLineChars="14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pPr>
        <w:pageBreakBefore/>
        <w:widowControl/>
        <w:shd w:val="clear" w:color="auto"/>
        <w:spacing w:line="432" w:lineRule="auto"/>
        <w:jc w:val="lef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附件9  </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32"/>
          <w:szCs w:val="32"/>
          <w:highlight w:val="non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证明文件</w:t>
      </w:r>
    </w:p>
    <w:p>
      <w:pPr>
        <w:widowControl/>
        <w:shd w:val="clear"/>
        <w:wordWrap w:val="0"/>
        <w:spacing w:line="360" w:lineRule="auto"/>
        <w:jc w:val="center"/>
        <w:outlineLvl w:val="9"/>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9.1</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驻马店市政府采购供应商信用承诺函</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致（采购人或政府采购代理机构）：</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单位名称（自然人姓名）：       </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统一社会信用代码（身份证号码）：    </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法定代表人（负责人）：        </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联系地址和电话：   </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（一）具有独立承担民事责任的能力；</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（二）具有良好的商业信誉和健全的财务会计制度；</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（三）具有履行合同所必需的设备和专业技术能力；</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（四）有依法缴纳税收和社会保障资金的良好记录；</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（五）参加政府采购活动前三年内，在经营活动中没有重大违法记录；</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（七）符合法律、行政法规规定的其他条件。</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供应商名称（盖章）：</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法定代表人、负责人、自然人或授权代表(签字)：</w:t>
      </w:r>
    </w:p>
    <w:p>
      <w:pPr>
        <w:widowControl/>
        <w:shd w:val="clear" w:color="auto"/>
        <w:spacing w:line="460" w:lineRule="atLeast"/>
        <w:ind w:firstLine="482"/>
        <w:outlineLvl w:val="9"/>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日期：  年   月  日</w:t>
      </w:r>
    </w:p>
    <w:p>
      <w:pPr>
        <w:widowControl/>
        <w:shd w:val="clear"/>
        <w:wordWrap w:val="0"/>
        <w:spacing w:line="360" w:lineRule="auto"/>
        <w:jc w:val="left"/>
        <w:outlineLvl w:val="9"/>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pPr>
        <w:shd w:val="clear"/>
        <w:spacing w:line="360" w:lineRule="auto"/>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2.供应商的法定代表人或者授权代表的签字或盖章应真实、有效，如由授权代表签字或盖章的，应提供“法定代表人授权书”。</w:t>
      </w:r>
    </w:p>
    <w:p>
      <w:pPr>
        <w:widowControl/>
        <w:shd w:val="clear" w:color="auto"/>
        <w:spacing w:line="360" w:lineRule="auto"/>
        <w:ind w:firstLine="482"/>
        <w:jc w:val="left"/>
        <w:outlineLvl w:val="9"/>
        <w:rPr>
          <w:rFonts w:hint="eastAsia" w:ascii="宋体" w:hAnsi="宋体" w:eastAsia="宋体" w:cs="宋体"/>
          <w:color w:val="000000" w:themeColor="text1"/>
          <w:kern w:val="0"/>
          <w:sz w:val="24"/>
          <w:highlight w:val="none"/>
          <w14:textFill>
            <w14:solidFill>
              <w14:schemeClr w14:val="tx1"/>
            </w14:solidFill>
          </w14:textFill>
        </w:rPr>
      </w:pPr>
    </w:p>
    <w:p>
      <w:pPr>
        <w:pStyle w:val="23"/>
        <w:shd w:val="clear"/>
        <w:ind w:firstLine="240"/>
        <w:outlineLvl w:val="9"/>
        <w:rPr>
          <w:rFonts w:hint="eastAsia" w:ascii="宋体" w:hAnsi="宋体" w:eastAsia="宋体" w:cs="宋体"/>
          <w:color w:val="000000" w:themeColor="text1"/>
          <w:kern w:val="0"/>
          <w:sz w:val="24"/>
          <w:highlight w:val="none"/>
          <w14:textFill>
            <w14:solidFill>
              <w14:schemeClr w14:val="tx1"/>
            </w14:solidFill>
          </w14:textFill>
        </w:rPr>
      </w:pPr>
    </w:p>
    <w:p>
      <w:pPr>
        <w:pStyle w:val="23"/>
        <w:shd w:val="clear"/>
        <w:ind w:left="0" w:leftChars="0" w:firstLine="0" w:firstLineChars="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9.2</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磋商办法</w:t>
      </w:r>
      <w:r>
        <w:rPr>
          <w:rFonts w:hint="eastAsia" w:ascii="宋体" w:hAnsi="宋体" w:eastAsia="宋体" w:cs="宋体"/>
          <w:b/>
          <w:bCs/>
          <w:color w:val="000000" w:themeColor="text1"/>
          <w:kern w:val="0"/>
          <w:sz w:val="24"/>
          <w:szCs w:val="24"/>
          <w:highlight w:val="none"/>
          <w14:textFill>
            <w14:solidFill>
              <w14:schemeClr w14:val="tx1"/>
            </w14:solidFill>
          </w14:textFill>
        </w:rPr>
        <w:t>中需要提供的证明材料</w:t>
      </w:r>
    </w:p>
    <w:p>
      <w:pPr>
        <w:jc w:val="center"/>
        <w:outlineLvl w:val="9"/>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9.2.1技术部分</w:t>
      </w:r>
    </w:p>
    <w:p>
      <w:pPr>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9.2.2商务部分</w:t>
      </w:r>
    </w:p>
    <w:p>
      <w:pPr>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 xml:space="preserve">      9.2.3资信及其他部分</w:t>
      </w:r>
    </w:p>
    <w:p>
      <w:pPr>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br w:type="page"/>
      </w:r>
    </w:p>
    <w:p>
      <w:pPr>
        <w:widowControl/>
        <w:shd w:val="clear" w:color="auto" w:fill="auto"/>
        <w:snapToGrid w:val="0"/>
        <w:spacing w:line="4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000000" w:themeColor="text1"/>
          <w:kern w:val="0"/>
          <w:sz w:val="24"/>
          <w:szCs w:val="24"/>
          <w:highlight w:val="none"/>
          <w14:textFill>
            <w14:solidFill>
              <w14:schemeClr w14:val="tx1"/>
            </w14:solidFill>
          </w14:textFill>
        </w:rPr>
        <w:t xml:space="preserve">9.3                </w:t>
      </w:r>
      <w:r>
        <w:rPr>
          <w:rFonts w:hint="eastAsia" w:ascii="宋体" w:hAnsi="宋体" w:eastAsia="宋体" w:cs="宋体"/>
          <w:b/>
          <w:color w:val="auto"/>
          <w:kern w:val="0"/>
          <w:sz w:val="24"/>
          <w:szCs w:val="24"/>
          <w:highlight w:val="none"/>
        </w:rPr>
        <w:t>中小企业声明函（货物）</w:t>
      </w:r>
    </w:p>
    <w:p>
      <w:pPr>
        <w:shd w:val="clear" w:color="auto" w:fill="auto"/>
        <w:spacing w:line="480" w:lineRule="exact"/>
        <w:ind w:firstLine="600" w:firstLineChars="2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（联合体）参加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（单位名称）的</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（项目名称）采购活动，提供的货物全部由符合政策要求的中小企业制造。相关企业（含联合体中的中小企业、签订分包意向协议的中小企业）的具体情况如下：</w:t>
      </w:r>
    </w:p>
    <w:p>
      <w:pPr>
        <w:numPr>
          <w:ilvl w:val="0"/>
          <w:numId w:val="7"/>
        </w:numPr>
        <w:shd w:val="clear" w:color="auto" w:fill="auto"/>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（标的名称），属于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（采购文件中明确的所属行业）行业 ；制造商为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（企业名称），从业人员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（中型企业、小型企业、微型企业）；</w:t>
      </w:r>
    </w:p>
    <w:p>
      <w:pPr>
        <w:shd w:val="clear" w:color="auto" w:fill="auto"/>
        <w:spacing w:line="480" w:lineRule="exact"/>
        <w:ind w:firstLine="240" w:firstLine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（标的名称），属于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（采购文件中明确的所属行业）行业；制造商为</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（企业名称），从业人员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（中型企业、小型企业、微型企业）；</w:t>
      </w:r>
    </w:p>
    <w:p>
      <w:pPr>
        <w:shd w:val="clear" w:color="auto" w:fill="auto"/>
        <w:spacing w:line="480" w:lineRule="exact"/>
        <w:ind w:firstLine="240" w:firstLine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pPr>
        <w:shd w:val="clear" w:color="auto" w:fill="auto"/>
        <w:spacing w:line="480" w:lineRule="exact"/>
        <w:ind w:firstLine="240" w:firstLine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shd w:val="clear" w:color="auto" w:fill="auto"/>
        <w:spacing w:line="480" w:lineRule="exact"/>
        <w:rPr>
          <w:rFonts w:hint="eastAsia" w:ascii="宋体" w:hAnsi="宋体" w:eastAsia="宋体" w:cs="宋体"/>
          <w:kern w:val="0"/>
          <w:sz w:val="24"/>
          <w:szCs w:val="24"/>
          <w:highlight w:val="none"/>
        </w:rPr>
      </w:pPr>
    </w:p>
    <w:p>
      <w:pPr>
        <w:shd w:val="clear" w:color="auto" w:fill="auto"/>
        <w:spacing w:line="48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企业名称（盖章）：</w:t>
      </w:r>
    </w:p>
    <w:p>
      <w:pPr>
        <w:shd w:val="clear" w:color="auto" w:fill="auto"/>
        <w:spacing w:line="48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p>
    <w:p>
      <w:pPr>
        <w:shd w:val="clear"/>
        <w:spacing w:after="570" w:line="360" w:lineRule="auto"/>
        <w:outlineLvl w:val="9"/>
        <w:rPr>
          <w:rFonts w:hint="eastAsia" w:ascii="宋体" w:hAnsi="宋体" w:eastAsia="宋体" w:cs="宋体"/>
          <w:color w:val="000000" w:themeColor="text1"/>
          <w:sz w:val="24"/>
          <w:highlight w:val="none"/>
          <w14:textFill>
            <w14:solidFill>
              <w14:schemeClr w14:val="tx1"/>
            </w14:solidFill>
          </w14:textFill>
        </w:rPr>
      </w:pPr>
    </w:p>
    <w:p>
      <w:pPr>
        <w:pStyle w:val="23"/>
        <w:shd w:val="clear"/>
        <w:ind w:firstLine="280"/>
        <w:outlineLvl w:val="9"/>
        <w:rPr>
          <w:rFonts w:hint="eastAsia" w:ascii="宋体" w:hAnsi="宋体" w:eastAsia="宋体" w:cs="宋体"/>
          <w:color w:val="000000" w:themeColor="text1"/>
          <w:highlight w:val="none"/>
          <w14:textFill>
            <w14:solidFill>
              <w14:schemeClr w14:val="tx1"/>
            </w14:solidFill>
          </w14:textFill>
        </w:rPr>
      </w:pPr>
    </w:p>
    <w:p>
      <w:pPr>
        <w:pStyle w:val="24"/>
        <w:shd w:val="clear"/>
        <w:ind w:left="420" w:firstLine="480"/>
        <w:outlineLvl w:val="9"/>
        <w:rPr>
          <w:rFonts w:hint="eastAsia" w:ascii="宋体" w:hAnsi="宋体" w:eastAsia="宋体" w:cs="宋体"/>
          <w:color w:val="000000" w:themeColor="text1"/>
          <w:highlight w:val="none"/>
          <w14:textFill>
            <w14:solidFill>
              <w14:schemeClr w14:val="tx1"/>
            </w14:solidFill>
          </w14:textFill>
        </w:rPr>
      </w:pPr>
    </w:p>
    <w:p>
      <w:pPr>
        <w:outlineLvl w:val="9"/>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br w:type="page"/>
      </w:r>
    </w:p>
    <w:p>
      <w:pPr>
        <w:widowControl/>
        <w:shd w:val="clear"/>
        <w:wordWrap w:val="0"/>
        <w:snapToGrid w:val="0"/>
        <w:spacing w:line="460" w:lineRule="exact"/>
        <w:outlineLvl w:val="9"/>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附件10      </w:t>
      </w:r>
      <w:r>
        <w:rPr>
          <w:rFonts w:hint="eastAsia" w:ascii="宋体" w:hAnsi="宋体" w:eastAsia="宋体" w:cs="宋体"/>
          <w:b/>
          <w:color w:val="000000" w:themeColor="text1"/>
          <w:kern w:val="0"/>
          <w:sz w:val="28"/>
          <w:szCs w:val="28"/>
          <w:highlight w:val="none"/>
          <w14:textFill>
            <w14:solidFill>
              <w14:schemeClr w14:val="tx1"/>
            </w14:solidFill>
          </w14:textFill>
        </w:rPr>
        <w:t>供应商自觉抵制采购领域商业贿赂行为承诺书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pPr>
        <w:widowControl/>
        <w:shd w:val="clear"/>
        <w:wordWrap w:val="0"/>
        <w:spacing w:line="360" w:lineRule="auto"/>
        <w:ind w:firstLine="2951" w:firstLineChars="1225"/>
        <w:jc w:val="left"/>
        <w:outlineLvl w:val="9"/>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 xml:space="preserve"> </w:t>
      </w:r>
    </w:p>
    <w:p>
      <w:pPr>
        <w:widowControl/>
        <w:shd w:val="clear"/>
        <w:wordWrap w:val="0"/>
        <w:spacing w:line="360" w:lineRule="auto"/>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（采购人名称）</w:t>
      </w:r>
      <w:r>
        <w:rPr>
          <w:rFonts w:hint="eastAsia"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进一步规范政府采购行为，营造公平竞争的政府采购市场环境，维护政府采购制度良好声誉，在参与贵单位组织的招标活动中，我方庄重承诺：</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一、依法参与招标活动，遵纪守法，诚信经营，公平竞争。</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二、不向采购人、采购代理机构和评审专家提供任何形式的商业贿赂，对索取或接受商业贿赂的单位和个人，及时向财政部门和纪检监察机关举报。</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三、不以提供虚假资质文件等形式参与招标活动，不以虚假材料谋取中标。</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四、不采取不正当手段诋毁、排挤其它供应商，与其它参与招标活动的供应商保持良性的竞争关系。</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五、不与采购人、采购代理机构和评审专家恶意串通，自觉维护政府采购公平竞争的市场秩序。</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六、不与其它供应商串通采取围标、陪标等商业欺诈手段谋取中标，积极维护国家利益、社会公共利益和采购人的合法权益。</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七、严格履行政府采购合同约定义务，不在政府采购合同执行过程中采取降低质量或标准、减少数量、拖延交付时间等方式损害采购人的利益，并自觉承担违约责任。</w:t>
      </w:r>
    </w:p>
    <w:p>
      <w:pPr>
        <w:widowControl/>
        <w:shd w:val="clear"/>
        <w:wordWrap w:val="0"/>
        <w:spacing w:line="360" w:lineRule="auto"/>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八、自觉接受并积极配合相关监督部门实施的监督检查，如实反映情况，及时提供有关证明材料。</w:t>
      </w:r>
    </w:p>
    <w:p>
      <w:pPr>
        <w:widowControl/>
        <w:shd w:val="clear"/>
        <w:wordWrap w:val="0"/>
        <w:spacing w:line="240" w:lineRule="exact"/>
        <w:ind w:firstLine="240" w:firstLineChars="1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wordWrap w:val="0"/>
        <w:spacing w:line="460" w:lineRule="exact"/>
        <w:ind w:firstLine="2400" w:firstLineChars="1000"/>
        <w:jc w:val="left"/>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hd w:val="clear"/>
        <w:wordWrap w:val="0"/>
        <w:spacing w:line="460" w:lineRule="exact"/>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widowControl/>
        <w:shd w:val="clear"/>
        <w:wordWrap w:val="0"/>
        <w:spacing w:line="460" w:lineRule="exact"/>
        <w:ind w:firstLine="480" w:firstLineChars="20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pPr>
        <w:widowControl/>
        <w:shd w:val="clear"/>
        <w:wordWrap w:val="0"/>
        <w:spacing w:line="460" w:lineRule="exact"/>
        <w:ind w:firstLine="4920" w:firstLineChars="2050"/>
        <w:jc w:val="left"/>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pPr>
        <w:shd w:val="clear"/>
        <w:spacing w:line="360" w:lineRule="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br w:type="page"/>
      </w:r>
    </w:p>
    <w:p>
      <w:pPr>
        <w:widowControl/>
        <w:shd w:val="clear"/>
        <w:wordWrap w:val="0"/>
        <w:snapToGrid w:val="0"/>
        <w:spacing w:line="460" w:lineRule="exact"/>
        <w:jc w:val="center"/>
        <w:outlineLvl w:val="9"/>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附件11 </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供应商认为有必要提供的其他资料</w:t>
      </w:r>
    </w:p>
    <w:p>
      <w:pPr>
        <w:widowControl/>
        <w:shd w:val="clear" w:color="auto"/>
        <w:spacing w:line="460" w:lineRule="atLeast"/>
        <w:ind w:firstLine="472"/>
        <w:jc w:val="left"/>
        <w:outlineLvl w:val="9"/>
        <w:rPr>
          <w:rFonts w:hint="eastAsia" w:ascii="宋体" w:hAnsi="宋体" w:eastAsia="宋体" w:cs="宋体"/>
          <w:color w:val="000000" w:themeColor="text1"/>
          <w:sz w:val="24"/>
          <w:highlight w:val="none"/>
          <w14:textFill>
            <w14:solidFill>
              <w14:schemeClr w14:val="tx1"/>
            </w14:solidFill>
          </w14:textFill>
        </w:rPr>
      </w:pPr>
    </w:p>
    <w:p>
      <w:pPr>
        <w:widowControl/>
        <w:shd w:val="clear" w:color="auto"/>
        <w:spacing w:line="460" w:lineRule="atLeast"/>
        <w:ind w:firstLine="472"/>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hd w:val="clear"/>
        <w:spacing w:line="460" w:lineRule="atLeast"/>
        <w:jc w:val="left"/>
        <w:outlineLvl w:val="9"/>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pPr>
        <w:widowControl/>
        <w:shd w:val="clear"/>
        <w:spacing w:line="460" w:lineRule="atLeast"/>
        <w:jc w:val="left"/>
        <w:outlineLvl w:val="9"/>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pPr>
        <w:pStyle w:val="127"/>
        <w:shd w:val="clear"/>
        <w:spacing w:line="360" w:lineRule="auto"/>
        <w:ind w:left="0" w:firstLine="2168" w:firstLineChars="900"/>
        <w:outlineLvl w:val="9"/>
        <w:rPr>
          <w:rFonts w:hint="eastAsia" w:ascii="宋体" w:hAnsi="宋体" w:eastAsia="宋体" w:cs="宋体"/>
          <w:b/>
          <w:color w:val="000000" w:themeColor="text1"/>
          <w:sz w:val="24"/>
          <w:highlight w:val="none"/>
          <w14:textFill>
            <w14:solidFill>
              <w14:schemeClr w14:val="tx1"/>
            </w14:solidFill>
          </w14:textFill>
        </w:rPr>
      </w:pPr>
    </w:p>
    <w:p>
      <w:pPr>
        <w:shd w:val="clear"/>
        <w:outlineLvl w:val="9"/>
        <w:rPr>
          <w:rFonts w:hint="eastAsia" w:ascii="宋体" w:hAnsi="宋体" w:eastAsia="宋体" w:cs="宋体"/>
          <w:color w:val="000000" w:themeColor="text1"/>
          <w:highlight w:val="none"/>
          <w14:textFill>
            <w14:solidFill>
              <w14:schemeClr w14:val="tx1"/>
            </w14:solidFill>
          </w14:textFill>
        </w:rPr>
      </w:pPr>
    </w:p>
    <w:sectPr>
      <w:pgSz w:w="11906" w:h="16838"/>
      <w:pgMar w:top="1418" w:right="1134" w:bottom="1134"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oUFn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q7eUWGZw4qefP06/&#10;/px+fyfoQ4F6DzXmPXrMjMMHN+DazH5AZ+I9yGDSFxkRjKO8x7O8YoiEp0fVsqpKDHGMzRfEL56e&#10;+wDxXjhDktHQgPPLsrLDR4hj6pySqll3p7TOM9SW9Ih6Xb2/zi/OIUTXFoskFmO3yYrDdpiobV17&#10;RGY9LkFDLe48JfrBosZpX2YjzMZ2MlJ58Lf7iC3kzhLqCDUVw4llbtN2pZX4956znv6o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g+hQWcwBAACZAwAADgAAAAAAAAABACAAAAAiAQAAZHJz&#10;L2Uyb0RvYy54bWxQSwUGAAAAAAYABgBZAQAAYAU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jvF17MwBAACZAwAADgAAAAAAAAABACAAAAAiAQAAZHJz&#10;L2Uyb0RvYy54bWxQSwUGAAAAAAYABgBZAQAAYA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ybFHMAQAAm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1ZISywxO/PT71+nP&#10;v9PfnwR9KFDvoca8e4+ZcfjkBlyb2Q/oTLwHGUz6IiOCcZT3eJZXDJHw9KhaVlWJIY6x+YL4xeNz&#10;HyB+Fs6QZDQ04PyyrOzwFeKYOqekatbdKq3zDLUlPaJeVleX+cU5hOjaYpHEYuw2WXHYDhO1rWuP&#10;yKzHJWioxZ2nRH+xqHHal9kIs7GdjFQe/M0+Ygu5s4Q6Qk3FcGKZ27RdaSWe3nPW4x+1/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L7JsUcwBAACZAwAADgAAAAAAAAABACAAAAAiAQAAZHJz&#10;L2Uyb0RvYy54bWxQSwUGAAAAAAYABgBZAQAAYAU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28</w:t>
    </w:r>
    <w: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1jf8EBAACO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qMkjluc+OX7t8uPX5efX8nL&#10;rM8QoMG0+4CJaXzjR9yaxQ/ozLRHFW3+IiGCcYQ6X9WVYyIiP6rXdV1hSGBsuSA+e3geIqS30luS&#10;jZZGHF9RlZ/eQ5pSl5Rczfk7bUwZoXF/ORAze1jufeoxW2ncjzOhve/OyGfAybfU4aJTYt45FBb7&#10;S4sRF2M/G7kGhNfHhIVLPxl1gpqL4ZgKo3ml8h78eS9ZD7/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VM1jf8EBAACOAwAADgAAAAAAAAABACAAAAAeAQAAZHJzL2Uyb0RvYy54bWxQSwUG&#10;AAAAAAYABgBZAQAAUQ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end"/>
    </w:r>
  </w:p>
  <w:p>
    <w:pPr>
      <w:pStyle w:val="1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137"/>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F708MBAACO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LJSWWG5z4+fu3849f559f&#10;ydukT++hwrQnj4lxuHMDbs3sB3Qm2kMbTPoiIYJxVPd0UVcOkYj0qFyVZYEhgbH5gvjs+bkPEN9L&#10;Z0gyahpwfFlVfnyEOKbOKamadfdK6zxCbf9yIGbysNT72GOy4rAbJkI715yQT4+Tr6nFRadEP1gU&#10;Ni3JbITZ2E1GqgH+9hCxcO4noY5QUzEcU2Y0rVTagz/vOev5N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NYXvTwwEAAI4DAAAOAAAAAAAAAAEAIAAAAB4BAABkcnMvZTJvRG9jLnhtbFBL&#10;BQYAAAAABgAGAFkBAABT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36647"/>
    <w:multiLevelType w:val="singleLevel"/>
    <w:tmpl w:val="C3036647"/>
    <w:lvl w:ilvl="0" w:tentative="0">
      <w:start w:val="2"/>
      <w:numFmt w:val="chineseCounting"/>
      <w:suff w:val="nothing"/>
      <w:lvlText w:val="%1、"/>
      <w:lvlJc w:val="left"/>
      <w:pPr>
        <w:ind w:left="420" w:firstLine="0"/>
      </w:pPr>
      <w:rPr>
        <w:rFonts w:hint="eastAsia"/>
      </w:rPr>
    </w:lvl>
  </w:abstractNum>
  <w:abstractNum w:abstractNumId="1">
    <w:nsid w:val="F795EEDF"/>
    <w:multiLevelType w:val="singleLevel"/>
    <w:tmpl w:val="F795EEDF"/>
    <w:lvl w:ilvl="0" w:tentative="0">
      <w:start w:val="1"/>
      <w:numFmt w:val="decimal"/>
      <w:suff w:val="space"/>
      <w:lvlText w:val="%1."/>
      <w:lvlJc w:val="left"/>
    </w:lvl>
  </w:abstractNum>
  <w:abstractNum w:abstractNumId="2">
    <w:nsid w:val="00000007"/>
    <w:multiLevelType w:val="singleLevel"/>
    <w:tmpl w:val="00000007"/>
    <w:lvl w:ilvl="0" w:tentative="0">
      <w:start w:val="1"/>
      <w:numFmt w:val="decimal"/>
      <w:pStyle w:val="4"/>
      <w:lvlText w:val="%1."/>
      <w:lvlJc w:val="left"/>
      <w:pPr>
        <w:tabs>
          <w:tab w:val="left" w:pos="360"/>
        </w:tabs>
        <w:ind w:left="360" w:hanging="360"/>
      </w:pPr>
    </w:lvl>
  </w:abstractNum>
  <w:abstractNum w:abstractNumId="3">
    <w:nsid w:val="00000008"/>
    <w:multiLevelType w:val="multilevel"/>
    <w:tmpl w:val="00000008"/>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pStyle w:val="1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92E79FE"/>
    <w:multiLevelType w:val="singleLevel"/>
    <w:tmpl w:val="192E79FE"/>
    <w:lvl w:ilvl="0" w:tentative="0">
      <w:start w:val="5"/>
      <w:numFmt w:val="decimal"/>
      <w:suff w:val="nothing"/>
      <w:lvlText w:val="%1、"/>
      <w:lvlJc w:val="left"/>
      <w:pPr>
        <w:ind w:left="-60"/>
      </w:pPr>
    </w:lvl>
  </w:abstractNum>
  <w:abstractNum w:abstractNumId="5">
    <w:nsid w:val="59B643BF"/>
    <w:multiLevelType w:val="singleLevel"/>
    <w:tmpl w:val="59B643BF"/>
    <w:lvl w:ilvl="0" w:tentative="0">
      <w:start w:val="1"/>
      <w:numFmt w:val="chineseCounting"/>
      <w:suff w:val="nothing"/>
      <w:lvlText w:val="%1、"/>
      <w:lvlJc w:val="left"/>
    </w:lvl>
  </w:abstractNum>
  <w:abstractNum w:abstractNumId="6">
    <w:nsid w:val="5C897B0F"/>
    <w:multiLevelType w:val="singleLevel"/>
    <w:tmpl w:val="5C897B0F"/>
    <w:lvl w:ilvl="0" w:tentative="0">
      <w:start w:val="2"/>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 w:name="KSO_WPS_MARK_KEY" w:val="fe555926-939f-4d25-aff9-bd9a288cf248"/>
  </w:docVars>
  <w:rsids>
    <w:rsidRoot w:val="00172A27"/>
    <w:rsid w:val="0000288F"/>
    <w:rsid w:val="000208A6"/>
    <w:rsid w:val="0002355B"/>
    <w:rsid w:val="00025197"/>
    <w:rsid w:val="0002664C"/>
    <w:rsid w:val="00027C5D"/>
    <w:rsid w:val="00030EA6"/>
    <w:rsid w:val="00035F8F"/>
    <w:rsid w:val="00036D9E"/>
    <w:rsid w:val="00050E92"/>
    <w:rsid w:val="0006009E"/>
    <w:rsid w:val="00064806"/>
    <w:rsid w:val="00074016"/>
    <w:rsid w:val="00077728"/>
    <w:rsid w:val="00077A3E"/>
    <w:rsid w:val="00082A81"/>
    <w:rsid w:val="00085D92"/>
    <w:rsid w:val="00087634"/>
    <w:rsid w:val="000A3CBB"/>
    <w:rsid w:val="000A5C3E"/>
    <w:rsid w:val="000A6950"/>
    <w:rsid w:val="000B09AE"/>
    <w:rsid w:val="000B2A9A"/>
    <w:rsid w:val="000B303E"/>
    <w:rsid w:val="000B45DD"/>
    <w:rsid w:val="000B4B27"/>
    <w:rsid w:val="000B5FD3"/>
    <w:rsid w:val="000B632D"/>
    <w:rsid w:val="000C1E29"/>
    <w:rsid w:val="000C2C19"/>
    <w:rsid w:val="000C30B3"/>
    <w:rsid w:val="000C3196"/>
    <w:rsid w:val="000D7929"/>
    <w:rsid w:val="000E0BD9"/>
    <w:rsid w:val="000E394A"/>
    <w:rsid w:val="000F527A"/>
    <w:rsid w:val="001009C9"/>
    <w:rsid w:val="001022EB"/>
    <w:rsid w:val="00107A90"/>
    <w:rsid w:val="00111D00"/>
    <w:rsid w:val="001135E2"/>
    <w:rsid w:val="00120266"/>
    <w:rsid w:val="00120BDF"/>
    <w:rsid w:val="00131ECB"/>
    <w:rsid w:val="00144196"/>
    <w:rsid w:val="001452F5"/>
    <w:rsid w:val="00150F2D"/>
    <w:rsid w:val="00153E4F"/>
    <w:rsid w:val="0015472B"/>
    <w:rsid w:val="00160002"/>
    <w:rsid w:val="001629EB"/>
    <w:rsid w:val="00162C9B"/>
    <w:rsid w:val="00165A5F"/>
    <w:rsid w:val="00165BE5"/>
    <w:rsid w:val="00172A27"/>
    <w:rsid w:val="00172BE5"/>
    <w:rsid w:val="00173B82"/>
    <w:rsid w:val="00173D13"/>
    <w:rsid w:val="00174A8F"/>
    <w:rsid w:val="00176111"/>
    <w:rsid w:val="00180E0C"/>
    <w:rsid w:val="00180F78"/>
    <w:rsid w:val="001810DF"/>
    <w:rsid w:val="0018141E"/>
    <w:rsid w:val="001823FD"/>
    <w:rsid w:val="00182DBE"/>
    <w:rsid w:val="00186FB1"/>
    <w:rsid w:val="00190155"/>
    <w:rsid w:val="00191591"/>
    <w:rsid w:val="00192705"/>
    <w:rsid w:val="00197C51"/>
    <w:rsid w:val="001A1EEF"/>
    <w:rsid w:val="001A2001"/>
    <w:rsid w:val="001A53C6"/>
    <w:rsid w:val="001A6B18"/>
    <w:rsid w:val="001A7824"/>
    <w:rsid w:val="001A79BA"/>
    <w:rsid w:val="001B007B"/>
    <w:rsid w:val="001B43C4"/>
    <w:rsid w:val="001C0579"/>
    <w:rsid w:val="001C22F1"/>
    <w:rsid w:val="001C2EDE"/>
    <w:rsid w:val="001C3765"/>
    <w:rsid w:val="001C4D59"/>
    <w:rsid w:val="001C5884"/>
    <w:rsid w:val="001C5F69"/>
    <w:rsid w:val="001C7AE3"/>
    <w:rsid w:val="001D1ACD"/>
    <w:rsid w:val="001D4743"/>
    <w:rsid w:val="001D5E6D"/>
    <w:rsid w:val="001D5F36"/>
    <w:rsid w:val="001D6FF0"/>
    <w:rsid w:val="001E7A7F"/>
    <w:rsid w:val="001F307A"/>
    <w:rsid w:val="001F36CC"/>
    <w:rsid w:val="001F6292"/>
    <w:rsid w:val="00201088"/>
    <w:rsid w:val="00202401"/>
    <w:rsid w:val="00203037"/>
    <w:rsid w:val="00212171"/>
    <w:rsid w:val="0021230F"/>
    <w:rsid w:val="002128A9"/>
    <w:rsid w:val="00212E1D"/>
    <w:rsid w:val="002232CD"/>
    <w:rsid w:val="002255AD"/>
    <w:rsid w:val="00226C26"/>
    <w:rsid w:val="002276D7"/>
    <w:rsid w:val="0023022A"/>
    <w:rsid w:val="00233281"/>
    <w:rsid w:val="00233C4E"/>
    <w:rsid w:val="0024157D"/>
    <w:rsid w:val="0024298A"/>
    <w:rsid w:val="00244505"/>
    <w:rsid w:val="002468AB"/>
    <w:rsid w:val="00246F88"/>
    <w:rsid w:val="00250A2C"/>
    <w:rsid w:val="002515F6"/>
    <w:rsid w:val="002575BA"/>
    <w:rsid w:val="002603ED"/>
    <w:rsid w:val="00260E61"/>
    <w:rsid w:val="0026345D"/>
    <w:rsid w:val="00263BF9"/>
    <w:rsid w:val="00264504"/>
    <w:rsid w:val="00266F9C"/>
    <w:rsid w:val="002721C7"/>
    <w:rsid w:val="002723D0"/>
    <w:rsid w:val="00273221"/>
    <w:rsid w:val="002768EE"/>
    <w:rsid w:val="00282DF8"/>
    <w:rsid w:val="00287415"/>
    <w:rsid w:val="002879EC"/>
    <w:rsid w:val="00290C09"/>
    <w:rsid w:val="00291D6E"/>
    <w:rsid w:val="00292E9F"/>
    <w:rsid w:val="00294E60"/>
    <w:rsid w:val="00296D3D"/>
    <w:rsid w:val="00296D66"/>
    <w:rsid w:val="002A30A1"/>
    <w:rsid w:val="002A4A0E"/>
    <w:rsid w:val="002A76FB"/>
    <w:rsid w:val="002B037B"/>
    <w:rsid w:val="002B091D"/>
    <w:rsid w:val="002B32A8"/>
    <w:rsid w:val="002C1DD6"/>
    <w:rsid w:val="002C4F45"/>
    <w:rsid w:val="002C59DC"/>
    <w:rsid w:val="002C5B0F"/>
    <w:rsid w:val="002D0359"/>
    <w:rsid w:val="002E0352"/>
    <w:rsid w:val="002E1F58"/>
    <w:rsid w:val="002E3C39"/>
    <w:rsid w:val="002F181B"/>
    <w:rsid w:val="002F46A3"/>
    <w:rsid w:val="002F5864"/>
    <w:rsid w:val="002F6889"/>
    <w:rsid w:val="003052BB"/>
    <w:rsid w:val="003065FD"/>
    <w:rsid w:val="00310027"/>
    <w:rsid w:val="00310E04"/>
    <w:rsid w:val="00314372"/>
    <w:rsid w:val="00320F83"/>
    <w:rsid w:val="00321953"/>
    <w:rsid w:val="00321C39"/>
    <w:rsid w:val="00326CEA"/>
    <w:rsid w:val="00327D4E"/>
    <w:rsid w:val="00331378"/>
    <w:rsid w:val="003342F0"/>
    <w:rsid w:val="00334F2D"/>
    <w:rsid w:val="00335DFE"/>
    <w:rsid w:val="0033651E"/>
    <w:rsid w:val="003376D2"/>
    <w:rsid w:val="0034079B"/>
    <w:rsid w:val="00343CDC"/>
    <w:rsid w:val="00346501"/>
    <w:rsid w:val="00347761"/>
    <w:rsid w:val="00347813"/>
    <w:rsid w:val="00350151"/>
    <w:rsid w:val="00350BFA"/>
    <w:rsid w:val="003517FE"/>
    <w:rsid w:val="003536D3"/>
    <w:rsid w:val="00355A4B"/>
    <w:rsid w:val="00363297"/>
    <w:rsid w:val="0037281E"/>
    <w:rsid w:val="00372859"/>
    <w:rsid w:val="003747B4"/>
    <w:rsid w:val="00374C0F"/>
    <w:rsid w:val="00375C9C"/>
    <w:rsid w:val="00376EA4"/>
    <w:rsid w:val="00383112"/>
    <w:rsid w:val="00385797"/>
    <w:rsid w:val="00387456"/>
    <w:rsid w:val="0038769B"/>
    <w:rsid w:val="00392676"/>
    <w:rsid w:val="00396073"/>
    <w:rsid w:val="00397146"/>
    <w:rsid w:val="003A0049"/>
    <w:rsid w:val="003A0224"/>
    <w:rsid w:val="003A18B8"/>
    <w:rsid w:val="003A2FE3"/>
    <w:rsid w:val="003A3315"/>
    <w:rsid w:val="003A547F"/>
    <w:rsid w:val="003A5C51"/>
    <w:rsid w:val="003A6624"/>
    <w:rsid w:val="003A7406"/>
    <w:rsid w:val="003C13DA"/>
    <w:rsid w:val="003C1D48"/>
    <w:rsid w:val="003C2188"/>
    <w:rsid w:val="003D31D2"/>
    <w:rsid w:val="003D70FB"/>
    <w:rsid w:val="003E0606"/>
    <w:rsid w:val="003E27C6"/>
    <w:rsid w:val="003E4974"/>
    <w:rsid w:val="003E522E"/>
    <w:rsid w:val="003F2CD3"/>
    <w:rsid w:val="003F5448"/>
    <w:rsid w:val="003F6B7C"/>
    <w:rsid w:val="003F763F"/>
    <w:rsid w:val="0040050E"/>
    <w:rsid w:val="004005B0"/>
    <w:rsid w:val="004008DE"/>
    <w:rsid w:val="0040132F"/>
    <w:rsid w:val="00404338"/>
    <w:rsid w:val="0040476B"/>
    <w:rsid w:val="00404FA0"/>
    <w:rsid w:val="0040504B"/>
    <w:rsid w:val="00405FAE"/>
    <w:rsid w:val="00406380"/>
    <w:rsid w:val="00406976"/>
    <w:rsid w:val="004113D7"/>
    <w:rsid w:val="00411FE8"/>
    <w:rsid w:val="004151E2"/>
    <w:rsid w:val="0041550D"/>
    <w:rsid w:val="00416A78"/>
    <w:rsid w:val="004203BE"/>
    <w:rsid w:val="00421D18"/>
    <w:rsid w:val="00424C47"/>
    <w:rsid w:val="00427CBE"/>
    <w:rsid w:val="00430608"/>
    <w:rsid w:val="004312B6"/>
    <w:rsid w:val="00432F01"/>
    <w:rsid w:val="00434A40"/>
    <w:rsid w:val="00435896"/>
    <w:rsid w:val="00435B97"/>
    <w:rsid w:val="00440644"/>
    <w:rsid w:val="0044199A"/>
    <w:rsid w:val="00445614"/>
    <w:rsid w:val="00447570"/>
    <w:rsid w:val="004543F8"/>
    <w:rsid w:val="004606CC"/>
    <w:rsid w:val="004609B9"/>
    <w:rsid w:val="004615E6"/>
    <w:rsid w:val="00462927"/>
    <w:rsid w:val="0046317F"/>
    <w:rsid w:val="00464315"/>
    <w:rsid w:val="00466056"/>
    <w:rsid w:val="004705CC"/>
    <w:rsid w:val="0047227C"/>
    <w:rsid w:val="00472B04"/>
    <w:rsid w:val="0047545D"/>
    <w:rsid w:val="0047596E"/>
    <w:rsid w:val="00480200"/>
    <w:rsid w:val="00480CB1"/>
    <w:rsid w:val="00484D3D"/>
    <w:rsid w:val="00485A70"/>
    <w:rsid w:val="0048765C"/>
    <w:rsid w:val="0048778C"/>
    <w:rsid w:val="0049407E"/>
    <w:rsid w:val="00494282"/>
    <w:rsid w:val="00495754"/>
    <w:rsid w:val="00496A75"/>
    <w:rsid w:val="004A0DCE"/>
    <w:rsid w:val="004A1DB8"/>
    <w:rsid w:val="004A6D8E"/>
    <w:rsid w:val="004A7977"/>
    <w:rsid w:val="004B0253"/>
    <w:rsid w:val="004B16B5"/>
    <w:rsid w:val="004B3BB7"/>
    <w:rsid w:val="004B4C6A"/>
    <w:rsid w:val="004B5576"/>
    <w:rsid w:val="004B72D4"/>
    <w:rsid w:val="004C2D29"/>
    <w:rsid w:val="004C2E60"/>
    <w:rsid w:val="004C5558"/>
    <w:rsid w:val="004D2BBC"/>
    <w:rsid w:val="004D65C6"/>
    <w:rsid w:val="004E1462"/>
    <w:rsid w:val="004E31D6"/>
    <w:rsid w:val="004E5B95"/>
    <w:rsid w:val="004F02AF"/>
    <w:rsid w:val="004F2779"/>
    <w:rsid w:val="004F2854"/>
    <w:rsid w:val="004F4EDA"/>
    <w:rsid w:val="004F4FEF"/>
    <w:rsid w:val="005001EE"/>
    <w:rsid w:val="00500B03"/>
    <w:rsid w:val="005011F4"/>
    <w:rsid w:val="0050222A"/>
    <w:rsid w:val="005042DB"/>
    <w:rsid w:val="00505008"/>
    <w:rsid w:val="0051418F"/>
    <w:rsid w:val="005162C3"/>
    <w:rsid w:val="00520E3F"/>
    <w:rsid w:val="0052127B"/>
    <w:rsid w:val="005227B4"/>
    <w:rsid w:val="00530C99"/>
    <w:rsid w:val="0053667B"/>
    <w:rsid w:val="00540FE9"/>
    <w:rsid w:val="00543BFF"/>
    <w:rsid w:val="00545948"/>
    <w:rsid w:val="0055212A"/>
    <w:rsid w:val="00554B2D"/>
    <w:rsid w:val="00554CD8"/>
    <w:rsid w:val="00555496"/>
    <w:rsid w:val="00563A16"/>
    <w:rsid w:val="00563F53"/>
    <w:rsid w:val="005710EE"/>
    <w:rsid w:val="00571EF5"/>
    <w:rsid w:val="00572D9E"/>
    <w:rsid w:val="0058022E"/>
    <w:rsid w:val="0058151F"/>
    <w:rsid w:val="00583ED0"/>
    <w:rsid w:val="00585376"/>
    <w:rsid w:val="005860A8"/>
    <w:rsid w:val="0059544B"/>
    <w:rsid w:val="00596CEE"/>
    <w:rsid w:val="005A0308"/>
    <w:rsid w:val="005A3BE5"/>
    <w:rsid w:val="005A71A1"/>
    <w:rsid w:val="005B1549"/>
    <w:rsid w:val="005B262B"/>
    <w:rsid w:val="005B2D7A"/>
    <w:rsid w:val="005B6B30"/>
    <w:rsid w:val="005B7D32"/>
    <w:rsid w:val="005C02DE"/>
    <w:rsid w:val="005C1673"/>
    <w:rsid w:val="005C5E90"/>
    <w:rsid w:val="005C720F"/>
    <w:rsid w:val="005D2642"/>
    <w:rsid w:val="005D7D45"/>
    <w:rsid w:val="005E0B31"/>
    <w:rsid w:val="005E0C48"/>
    <w:rsid w:val="005E3271"/>
    <w:rsid w:val="005E5491"/>
    <w:rsid w:val="005E5E20"/>
    <w:rsid w:val="00601142"/>
    <w:rsid w:val="0060239B"/>
    <w:rsid w:val="00602C93"/>
    <w:rsid w:val="006041F0"/>
    <w:rsid w:val="006063E4"/>
    <w:rsid w:val="006119AD"/>
    <w:rsid w:val="00611CEC"/>
    <w:rsid w:val="00612307"/>
    <w:rsid w:val="00613E9C"/>
    <w:rsid w:val="00614624"/>
    <w:rsid w:val="006147D5"/>
    <w:rsid w:val="006163CA"/>
    <w:rsid w:val="006163E6"/>
    <w:rsid w:val="00617893"/>
    <w:rsid w:val="00630904"/>
    <w:rsid w:val="00635ECB"/>
    <w:rsid w:val="006368C7"/>
    <w:rsid w:val="00646604"/>
    <w:rsid w:val="006478CD"/>
    <w:rsid w:val="00647A15"/>
    <w:rsid w:val="006506C5"/>
    <w:rsid w:val="00651E17"/>
    <w:rsid w:val="0065248F"/>
    <w:rsid w:val="00653CEF"/>
    <w:rsid w:val="006540A4"/>
    <w:rsid w:val="006542A8"/>
    <w:rsid w:val="00654F91"/>
    <w:rsid w:val="006552C4"/>
    <w:rsid w:val="006606B1"/>
    <w:rsid w:val="00671611"/>
    <w:rsid w:val="00671E24"/>
    <w:rsid w:val="00674577"/>
    <w:rsid w:val="0067524C"/>
    <w:rsid w:val="006811A2"/>
    <w:rsid w:val="006821F7"/>
    <w:rsid w:val="006828A7"/>
    <w:rsid w:val="00683A6C"/>
    <w:rsid w:val="00684D70"/>
    <w:rsid w:val="00687D2D"/>
    <w:rsid w:val="00690653"/>
    <w:rsid w:val="006908B2"/>
    <w:rsid w:val="006966E0"/>
    <w:rsid w:val="006A2A72"/>
    <w:rsid w:val="006A303A"/>
    <w:rsid w:val="006A31CE"/>
    <w:rsid w:val="006A5FCF"/>
    <w:rsid w:val="006A7310"/>
    <w:rsid w:val="006B005E"/>
    <w:rsid w:val="006B06DB"/>
    <w:rsid w:val="006B0E29"/>
    <w:rsid w:val="006B0F44"/>
    <w:rsid w:val="006B2DB4"/>
    <w:rsid w:val="006B42A2"/>
    <w:rsid w:val="006B60E4"/>
    <w:rsid w:val="006C08C8"/>
    <w:rsid w:val="006C28DD"/>
    <w:rsid w:val="006C455E"/>
    <w:rsid w:val="006C6E2F"/>
    <w:rsid w:val="006D105D"/>
    <w:rsid w:val="006D48E6"/>
    <w:rsid w:val="006D68FF"/>
    <w:rsid w:val="006E3E12"/>
    <w:rsid w:val="006F1B12"/>
    <w:rsid w:val="006F415A"/>
    <w:rsid w:val="007040D4"/>
    <w:rsid w:val="00704BDA"/>
    <w:rsid w:val="007122A4"/>
    <w:rsid w:val="00722149"/>
    <w:rsid w:val="007236AC"/>
    <w:rsid w:val="0072510D"/>
    <w:rsid w:val="00730C52"/>
    <w:rsid w:val="007335C5"/>
    <w:rsid w:val="00733A23"/>
    <w:rsid w:val="00740145"/>
    <w:rsid w:val="00746248"/>
    <w:rsid w:val="007477D9"/>
    <w:rsid w:val="007512F1"/>
    <w:rsid w:val="007527C6"/>
    <w:rsid w:val="007538BD"/>
    <w:rsid w:val="007549C1"/>
    <w:rsid w:val="007565EF"/>
    <w:rsid w:val="007579FA"/>
    <w:rsid w:val="00757AAB"/>
    <w:rsid w:val="00762229"/>
    <w:rsid w:val="0076270E"/>
    <w:rsid w:val="007636E9"/>
    <w:rsid w:val="007642F9"/>
    <w:rsid w:val="00765070"/>
    <w:rsid w:val="00767723"/>
    <w:rsid w:val="00767AA2"/>
    <w:rsid w:val="0077231F"/>
    <w:rsid w:val="0077498D"/>
    <w:rsid w:val="00780675"/>
    <w:rsid w:val="0078455F"/>
    <w:rsid w:val="00786896"/>
    <w:rsid w:val="00787F7E"/>
    <w:rsid w:val="00790880"/>
    <w:rsid w:val="00794C9B"/>
    <w:rsid w:val="00797251"/>
    <w:rsid w:val="0079732F"/>
    <w:rsid w:val="007A11FE"/>
    <w:rsid w:val="007A1272"/>
    <w:rsid w:val="007B051D"/>
    <w:rsid w:val="007B486A"/>
    <w:rsid w:val="007B6672"/>
    <w:rsid w:val="007B7135"/>
    <w:rsid w:val="007B7E93"/>
    <w:rsid w:val="007C4A18"/>
    <w:rsid w:val="007D245F"/>
    <w:rsid w:val="007E0A42"/>
    <w:rsid w:val="007E1E0F"/>
    <w:rsid w:val="007E2EF7"/>
    <w:rsid w:val="007F0BB0"/>
    <w:rsid w:val="007F3839"/>
    <w:rsid w:val="007F4B1F"/>
    <w:rsid w:val="007F5D77"/>
    <w:rsid w:val="007F6AD0"/>
    <w:rsid w:val="007F7B96"/>
    <w:rsid w:val="0080208D"/>
    <w:rsid w:val="00802114"/>
    <w:rsid w:val="00802237"/>
    <w:rsid w:val="00802E2F"/>
    <w:rsid w:val="00804E0B"/>
    <w:rsid w:val="00811BE0"/>
    <w:rsid w:val="00817EE5"/>
    <w:rsid w:val="008218AD"/>
    <w:rsid w:val="00822C05"/>
    <w:rsid w:val="008235DF"/>
    <w:rsid w:val="00824BE1"/>
    <w:rsid w:val="00830682"/>
    <w:rsid w:val="00841C30"/>
    <w:rsid w:val="00841CE0"/>
    <w:rsid w:val="00843F70"/>
    <w:rsid w:val="00847A5E"/>
    <w:rsid w:val="00852AD1"/>
    <w:rsid w:val="0085329D"/>
    <w:rsid w:val="0085387F"/>
    <w:rsid w:val="0085689F"/>
    <w:rsid w:val="00865DBE"/>
    <w:rsid w:val="00866CEC"/>
    <w:rsid w:val="00866DEB"/>
    <w:rsid w:val="0087107E"/>
    <w:rsid w:val="00872CED"/>
    <w:rsid w:val="0087697C"/>
    <w:rsid w:val="00877232"/>
    <w:rsid w:val="00880A41"/>
    <w:rsid w:val="00880F48"/>
    <w:rsid w:val="008811A7"/>
    <w:rsid w:val="0088121A"/>
    <w:rsid w:val="00881C78"/>
    <w:rsid w:val="0088597E"/>
    <w:rsid w:val="00885D05"/>
    <w:rsid w:val="00890947"/>
    <w:rsid w:val="00892CA8"/>
    <w:rsid w:val="00893029"/>
    <w:rsid w:val="008941D6"/>
    <w:rsid w:val="0089565C"/>
    <w:rsid w:val="00897FEC"/>
    <w:rsid w:val="008A3944"/>
    <w:rsid w:val="008A40EB"/>
    <w:rsid w:val="008B1D3C"/>
    <w:rsid w:val="008B578C"/>
    <w:rsid w:val="008C0B8E"/>
    <w:rsid w:val="008C36E4"/>
    <w:rsid w:val="008C6AB9"/>
    <w:rsid w:val="008D1224"/>
    <w:rsid w:val="008D2146"/>
    <w:rsid w:val="008E3E9F"/>
    <w:rsid w:val="008E74FB"/>
    <w:rsid w:val="008F10BB"/>
    <w:rsid w:val="008F22BD"/>
    <w:rsid w:val="0090490A"/>
    <w:rsid w:val="00905110"/>
    <w:rsid w:val="0090761D"/>
    <w:rsid w:val="009109D8"/>
    <w:rsid w:val="00921022"/>
    <w:rsid w:val="00921DAC"/>
    <w:rsid w:val="00924402"/>
    <w:rsid w:val="00927159"/>
    <w:rsid w:val="009278A4"/>
    <w:rsid w:val="00932A2A"/>
    <w:rsid w:val="009361FF"/>
    <w:rsid w:val="00942B9A"/>
    <w:rsid w:val="00945E65"/>
    <w:rsid w:val="009470E9"/>
    <w:rsid w:val="00951707"/>
    <w:rsid w:val="009563BA"/>
    <w:rsid w:val="00964725"/>
    <w:rsid w:val="00965531"/>
    <w:rsid w:val="00965F48"/>
    <w:rsid w:val="00975950"/>
    <w:rsid w:val="00975CD8"/>
    <w:rsid w:val="00980340"/>
    <w:rsid w:val="00980E08"/>
    <w:rsid w:val="00981553"/>
    <w:rsid w:val="00983C57"/>
    <w:rsid w:val="009855AB"/>
    <w:rsid w:val="00987C51"/>
    <w:rsid w:val="00991F7A"/>
    <w:rsid w:val="00992D21"/>
    <w:rsid w:val="0099426B"/>
    <w:rsid w:val="009972D6"/>
    <w:rsid w:val="009A2275"/>
    <w:rsid w:val="009A2D98"/>
    <w:rsid w:val="009A579D"/>
    <w:rsid w:val="009B21AA"/>
    <w:rsid w:val="009B4F3D"/>
    <w:rsid w:val="009C360C"/>
    <w:rsid w:val="009C3A92"/>
    <w:rsid w:val="009C7E0A"/>
    <w:rsid w:val="009D3178"/>
    <w:rsid w:val="009D38AC"/>
    <w:rsid w:val="009D38AD"/>
    <w:rsid w:val="009E0E42"/>
    <w:rsid w:val="009E68F1"/>
    <w:rsid w:val="009F636F"/>
    <w:rsid w:val="009F64BC"/>
    <w:rsid w:val="00A03D9D"/>
    <w:rsid w:val="00A07522"/>
    <w:rsid w:val="00A07A87"/>
    <w:rsid w:val="00A126B2"/>
    <w:rsid w:val="00A14570"/>
    <w:rsid w:val="00A16C32"/>
    <w:rsid w:val="00A1717E"/>
    <w:rsid w:val="00A17276"/>
    <w:rsid w:val="00A22B92"/>
    <w:rsid w:val="00A256AC"/>
    <w:rsid w:val="00A34DB8"/>
    <w:rsid w:val="00A35F6E"/>
    <w:rsid w:val="00A360A9"/>
    <w:rsid w:val="00A43690"/>
    <w:rsid w:val="00A44FFA"/>
    <w:rsid w:val="00A45FB7"/>
    <w:rsid w:val="00A50490"/>
    <w:rsid w:val="00A51A5B"/>
    <w:rsid w:val="00A573A9"/>
    <w:rsid w:val="00A61E5E"/>
    <w:rsid w:val="00A65446"/>
    <w:rsid w:val="00A66BA0"/>
    <w:rsid w:val="00A6799F"/>
    <w:rsid w:val="00A73E85"/>
    <w:rsid w:val="00A82E7A"/>
    <w:rsid w:val="00A85E67"/>
    <w:rsid w:val="00A94659"/>
    <w:rsid w:val="00A950A2"/>
    <w:rsid w:val="00A968BD"/>
    <w:rsid w:val="00A97903"/>
    <w:rsid w:val="00AA4DCE"/>
    <w:rsid w:val="00AA53B5"/>
    <w:rsid w:val="00AA5499"/>
    <w:rsid w:val="00AB181C"/>
    <w:rsid w:val="00AB7EAD"/>
    <w:rsid w:val="00AC0A20"/>
    <w:rsid w:val="00AC1BE1"/>
    <w:rsid w:val="00AC2578"/>
    <w:rsid w:val="00AC495E"/>
    <w:rsid w:val="00AC56AF"/>
    <w:rsid w:val="00AD01F0"/>
    <w:rsid w:val="00AD03CD"/>
    <w:rsid w:val="00AD2172"/>
    <w:rsid w:val="00AD2E22"/>
    <w:rsid w:val="00AD37C2"/>
    <w:rsid w:val="00AD3BEE"/>
    <w:rsid w:val="00AD403F"/>
    <w:rsid w:val="00AD7379"/>
    <w:rsid w:val="00AE0396"/>
    <w:rsid w:val="00AE30D0"/>
    <w:rsid w:val="00AE68A3"/>
    <w:rsid w:val="00AF69EF"/>
    <w:rsid w:val="00B016A6"/>
    <w:rsid w:val="00B01EE8"/>
    <w:rsid w:val="00B02021"/>
    <w:rsid w:val="00B06BED"/>
    <w:rsid w:val="00B14168"/>
    <w:rsid w:val="00B15639"/>
    <w:rsid w:val="00B16075"/>
    <w:rsid w:val="00B173B1"/>
    <w:rsid w:val="00B17806"/>
    <w:rsid w:val="00B20716"/>
    <w:rsid w:val="00B22D81"/>
    <w:rsid w:val="00B244DD"/>
    <w:rsid w:val="00B25697"/>
    <w:rsid w:val="00B25FCB"/>
    <w:rsid w:val="00B26430"/>
    <w:rsid w:val="00B26D09"/>
    <w:rsid w:val="00B27472"/>
    <w:rsid w:val="00B27C40"/>
    <w:rsid w:val="00B30BAF"/>
    <w:rsid w:val="00B36BD8"/>
    <w:rsid w:val="00B520A3"/>
    <w:rsid w:val="00B52690"/>
    <w:rsid w:val="00B52A42"/>
    <w:rsid w:val="00B53DFB"/>
    <w:rsid w:val="00B57546"/>
    <w:rsid w:val="00B63270"/>
    <w:rsid w:val="00B6406D"/>
    <w:rsid w:val="00B65B89"/>
    <w:rsid w:val="00B773DF"/>
    <w:rsid w:val="00B8223B"/>
    <w:rsid w:val="00B838C7"/>
    <w:rsid w:val="00B84D78"/>
    <w:rsid w:val="00B85181"/>
    <w:rsid w:val="00B85BB6"/>
    <w:rsid w:val="00B86B10"/>
    <w:rsid w:val="00B92006"/>
    <w:rsid w:val="00BA0668"/>
    <w:rsid w:val="00BA0A42"/>
    <w:rsid w:val="00BA3057"/>
    <w:rsid w:val="00BB0C0D"/>
    <w:rsid w:val="00BB4E52"/>
    <w:rsid w:val="00BB5987"/>
    <w:rsid w:val="00BB6020"/>
    <w:rsid w:val="00BB6F5F"/>
    <w:rsid w:val="00BB7FEE"/>
    <w:rsid w:val="00BC0A58"/>
    <w:rsid w:val="00BC1FB5"/>
    <w:rsid w:val="00BC2622"/>
    <w:rsid w:val="00BC4F1F"/>
    <w:rsid w:val="00BC54CE"/>
    <w:rsid w:val="00BC6D56"/>
    <w:rsid w:val="00BC73BC"/>
    <w:rsid w:val="00BD1CB9"/>
    <w:rsid w:val="00BE2555"/>
    <w:rsid w:val="00BE4160"/>
    <w:rsid w:val="00BE43C5"/>
    <w:rsid w:val="00BE7366"/>
    <w:rsid w:val="00BE79A3"/>
    <w:rsid w:val="00BF122C"/>
    <w:rsid w:val="00BF218B"/>
    <w:rsid w:val="00BF3596"/>
    <w:rsid w:val="00BF3620"/>
    <w:rsid w:val="00BF6B10"/>
    <w:rsid w:val="00C002DB"/>
    <w:rsid w:val="00C00DB5"/>
    <w:rsid w:val="00C0196C"/>
    <w:rsid w:val="00C03B7E"/>
    <w:rsid w:val="00C06937"/>
    <w:rsid w:val="00C13FE6"/>
    <w:rsid w:val="00C16BDD"/>
    <w:rsid w:val="00C209F1"/>
    <w:rsid w:val="00C232C9"/>
    <w:rsid w:val="00C26232"/>
    <w:rsid w:val="00C27259"/>
    <w:rsid w:val="00C277A4"/>
    <w:rsid w:val="00C3065D"/>
    <w:rsid w:val="00C345A2"/>
    <w:rsid w:val="00C35F52"/>
    <w:rsid w:val="00C37C23"/>
    <w:rsid w:val="00C4043F"/>
    <w:rsid w:val="00C414C2"/>
    <w:rsid w:val="00C42478"/>
    <w:rsid w:val="00C433FD"/>
    <w:rsid w:val="00C4639B"/>
    <w:rsid w:val="00C52426"/>
    <w:rsid w:val="00C52FA7"/>
    <w:rsid w:val="00C54A0E"/>
    <w:rsid w:val="00C60327"/>
    <w:rsid w:val="00C60F1C"/>
    <w:rsid w:val="00C60FF8"/>
    <w:rsid w:val="00C63AC6"/>
    <w:rsid w:val="00C66701"/>
    <w:rsid w:val="00C7090D"/>
    <w:rsid w:val="00C70C7D"/>
    <w:rsid w:val="00C723E7"/>
    <w:rsid w:val="00C72D10"/>
    <w:rsid w:val="00C75AE6"/>
    <w:rsid w:val="00C75FD2"/>
    <w:rsid w:val="00C83680"/>
    <w:rsid w:val="00C9052A"/>
    <w:rsid w:val="00C91DE1"/>
    <w:rsid w:val="00C923AF"/>
    <w:rsid w:val="00CA3E25"/>
    <w:rsid w:val="00CA7D65"/>
    <w:rsid w:val="00CC3F9E"/>
    <w:rsid w:val="00CC4118"/>
    <w:rsid w:val="00CC4436"/>
    <w:rsid w:val="00CD1916"/>
    <w:rsid w:val="00CD5CE7"/>
    <w:rsid w:val="00CD7FDA"/>
    <w:rsid w:val="00CE7BCE"/>
    <w:rsid w:val="00CE7CCA"/>
    <w:rsid w:val="00CF16E0"/>
    <w:rsid w:val="00CF197A"/>
    <w:rsid w:val="00CF31E3"/>
    <w:rsid w:val="00D0165C"/>
    <w:rsid w:val="00D11BB8"/>
    <w:rsid w:val="00D14B91"/>
    <w:rsid w:val="00D15761"/>
    <w:rsid w:val="00D17698"/>
    <w:rsid w:val="00D17ADF"/>
    <w:rsid w:val="00D21ECC"/>
    <w:rsid w:val="00D22443"/>
    <w:rsid w:val="00D24B48"/>
    <w:rsid w:val="00D25C6A"/>
    <w:rsid w:val="00D25CC3"/>
    <w:rsid w:val="00D30ABF"/>
    <w:rsid w:val="00D3274D"/>
    <w:rsid w:val="00D32CB2"/>
    <w:rsid w:val="00D34E99"/>
    <w:rsid w:val="00D3603E"/>
    <w:rsid w:val="00D36E57"/>
    <w:rsid w:val="00D40353"/>
    <w:rsid w:val="00D4430A"/>
    <w:rsid w:val="00D4625D"/>
    <w:rsid w:val="00D46AF8"/>
    <w:rsid w:val="00D5115E"/>
    <w:rsid w:val="00D53450"/>
    <w:rsid w:val="00D61AD5"/>
    <w:rsid w:val="00D61C39"/>
    <w:rsid w:val="00D65982"/>
    <w:rsid w:val="00D66E0B"/>
    <w:rsid w:val="00D758A3"/>
    <w:rsid w:val="00D75E35"/>
    <w:rsid w:val="00D7613C"/>
    <w:rsid w:val="00D765C2"/>
    <w:rsid w:val="00D81084"/>
    <w:rsid w:val="00D81684"/>
    <w:rsid w:val="00D818DB"/>
    <w:rsid w:val="00D854A5"/>
    <w:rsid w:val="00D85841"/>
    <w:rsid w:val="00D85E06"/>
    <w:rsid w:val="00D90A83"/>
    <w:rsid w:val="00D91E02"/>
    <w:rsid w:val="00DA0EC6"/>
    <w:rsid w:val="00DA33AE"/>
    <w:rsid w:val="00DA3DA7"/>
    <w:rsid w:val="00DB2ED9"/>
    <w:rsid w:val="00DC0F44"/>
    <w:rsid w:val="00DC1ACE"/>
    <w:rsid w:val="00DC2FA9"/>
    <w:rsid w:val="00DC3891"/>
    <w:rsid w:val="00DC4912"/>
    <w:rsid w:val="00DC661A"/>
    <w:rsid w:val="00DD0865"/>
    <w:rsid w:val="00DD2039"/>
    <w:rsid w:val="00DD226D"/>
    <w:rsid w:val="00DD239A"/>
    <w:rsid w:val="00DD5294"/>
    <w:rsid w:val="00DD7507"/>
    <w:rsid w:val="00DD7C5E"/>
    <w:rsid w:val="00DE0733"/>
    <w:rsid w:val="00DE29C5"/>
    <w:rsid w:val="00DE3445"/>
    <w:rsid w:val="00DE76C0"/>
    <w:rsid w:val="00DF1A58"/>
    <w:rsid w:val="00DF2822"/>
    <w:rsid w:val="00DF34F9"/>
    <w:rsid w:val="00DF4999"/>
    <w:rsid w:val="00DF52B2"/>
    <w:rsid w:val="00DF7A44"/>
    <w:rsid w:val="00E02342"/>
    <w:rsid w:val="00E047A6"/>
    <w:rsid w:val="00E05012"/>
    <w:rsid w:val="00E071A4"/>
    <w:rsid w:val="00E0734D"/>
    <w:rsid w:val="00E11A59"/>
    <w:rsid w:val="00E14592"/>
    <w:rsid w:val="00E14C54"/>
    <w:rsid w:val="00E1714E"/>
    <w:rsid w:val="00E236D7"/>
    <w:rsid w:val="00E24239"/>
    <w:rsid w:val="00E31F83"/>
    <w:rsid w:val="00E341AF"/>
    <w:rsid w:val="00E35765"/>
    <w:rsid w:val="00E404C5"/>
    <w:rsid w:val="00E41FCE"/>
    <w:rsid w:val="00E44229"/>
    <w:rsid w:val="00E46519"/>
    <w:rsid w:val="00E530B8"/>
    <w:rsid w:val="00E54299"/>
    <w:rsid w:val="00E620CF"/>
    <w:rsid w:val="00E62FA0"/>
    <w:rsid w:val="00E630E5"/>
    <w:rsid w:val="00E64451"/>
    <w:rsid w:val="00E67598"/>
    <w:rsid w:val="00E675DE"/>
    <w:rsid w:val="00E73B69"/>
    <w:rsid w:val="00E7516F"/>
    <w:rsid w:val="00E76E3A"/>
    <w:rsid w:val="00E76ECD"/>
    <w:rsid w:val="00E83C18"/>
    <w:rsid w:val="00E87E84"/>
    <w:rsid w:val="00E9357A"/>
    <w:rsid w:val="00E938A4"/>
    <w:rsid w:val="00E972D1"/>
    <w:rsid w:val="00EA21F2"/>
    <w:rsid w:val="00EA4B61"/>
    <w:rsid w:val="00EB0066"/>
    <w:rsid w:val="00EB302F"/>
    <w:rsid w:val="00EB380D"/>
    <w:rsid w:val="00EB3925"/>
    <w:rsid w:val="00EB4AB1"/>
    <w:rsid w:val="00EC0722"/>
    <w:rsid w:val="00ED0822"/>
    <w:rsid w:val="00ED09AB"/>
    <w:rsid w:val="00ED15E1"/>
    <w:rsid w:val="00ED1A06"/>
    <w:rsid w:val="00ED1F86"/>
    <w:rsid w:val="00ED3B7D"/>
    <w:rsid w:val="00ED6BA9"/>
    <w:rsid w:val="00ED6F8E"/>
    <w:rsid w:val="00EE576F"/>
    <w:rsid w:val="00EE7B42"/>
    <w:rsid w:val="00EF1748"/>
    <w:rsid w:val="00EF59C2"/>
    <w:rsid w:val="00EF611B"/>
    <w:rsid w:val="00EF68C1"/>
    <w:rsid w:val="00EF788B"/>
    <w:rsid w:val="00F021DE"/>
    <w:rsid w:val="00F11CC8"/>
    <w:rsid w:val="00F16C61"/>
    <w:rsid w:val="00F21BEA"/>
    <w:rsid w:val="00F2382E"/>
    <w:rsid w:val="00F259D0"/>
    <w:rsid w:val="00F30823"/>
    <w:rsid w:val="00F31B07"/>
    <w:rsid w:val="00F327D5"/>
    <w:rsid w:val="00F3388B"/>
    <w:rsid w:val="00F35998"/>
    <w:rsid w:val="00F37811"/>
    <w:rsid w:val="00F42225"/>
    <w:rsid w:val="00F423A8"/>
    <w:rsid w:val="00F4445C"/>
    <w:rsid w:val="00F449AF"/>
    <w:rsid w:val="00F46563"/>
    <w:rsid w:val="00F4709F"/>
    <w:rsid w:val="00F5204F"/>
    <w:rsid w:val="00F615F3"/>
    <w:rsid w:val="00F65E5E"/>
    <w:rsid w:val="00F661B7"/>
    <w:rsid w:val="00F668CF"/>
    <w:rsid w:val="00F71DDE"/>
    <w:rsid w:val="00F72BC5"/>
    <w:rsid w:val="00F73D82"/>
    <w:rsid w:val="00F74CD4"/>
    <w:rsid w:val="00F77336"/>
    <w:rsid w:val="00F77514"/>
    <w:rsid w:val="00F85EA0"/>
    <w:rsid w:val="00F860E9"/>
    <w:rsid w:val="00F91CC6"/>
    <w:rsid w:val="00F92149"/>
    <w:rsid w:val="00FA09AA"/>
    <w:rsid w:val="00FA19D4"/>
    <w:rsid w:val="00FA3FEC"/>
    <w:rsid w:val="00FA5F71"/>
    <w:rsid w:val="00FA7CBE"/>
    <w:rsid w:val="00FB2AA2"/>
    <w:rsid w:val="00FB5151"/>
    <w:rsid w:val="00FB5CD9"/>
    <w:rsid w:val="00FB62F5"/>
    <w:rsid w:val="00FC4A06"/>
    <w:rsid w:val="00FC561E"/>
    <w:rsid w:val="00FC574D"/>
    <w:rsid w:val="00FC6A6F"/>
    <w:rsid w:val="00FC721D"/>
    <w:rsid w:val="00FC7AC1"/>
    <w:rsid w:val="00FD65DE"/>
    <w:rsid w:val="00FE0A9D"/>
    <w:rsid w:val="00FE200A"/>
    <w:rsid w:val="00FF3B4C"/>
    <w:rsid w:val="00FF5295"/>
    <w:rsid w:val="00FF6894"/>
    <w:rsid w:val="00FF70F9"/>
    <w:rsid w:val="01722330"/>
    <w:rsid w:val="01AF2475"/>
    <w:rsid w:val="01CD1F55"/>
    <w:rsid w:val="01EC5C3E"/>
    <w:rsid w:val="01F51A1E"/>
    <w:rsid w:val="02005B8D"/>
    <w:rsid w:val="02260384"/>
    <w:rsid w:val="022E4A71"/>
    <w:rsid w:val="023565EA"/>
    <w:rsid w:val="02590841"/>
    <w:rsid w:val="025C14C5"/>
    <w:rsid w:val="02691984"/>
    <w:rsid w:val="029A4B2E"/>
    <w:rsid w:val="02A85056"/>
    <w:rsid w:val="02C970AB"/>
    <w:rsid w:val="02D367A3"/>
    <w:rsid w:val="02DD73B2"/>
    <w:rsid w:val="02FA6225"/>
    <w:rsid w:val="03371729"/>
    <w:rsid w:val="034F6039"/>
    <w:rsid w:val="0361338C"/>
    <w:rsid w:val="03711753"/>
    <w:rsid w:val="037203C5"/>
    <w:rsid w:val="037431F5"/>
    <w:rsid w:val="039F3713"/>
    <w:rsid w:val="03A55822"/>
    <w:rsid w:val="03C76963"/>
    <w:rsid w:val="03C843A8"/>
    <w:rsid w:val="040478DB"/>
    <w:rsid w:val="04051E5E"/>
    <w:rsid w:val="04420C6D"/>
    <w:rsid w:val="04635626"/>
    <w:rsid w:val="04AC662C"/>
    <w:rsid w:val="04F64B37"/>
    <w:rsid w:val="051C2896"/>
    <w:rsid w:val="05290F57"/>
    <w:rsid w:val="05586656"/>
    <w:rsid w:val="05656433"/>
    <w:rsid w:val="05E278C1"/>
    <w:rsid w:val="05F10741"/>
    <w:rsid w:val="05F3410E"/>
    <w:rsid w:val="05F74BAB"/>
    <w:rsid w:val="06004813"/>
    <w:rsid w:val="06281CD4"/>
    <w:rsid w:val="062F1B92"/>
    <w:rsid w:val="06507BF6"/>
    <w:rsid w:val="0652748F"/>
    <w:rsid w:val="06540C8B"/>
    <w:rsid w:val="06593189"/>
    <w:rsid w:val="0671705A"/>
    <w:rsid w:val="0687694B"/>
    <w:rsid w:val="06BC2956"/>
    <w:rsid w:val="06E710CA"/>
    <w:rsid w:val="06EB6852"/>
    <w:rsid w:val="07111F0B"/>
    <w:rsid w:val="0720470F"/>
    <w:rsid w:val="07392F5E"/>
    <w:rsid w:val="073C68BA"/>
    <w:rsid w:val="075220DA"/>
    <w:rsid w:val="07602E14"/>
    <w:rsid w:val="076306FB"/>
    <w:rsid w:val="07A96578"/>
    <w:rsid w:val="07B86EFF"/>
    <w:rsid w:val="07C84A57"/>
    <w:rsid w:val="07ED1B3C"/>
    <w:rsid w:val="07FD0EAB"/>
    <w:rsid w:val="08140402"/>
    <w:rsid w:val="082B2AF2"/>
    <w:rsid w:val="082E55DF"/>
    <w:rsid w:val="08520798"/>
    <w:rsid w:val="08536A17"/>
    <w:rsid w:val="0870189C"/>
    <w:rsid w:val="08760957"/>
    <w:rsid w:val="088C38E3"/>
    <w:rsid w:val="088F6390"/>
    <w:rsid w:val="08981C74"/>
    <w:rsid w:val="08C537AD"/>
    <w:rsid w:val="08C5402C"/>
    <w:rsid w:val="08CD0428"/>
    <w:rsid w:val="08D613F6"/>
    <w:rsid w:val="08E4629E"/>
    <w:rsid w:val="08F7273C"/>
    <w:rsid w:val="08F748B2"/>
    <w:rsid w:val="08FC24CE"/>
    <w:rsid w:val="0932532A"/>
    <w:rsid w:val="09436B60"/>
    <w:rsid w:val="09626ABF"/>
    <w:rsid w:val="096C217F"/>
    <w:rsid w:val="09715015"/>
    <w:rsid w:val="09995EAE"/>
    <w:rsid w:val="099A5C18"/>
    <w:rsid w:val="09B00D0B"/>
    <w:rsid w:val="09C53FA9"/>
    <w:rsid w:val="09E977F8"/>
    <w:rsid w:val="0A034B09"/>
    <w:rsid w:val="0A081A83"/>
    <w:rsid w:val="0A173A74"/>
    <w:rsid w:val="0A1A6167"/>
    <w:rsid w:val="0A221417"/>
    <w:rsid w:val="0A374116"/>
    <w:rsid w:val="0A3E74EA"/>
    <w:rsid w:val="0A425498"/>
    <w:rsid w:val="0AB95133"/>
    <w:rsid w:val="0ABF4313"/>
    <w:rsid w:val="0AC153AA"/>
    <w:rsid w:val="0AD96F7B"/>
    <w:rsid w:val="0ADF52ED"/>
    <w:rsid w:val="0AF0679F"/>
    <w:rsid w:val="0AFB78C1"/>
    <w:rsid w:val="0B1A1A6E"/>
    <w:rsid w:val="0B322488"/>
    <w:rsid w:val="0B5223D4"/>
    <w:rsid w:val="0B5533E5"/>
    <w:rsid w:val="0B7777E0"/>
    <w:rsid w:val="0B7F34B3"/>
    <w:rsid w:val="0BB92AF5"/>
    <w:rsid w:val="0BBB6595"/>
    <w:rsid w:val="0BBC06A7"/>
    <w:rsid w:val="0BBE7DEA"/>
    <w:rsid w:val="0BCC30CF"/>
    <w:rsid w:val="0BE95143"/>
    <w:rsid w:val="0C0544CC"/>
    <w:rsid w:val="0C0D3381"/>
    <w:rsid w:val="0C33328B"/>
    <w:rsid w:val="0C5148D7"/>
    <w:rsid w:val="0C962424"/>
    <w:rsid w:val="0CAA1FBF"/>
    <w:rsid w:val="0CD34830"/>
    <w:rsid w:val="0D0E5602"/>
    <w:rsid w:val="0D1B15ED"/>
    <w:rsid w:val="0D226B64"/>
    <w:rsid w:val="0D3A62C0"/>
    <w:rsid w:val="0D4728C2"/>
    <w:rsid w:val="0D626AB5"/>
    <w:rsid w:val="0D6B035F"/>
    <w:rsid w:val="0DC642C0"/>
    <w:rsid w:val="0DE43B39"/>
    <w:rsid w:val="0E163D00"/>
    <w:rsid w:val="0E214EC1"/>
    <w:rsid w:val="0E396EFA"/>
    <w:rsid w:val="0E567261"/>
    <w:rsid w:val="0E582D88"/>
    <w:rsid w:val="0E890458"/>
    <w:rsid w:val="0EA74DE5"/>
    <w:rsid w:val="0ED85EC8"/>
    <w:rsid w:val="0EFF0B63"/>
    <w:rsid w:val="0F016F3B"/>
    <w:rsid w:val="0F040A6B"/>
    <w:rsid w:val="0F0947E6"/>
    <w:rsid w:val="0F0F11BE"/>
    <w:rsid w:val="0F31382A"/>
    <w:rsid w:val="0F3F16E7"/>
    <w:rsid w:val="0F4977A8"/>
    <w:rsid w:val="0F594BFD"/>
    <w:rsid w:val="0F621C35"/>
    <w:rsid w:val="0F643E6A"/>
    <w:rsid w:val="0F8807A8"/>
    <w:rsid w:val="0F9C0DBB"/>
    <w:rsid w:val="0FAC1EC7"/>
    <w:rsid w:val="0FB7524E"/>
    <w:rsid w:val="0FE1472E"/>
    <w:rsid w:val="0FF31B7B"/>
    <w:rsid w:val="100471E0"/>
    <w:rsid w:val="105F7D4D"/>
    <w:rsid w:val="10686873"/>
    <w:rsid w:val="10AC1E65"/>
    <w:rsid w:val="10AD4D06"/>
    <w:rsid w:val="10E50428"/>
    <w:rsid w:val="10F927CD"/>
    <w:rsid w:val="110135C3"/>
    <w:rsid w:val="11614166"/>
    <w:rsid w:val="11616526"/>
    <w:rsid w:val="117A6082"/>
    <w:rsid w:val="11846E28"/>
    <w:rsid w:val="118964B8"/>
    <w:rsid w:val="118C62FE"/>
    <w:rsid w:val="119562DA"/>
    <w:rsid w:val="11A006E2"/>
    <w:rsid w:val="11C4304E"/>
    <w:rsid w:val="11C44B5E"/>
    <w:rsid w:val="11C75D80"/>
    <w:rsid w:val="11DC435D"/>
    <w:rsid w:val="11F00535"/>
    <w:rsid w:val="11F272A1"/>
    <w:rsid w:val="120C6A9E"/>
    <w:rsid w:val="120D1A82"/>
    <w:rsid w:val="120F14AE"/>
    <w:rsid w:val="121F796A"/>
    <w:rsid w:val="123450C0"/>
    <w:rsid w:val="1246139A"/>
    <w:rsid w:val="124F2ECD"/>
    <w:rsid w:val="12675ABB"/>
    <w:rsid w:val="127A7329"/>
    <w:rsid w:val="128B7E6C"/>
    <w:rsid w:val="12AE7318"/>
    <w:rsid w:val="12C44055"/>
    <w:rsid w:val="12CA5A7D"/>
    <w:rsid w:val="12DC70FB"/>
    <w:rsid w:val="12FC3784"/>
    <w:rsid w:val="13006247"/>
    <w:rsid w:val="13085B4B"/>
    <w:rsid w:val="132238B8"/>
    <w:rsid w:val="1352062C"/>
    <w:rsid w:val="13706C15"/>
    <w:rsid w:val="13842E54"/>
    <w:rsid w:val="138D3493"/>
    <w:rsid w:val="138F28CD"/>
    <w:rsid w:val="13A26AA4"/>
    <w:rsid w:val="13BA282E"/>
    <w:rsid w:val="13C407C9"/>
    <w:rsid w:val="13EF7057"/>
    <w:rsid w:val="13F7164C"/>
    <w:rsid w:val="13FC4A3E"/>
    <w:rsid w:val="14081B0B"/>
    <w:rsid w:val="1414583C"/>
    <w:rsid w:val="14533ADF"/>
    <w:rsid w:val="1468446D"/>
    <w:rsid w:val="14856D31"/>
    <w:rsid w:val="14C760F9"/>
    <w:rsid w:val="14DF3776"/>
    <w:rsid w:val="15423271"/>
    <w:rsid w:val="154A3513"/>
    <w:rsid w:val="154B35ED"/>
    <w:rsid w:val="15604756"/>
    <w:rsid w:val="15B25D27"/>
    <w:rsid w:val="15D16FE4"/>
    <w:rsid w:val="15D85C93"/>
    <w:rsid w:val="160D248F"/>
    <w:rsid w:val="160F29C4"/>
    <w:rsid w:val="16135A37"/>
    <w:rsid w:val="16427FEB"/>
    <w:rsid w:val="1649153D"/>
    <w:rsid w:val="165146AA"/>
    <w:rsid w:val="16720692"/>
    <w:rsid w:val="169142F5"/>
    <w:rsid w:val="169225CD"/>
    <w:rsid w:val="16A17ABC"/>
    <w:rsid w:val="16B33193"/>
    <w:rsid w:val="16BB0F97"/>
    <w:rsid w:val="16EF5E9E"/>
    <w:rsid w:val="16F26CF8"/>
    <w:rsid w:val="16F41515"/>
    <w:rsid w:val="17147FD8"/>
    <w:rsid w:val="17155834"/>
    <w:rsid w:val="17490692"/>
    <w:rsid w:val="17537364"/>
    <w:rsid w:val="177978A3"/>
    <w:rsid w:val="178722F4"/>
    <w:rsid w:val="17A56B63"/>
    <w:rsid w:val="17A83C8E"/>
    <w:rsid w:val="17B73988"/>
    <w:rsid w:val="17B902BB"/>
    <w:rsid w:val="17BA7B45"/>
    <w:rsid w:val="17BC3ED4"/>
    <w:rsid w:val="17C0399D"/>
    <w:rsid w:val="17E05DED"/>
    <w:rsid w:val="17E175E6"/>
    <w:rsid w:val="17E72CD8"/>
    <w:rsid w:val="17EB114F"/>
    <w:rsid w:val="17ED71F2"/>
    <w:rsid w:val="17EF3151"/>
    <w:rsid w:val="18277B11"/>
    <w:rsid w:val="18325C50"/>
    <w:rsid w:val="183C123F"/>
    <w:rsid w:val="1843750D"/>
    <w:rsid w:val="18502F73"/>
    <w:rsid w:val="186711BB"/>
    <w:rsid w:val="1895033A"/>
    <w:rsid w:val="18CE20EA"/>
    <w:rsid w:val="19297320"/>
    <w:rsid w:val="19575C3B"/>
    <w:rsid w:val="19622F5E"/>
    <w:rsid w:val="19724C96"/>
    <w:rsid w:val="19735704"/>
    <w:rsid w:val="19843A8E"/>
    <w:rsid w:val="19861875"/>
    <w:rsid w:val="19E01178"/>
    <w:rsid w:val="19E77697"/>
    <w:rsid w:val="19EA147C"/>
    <w:rsid w:val="19F55487"/>
    <w:rsid w:val="1A105BAC"/>
    <w:rsid w:val="1A596788"/>
    <w:rsid w:val="1A5E1AA1"/>
    <w:rsid w:val="1A976C37"/>
    <w:rsid w:val="1ADF5EC2"/>
    <w:rsid w:val="1B0C1B91"/>
    <w:rsid w:val="1B3A3A66"/>
    <w:rsid w:val="1B442F1F"/>
    <w:rsid w:val="1B496D5D"/>
    <w:rsid w:val="1B821058"/>
    <w:rsid w:val="1B8C2DA2"/>
    <w:rsid w:val="1B98135E"/>
    <w:rsid w:val="1BB72BDE"/>
    <w:rsid w:val="1BE6275F"/>
    <w:rsid w:val="1BF12377"/>
    <w:rsid w:val="1C11073C"/>
    <w:rsid w:val="1C1127EB"/>
    <w:rsid w:val="1C193F27"/>
    <w:rsid w:val="1C250273"/>
    <w:rsid w:val="1C413CD1"/>
    <w:rsid w:val="1C4B0644"/>
    <w:rsid w:val="1C686CAE"/>
    <w:rsid w:val="1C932361"/>
    <w:rsid w:val="1CA30CAE"/>
    <w:rsid w:val="1CB10425"/>
    <w:rsid w:val="1CB3587E"/>
    <w:rsid w:val="1CCE3E00"/>
    <w:rsid w:val="1CEB3C2A"/>
    <w:rsid w:val="1CFF0F67"/>
    <w:rsid w:val="1D004467"/>
    <w:rsid w:val="1D3D0F5F"/>
    <w:rsid w:val="1D545500"/>
    <w:rsid w:val="1D6C26E5"/>
    <w:rsid w:val="1D7C3EC2"/>
    <w:rsid w:val="1D9A014E"/>
    <w:rsid w:val="1DBA6D75"/>
    <w:rsid w:val="1DC4428C"/>
    <w:rsid w:val="1DEE4E27"/>
    <w:rsid w:val="1DF00BB6"/>
    <w:rsid w:val="1E242305"/>
    <w:rsid w:val="1E3C503E"/>
    <w:rsid w:val="1E4C174B"/>
    <w:rsid w:val="1E5C100C"/>
    <w:rsid w:val="1E7352C5"/>
    <w:rsid w:val="1E8214D9"/>
    <w:rsid w:val="1E8E19E6"/>
    <w:rsid w:val="1ED630FA"/>
    <w:rsid w:val="1EEA12FF"/>
    <w:rsid w:val="1EEB54F0"/>
    <w:rsid w:val="1F0C571A"/>
    <w:rsid w:val="1F144B97"/>
    <w:rsid w:val="1F2629A0"/>
    <w:rsid w:val="1F3015F5"/>
    <w:rsid w:val="1F313E21"/>
    <w:rsid w:val="1F471822"/>
    <w:rsid w:val="1F5453EE"/>
    <w:rsid w:val="1F65445A"/>
    <w:rsid w:val="1F862D65"/>
    <w:rsid w:val="1F904E89"/>
    <w:rsid w:val="1FA73DAD"/>
    <w:rsid w:val="1FE32C12"/>
    <w:rsid w:val="20032EDE"/>
    <w:rsid w:val="20052043"/>
    <w:rsid w:val="201D1F5A"/>
    <w:rsid w:val="20323C44"/>
    <w:rsid w:val="20607908"/>
    <w:rsid w:val="20CA4266"/>
    <w:rsid w:val="20D04861"/>
    <w:rsid w:val="20E406FC"/>
    <w:rsid w:val="213061FA"/>
    <w:rsid w:val="21545F8E"/>
    <w:rsid w:val="216443BD"/>
    <w:rsid w:val="21C30C68"/>
    <w:rsid w:val="21EF46EC"/>
    <w:rsid w:val="21F17AFE"/>
    <w:rsid w:val="220D5096"/>
    <w:rsid w:val="221B014E"/>
    <w:rsid w:val="22244B28"/>
    <w:rsid w:val="22260FE9"/>
    <w:rsid w:val="222D1C2F"/>
    <w:rsid w:val="22415285"/>
    <w:rsid w:val="22466B66"/>
    <w:rsid w:val="226B54AD"/>
    <w:rsid w:val="22711F89"/>
    <w:rsid w:val="228F6446"/>
    <w:rsid w:val="22C41308"/>
    <w:rsid w:val="22CB5E9A"/>
    <w:rsid w:val="22D3035D"/>
    <w:rsid w:val="232E10C8"/>
    <w:rsid w:val="23352B28"/>
    <w:rsid w:val="23662D0F"/>
    <w:rsid w:val="23C8621A"/>
    <w:rsid w:val="23D73E2E"/>
    <w:rsid w:val="23DA5DE6"/>
    <w:rsid w:val="23E6478B"/>
    <w:rsid w:val="23EB5D7A"/>
    <w:rsid w:val="24176D26"/>
    <w:rsid w:val="243B39EE"/>
    <w:rsid w:val="243F1AF3"/>
    <w:rsid w:val="245949BF"/>
    <w:rsid w:val="248B0E8F"/>
    <w:rsid w:val="249544DC"/>
    <w:rsid w:val="24A3267C"/>
    <w:rsid w:val="24CE3D26"/>
    <w:rsid w:val="24F01899"/>
    <w:rsid w:val="250C1FD0"/>
    <w:rsid w:val="2522549C"/>
    <w:rsid w:val="252833DE"/>
    <w:rsid w:val="2543366C"/>
    <w:rsid w:val="25A80511"/>
    <w:rsid w:val="25C224AB"/>
    <w:rsid w:val="25CD5C03"/>
    <w:rsid w:val="25D61421"/>
    <w:rsid w:val="25E339F0"/>
    <w:rsid w:val="25F52A64"/>
    <w:rsid w:val="262618DA"/>
    <w:rsid w:val="262A3ED6"/>
    <w:rsid w:val="26487719"/>
    <w:rsid w:val="26543C2E"/>
    <w:rsid w:val="2654798F"/>
    <w:rsid w:val="26584B5B"/>
    <w:rsid w:val="26B9718D"/>
    <w:rsid w:val="26D7660D"/>
    <w:rsid w:val="26EE78AF"/>
    <w:rsid w:val="270C482E"/>
    <w:rsid w:val="2723459D"/>
    <w:rsid w:val="27377FE3"/>
    <w:rsid w:val="273B094A"/>
    <w:rsid w:val="275065E5"/>
    <w:rsid w:val="2767173F"/>
    <w:rsid w:val="276F071E"/>
    <w:rsid w:val="27AC5549"/>
    <w:rsid w:val="27BC5F2F"/>
    <w:rsid w:val="27EC46EA"/>
    <w:rsid w:val="27F800E1"/>
    <w:rsid w:val="281F1BDE"/>
    <w:rsid w:val="282078AC"/>
    <w:rsid w:val="286E175D"/>
    <w:rsid w:val="288D7056"/>
    <w:rsid w:val="28A349F9"/>
    <w:rsid w:val="28CE5BAA"/>
    <w:rsid w:val="28E13773"/>
    <w:rsid w:val="28E65517"/>
    <w:rsid w:val="291033C3"/>
    <w:rsid w:val="29252A6F"/>
    <w:rsid w:val="292F2E7A"/>
    <w:rsid w:val="29476D56"/>
    <w:rsid w:val="29655DBC"/>
    <w:rsid w:val="29B046BC"/>
    <w:rsid w:val="29B12B77"/>
    <w:rsid w:val="29BB4423"/>
    <w:rsid w:val="29BF3AB4"/>
    <w:rsid w:val="29F553A2"/>
    <w:rsid w:val="2A04021D"/>
    <w:rsid w:val="2A3104F8"/>
    <w:rsid w:val="2A465F84"/>
    <w:rsid w:val="2A743B27"/>
    <w:rsid w:val="2A7B7E9F"/>
    <w:rsid w:val="2A8D0E01"/>
    <w:rsid w:val="2A8F756A"/>
    <w:rsid w:val="2AAB5DE7"/>
    <w:rsid w:val="2AE72F87"/>
    <w:rsid w:val="2AFB46F8"/>
    <w:rsid w:val="2B1625B3"/>
    <w:rsid w:val="2B232A0B"/>
    <w:rsid w:val="2B29133E"/>
    <w:rsid w:val="2B2C517A"/>
    <w:rsid w:val="2B2E25E1"/>
    <w:rsid w:val="2B374A31"/>
    <w:rsid w:val="2B3A3CA1"/>
    <w:rsid w:val="2B8F603A"/>
    <w:rsid w:val="2B9B7031"/>
    <w:rsid w:val="2BBC3D43"/>
    <w:rsid w:val="2BDB12A6"/>
    <w:rsid w:val="2BE37D65"/>
    <w:rsid w:val="2C427AF3"/>
    <w:rsid w:val="2C5A351E"/>
    <w:rsid w:val="2C5D4747"/>
    <w:rsid w:val="2C881211"/>
    <w:rsid w:val="2CAF2294"/>
    <w:rsid w:val="2CC541ED"/>
    <w:rsid w:val="2CCD3EBA"/>
    <w:rsid w:val="2CDE761A"/>
    <w:rsid w:val="2CF47F19"/>
    <w:rsid w:val="2CF717B7"/>
    <w:rsid w:val="2D331209"/>
    <w:rsid w:val="2D335406"/>
    <w:rsid w:val="2D6D7CCB"/>
    <w:rsid w:val="2D8821CF"/>
    <w:rsid w:val="2DBA12EA"/>
    <w:rsid w:val="2DC45EB8"/>
    <w:rsid w:val="2DC518B5"/>
    <w:rsid w:val="2DED65D5"/>
    <w:rsid w:val="2DF26DB4"/>
    <w:rsid w:val="2E102C3A"/>
    <w:rsid w:val="2E143942"/>
    <w:rsid w:val="2E34556F"/>
    <w:rsid w:val="2E5212F6"/>
    <w:rsid w:val="2E522BCA"/>
    <w:rsid w:val="2E705CB2"/>
    <w:rsid w:val="2E795FE6"/>
    <w:rsid w:val="2E873D5E"/>
    <w:rsid w:val="2E935CCC"/>
    <w:rsid w:val="2EA73638"/>
    <w:rsid w:val="2EC056C4"/>
    <w:rsid w:val="2EE16C73"/>
    <w:rsid w:val="2F0D5D93"/>
    <w:rsid w:val="2F222C61"/>
    <w:rsid w:val="2F4732BB"/>
    <w:rsid w:val="2F707A66"/>
    <w:rsid w:val="2F9C5796"/>
    <w:rsid w:val="2FDD4C94"/>
    <w:rsid w:val="30171CE7"/>
    <w:rsid w:val="302D6B27"/>
    <w:rsid w:val="3038204F"/>
    <w:rsid w:val="30430D83"/>
    <w:rsid w:val="306B39F9"/>
    <w:rsid w:val="306B6D56"/>
    <w:rsid w:val="30726DAB"/>
    <w:rsid w:val="308B30A6"/>
    <w:rsid w:val="30914C13"/>
    <w:rsid w:val="30DD70E3"/>
    <w:rsid w:val="30E3452C"/>
    <w:rsid w:val="30F46890"/>
    <w:rsid w:val="310F016D"/>
    <w:rsid w:val="31116156"/>
    <w:rsid w:val="313516BD"/>
    <w:rsid w:val="3137014A"/>
    <w:rsid w:val="313E6147"/>
    <w:rsid w:val="314C03A8"/>
    <w:rsid w:val="3193152F"/>
    <w:rsid w:val="31933523"/>
    <w:rsid w:val="319B6F3C"/>
    <w:rsid w:val="31AA6DF8"/>
    <w:rsid w:val="320D1D2B"/>
    <w:rsid w:val="32295A9A"/>
    <w:rsid w:val="325B33A5"/>
    <w:rsid w:val="32C078B5"/>
    <w:rsid w:val="32D7273B"/>
    <w:rsid w:val="32D73C02"/>
    <w:rsid w:val="32D92695"/>
    <w:rsid w:val="32DF1FDC"/>
    <w:rsid w:val="330164A5"/>
    <w:rsid w:val="33221444"/>
    <w:rsid w:val="33224E0C"/>
    <w:rsid w:val="33397F29"/>
    <w:rsid w:val="334B712D"/>
    <w:rsid w:val="33615BDC"/>
    <w:rsid w:val="33673093"/>
    <w:rsid w:val="33795270"/>
    <w:rsid w:val="33814875"/>
    <w:rsid w:val="339F0930"/>
    <w:rsid w:val="33AA3E46"/>
    <w:rsid w:val="33E80474"/>
    <w:rsid w:val="34032B64"/>
    <w:rsid w:val="340A1DD0"/>
    <w:rsid w:val="3429592E"/>
    <w:rsid w:val="34357B42"/>
    <w:rsid w:val="34491534"/>
    <w:rsid w:val="345B4250"/>
    <w:rsid w:val="346A0AC1"/>
    <w:rsid w:val="346F3E3C"/>
    <w:rsid w:val="347205B7"/>
    <w:rsid w:val="347A44F8"/>
    <w:rsid w:val="34876187"/>
    <w:rsid w:val="349B3370"/>
    <w:rsid w:val="34CF34ED"/>
    <w:rsid w:val="34DD157F"/>
    <w:rsid w:val="34E67AAD"/>
    <w:rsid w:val="350216B8"/>
    <w:rsid w:val="35797502"/>
    <w:rsid w:val="359202CF"/>
    <w:rsid w:val="35BD3C46"/>
    <w:rsid w:val="35F1662A"/>
    <w:rsid w:val="35F41D8E"/>
    <w:rsid w:val="35F71860"/>
    <w:rsid w:val="36057F9B"/>
    <w:rsid w:val="361667E9"/>
    <w:rsid w:val="365E6FC6"/>
    <w:rsid w:val="36866EC3"/>
    <w:rsid w:val="36AD31C9"/>
    <w:rsid w:val="36CE316A"/>
    <w:rsid w:val="36CE6E0C"/>
    <w:rsid w:val="36F5590E"/>
    <w:rsid w:val="37086DF7"/>
    <w:rsid w:val="37265173"/>
    <w:rsid w:val="3732110B"/>
    <w:rsid w:val="375469C5"/>
    <w:rsid w:val="375652A5"/>
    <w:rsid w:val="376561BE"/>
    <w:rsid w:val="376C17AE"/>
    <w:rsid w:val="37705D3D"/>
    <w:rsid w:val="37744D0F"/>
    <w:rsid w:val="37933DB2"/>
    <w:rsid w:val="37CE2564"/>
    <w:rsid w:val="37D66F4B"/>
    <w:rsid w:val="380D1E8F"/>
    <w:rsid w:val="38335AA7"/>
    <w:rsid w:val="384A5E98"/>
    <w:rsid w:val="385365A5"/>
    <w:rsid w:val="3873693A"/>
    <w:rsid w:val="38980E69"/>
    <w:rsid w:val="38BA4145"/>
    <w:rsid w:val="38C614CB"/>
    <w:rsid w:val="38CA5458"/>
    <w:rsid w:val="38D9275D"/>
    <w:rsid w:val="38DB3D3B"/>
    <w:rsid w:val="38DE493C"/>
    <w:rsid w:val="391D3F7D"/>
    <w:rsid w:val="391D415F"/>
    <w:rsid w:val="392121A5"/>
    <w:rsid w:val="39230C69"/>
    <w:rsid w:val="39344543"/>
    <w:rsid w:val="393605C7"/>
    <w:rsid w:val="394B2CA4"/>
    <w:rsid w:val="398059C5"/>
    <w:rsid w:val="39912518"/>
    <w:rsid w:val="39A36FB3"/>
    <w:rsid w:val="39B4636A"/>
    <w:rsid w:val="39B7532B"/>
    <w:rsid w:val="39B817BA"/>
    <w:rsid w:val="39D94BEF"/>
    <w:rsid w:val="39F727BE"/>
    <w:rsid w:val="3A0102E0"/>
    <w:rsid w:val="3A052BD8"/>
    <w:rsid w:val="3A124FA3"/>
    <w:rsid w:val="3A4D1669"/>
    <w:rsid w:val="3A593A6E"/>
    <w:rsid w:val="3A8B463E"/>
    <w:rsid w:val="3AB52498"/>
    <w:rsid w:val="3ACB0F9E"/>
    <w:rsid w:val="3AE761B6"/>
    <w:rsid w:val="3AEA7B09"/>
    <w:rsid w:val="3AF17846"/>
    <w:rsid w:val="3AFD5C34"/>
    <w:rsid w:val="3B0D0CA4"/>
    <w:rsid w:val="3B265244"/>
    <w:rsid w:val="3B3332F4"/>
    <w:rsid w:val="3B62588A"/>
    <w:rsid w:val="3B74225D"/>
    <w:rsid w:val="3B7A783B"/>
    <w:rsid w:val="3B894744"/>
    <w:rsid w:val="3B94030F"/>
    <w:rsid w:val="3B9A7EDD"/>
    <w:rsid w:val="3BA63ABA"/>
    <w:rsid w:val="3C1934F8"/>
    <w:rsid w:val="3C1B66FB"/>
    <w:rsid w:val="3C1E47AE"/>
    <w:rsid w:val="3C2B6315"/>
    <w:rsid w:val="3C362D74"/>
    <w:rsid w:val="3C4079C2"/>
    <w:rsid w:val="3C4C0245"/>
    <w:rsid w:val="3C597DBD"/>
    <w:rsid w:val="3C5D41C3"/>
    <w:rsid w:val="3C7256D1"/>
    <w:rsid w:val="3C8263E5"/>
    <w:rsid w:val="3CB74ABF"/>
    <w:rsid w:val="3CD64DC8"/>
    <w:rsid w:val="3CE0657B"/>
    <w:rsid w:val="3CE11C47"/>
    <w:rsid w:val="3CE8467D"/>
    <w:rsid w:val="3D5A63BA"/>
    <w:rsid w:val="3D5E4F3B"/>
    <w:rsid w:val="3D646C74"/>
    <w:rsid w:val="3D88127A"/>
    <w:rsid w:val="3D9265B6"/>
    <w:rsid w:val="3D9B6CCC"/>
    <w:rsid w:val="3D9D399A"/>
    <w:rsid w:val="3DA46D54"/>
    <w:rsid w:val="3DB65DBB"/>
    <w:rsid w:val="3DBA2957"/>
    <w:rsid w:val="3DEE031B"/>
    <w:rsid w:val="3E8A38A3"/>
    <w:rsid w:val="3E9F1660"/>
    <w:rsid w:val="3ED607E5"/>
    <w:rsid w:val="3F3A06BE"/>
    <w:rsid w:val="3F4C4E28"/>
    <w:rsid w:val="3F584337"/>
    <w:rsid w:val="3F692E37"/>
    <w:rsid w:val="3F701AFB"/>
    <w:rsid w:val="3FEB5E51"/>
    <w:rsid w:val="3FF94573"/>
    <w:rsid w:val="40454F35"/>
    <w:rsid w:val="405E7ED6"/>
    <w:rsid w:val="40616057"/>
    <w:rsid w:val="406F1B68"/>
    <w:rsid w:val="40711D24"/>
    <w:rsid w:val="40865519"/>
    <w:rsid w:val="40994C08"/>
    <w:rsid w:val="40BA64E5"/>
    <w:rsid w:val="40CA10E4"/>
    <w:rsid w:val="40D5220D"/>
    <w:rsid w:val="40DC1EC9"/>
    <w:rsid w:val="40E06347"/>
    <w:rsid w:val="412A7EFF"/>
    <w:rsid w:val="414D59F2"/>
    <w:rsid w:val="414F24E9"/>
    <w:rsid w:val="41604B57"/>
    <w:rsid w:val="419812C6"/>
    <w:rsid w:val="41994793"/>
    <w:rsid w:val="41A2075D"/>
    <w:rsid w:val="41A749D8"/>
    <w:rsid w:val="41CF1CE4"/>
    <w:rsid w:val="41F31303"/>
    <w:rsid w:val="420140A7"/>
    <w:rsid w:val="42103CF6"/>
    <w:rsid w:val="4218760A"/>
    <w:rsid w:val="426C3C04"/>
    <w:rsid w:val="42855497"/>
    <w:rsid w:val="428C62AE"/>
    <w:rsid w:val="42903DE8"/>
    <w:rsid w:val="42B240B2"/>
    <w:rsid w:val="42B32777"/>
    <w:rsid w:val="42CC2D9D"/>
    <w:rsid w:val="42D1549D"/>
    <w:rsid w:val="42D41E73"/>
    <w:rsid w:val="42DA3CF7"/>
    <w:rsid w:val="42F00A91"/>
    <w:rsid w:val="430F689F"/>
    <w:rsid w:val="43101594"/>
    <w:rsid w:val="431D5855"/>
    <w:rsid w:val="432A68F0"/>
    <w:rsid w:val="43413334"/>
    <w:rsid w:val="43BD0C0D"/>
    <w:rsid w:val="43ED543E"/>
    <w:rsid w:val="43EE45CF"/>
    <w:rsid w:val="43F65E72"/>
    <w:rsid w:val="44022AC4"/>
    <w:rsid w:val="44134488"/>
    <w:rsid w:val="442E4185"/>
    <w:rsid w:val="44310014"/>
    <w:rsid w:val="44352D66"/>
    <w:rsid w:val="444C672F"/>
    <w:rsid w:val="44540812"/>
    <w:rsid w:val="448F0DD5"/>
    <w:rsid w:val="4497145E"/>
    <w:rsid w:val="44B32010"/>
    <w:rsid w:val="44D71DCB"/>
    <w:rsid w:val="451167EB"/>
    <w:rsid w:val="452F00A9"/>
    <w:rsid w:val="45376555"/>
    <w:rsid w:val="455B77A0"/>
    <w:rsid w:val="455C1426"/>
    <w:rsid w:val="457D426B"/>
    <w:rsid w:val="4593741F"/>
    <w:rsid w:val="459B28F4"/>
    <w:rsid w:val="45A95F05"/>
    <w:rsid w:val="45D7246D"/>
    <w:rsid w:val="45DA0B80"/>
    <w:rsid w:val="45E00BE3"/>
    <w:rsid w:val="45E87A97"/>
    <w:rsid w:val="45F13421"/>
    <w:rsid w:val="45F3117D"/>
    <w:rsid w:val="45FA7BF8"/>
    <w:rsid w:val="46224D46"/>
    <w:rsid w:val="468637BD"/>
    <w:rsid w:val="468772B0"/>
    <w:rsid w:val="46A30218"/>
    <w:rsid w:val="46B06807"/>
    <w:rsid w:val="46B134CF"/>
    <w:rsid w:val="46B2770F"/>
    <w:rsid w:val="46D130BD"/>
    <w:rsid w:val="46D130CC"/>
    <w:rsid w:val="46FC2CCE"/>
    <w:rsid w:val="47154007"/>
    <w:rsid w:val="47392CA0"/>
    <w:rsid w:val="47520125"/>
    <w:rsid w:val="477261B2"/>
    <w:rsid w:val="47B73BC5"/>
    <w:rsid w:val="47CB0D34"/>
    <w:rsid w:val="47E42AF1"/>
    <w:rsid w:val="481A2214"/>
    <w:rsid w:val="481B3CA1"/>
    <w:rsid w:val="484250E1"/>
    <w:rsid w:val="484D4314"/>
    <w:rsid w:val="48684DC2"/>
    <w:rsid w:val="48870262"/>
    <w:rsid w:val="488C2652"/>
    <w:rsid w:val="489E07C7"/>
    <w:rsid w:val="48BF797B"/>
    <w:rsid w:val="48E94252"/>
    <w:rsid w:val="48F86677"/>
    <w:rsid w:val="49197859"/>
    <w:rsid w:val="49271F07"/>
    <w:rsid w:val="493A5072"/>
    <w:rsid w:val="494E51AB"/>
    <w:rsid w:val="49656121"/>
    <w:rsid w:val="49744902"/>
    <w:rsid w:val="4987458E"/>
    <w:rsid w:val="49922502"/>
    <w:rsid w:val="49A904FA"/>
    <w:rsid w:val="49C12AD9"/>
    <w:rsid w:val="49DB17A5"/>
    <w:rsid w:val="4A073DC4"/>
    <w:rsid w:val="4A4534F8"/>
    <w:rsid w:val="4A4F70CD"/>
    <w:rsid w:val="4A6948D1"/>
    <w:rsid w:val="4A6E2C61"/>
    <w:rsid w:val="4AA13C22"/>
    <w:rsid w:val="4AC772E5"/>
    <w:rsid w:val="4AF3440D"/>
    <w:rsid w:val="4AF74789"/>
    <w:rsid w:val="4B1748F1"/>
    <w:rsid w:val="4B174FA3"/>
    <w:rsid w:val="4B626DA5"/>
    <w:rsid w:val="4B8C3A5E"/>
    <w:rsid w:val="4B9376AB"/>
    <w:rsid w:val="4B977F95"/>
    <w:rsid w:val="4BA70210"/>
    <w:rsid w:val="4BB70638"/>
    <w:rsid w:val="4BB73B85"/>
    <w:rsid w:val="4BFB6FBE"/>
    <w:rsid w:val="4BFF4E42"/>
    <w:rsid w:val="4C135861"/>
    <w:rsid w:val="4C267D14"/>
    <w:rsid w:val="4C382EC4"/>
    <w:rsid w:val="4C43733C"/>
    <w:rsid w:val="4C4C0789"/>
    <w:rsid w:val="4C687B84"/>
    <w:rsid w:val="4C73415B"/>
    <w:rsid w:val="4C782571"/>
    <w:rsid w:val="4CA93F8C"/>
    <w:rsid w:val="4D2D1E46"/>
    <w:rsid w:val="4D387DAC"/>
    <w:rsid w:val="4D6315A3"/>
    <w:rsid w:val="4D810EFD"/>
    <w:rsid w:val="4D906F26"/>
    <w:rsid w:val="4DA30E74"/>
    <w:rsid w:val="4DB47DBF"/>
    <w:rsid w:val="4DBD5597"/>
    <w:rsid w:val="4DD82BCA"/>
    <w:rsid w:val="4DF6443C"/>
    <w:rsid w:val="4E200716"/>
    <w:rsid w:val="4E2A6B67"/>
    <w:rsid w:val="4E2B0351"/>
    <w:rsid w:val="4E326364"/>
    <w:rsid w:val="4E3C6544"/>
    <w:rsid w:val="4E6472B8"/>
    <w:rsid w:val="4E653EC5"/>
    <w:rsid w:val="4E6E55FB"/>
    <w:rsid w:val="4E817347"/>
    <w:rsid w:val="4E9F71E3"/>
    <w:rsid w:val="4ECB6950"/>
    <w:rsid w:val="4ED05258"/>
    <w:rsid w:val="4EEA1080"/>
    <w:rsid w:val="4F046B2F"/>
    <w:rsid w:val="4F0C0C9A"/>
    <w:rsid w:val="4F260B04"/>
    <w:rsid w:val="4F5543EF"/>
    <w:rsid w:val="4F59151E"/>
    <w:rsid w:val="4F5E1BF2"/>
    <w:rsid w:val="4FCC413C"/>
    <w:rsid w:val="4FD313CD"/>
    <w:rsid w:val="4FD355AF"/>
    <w:rsid w:val="4FFA4FF5"/>
    <w:rsid w:val="4FFD2FB1"/>
    <w:rsid w:val="500951DA"/>
    <w:rsid w:val="500A60BD"/>
    <w:rsid w:val="503E4E84"/>
    <w:rsid w:val="5041514D"/>
    <w:rsid w:val="5046672E"/>
    <w:rsid w:val="50564B41"/>
    <w:rsid w:val="505D565F"/>
    <w:rsid w:val="5060129E"/>
    <w:rsid w:val="50D66D27"/>
    <w:rsid w:val="50FD7B81"/>
    <w:rsid w:val="510A3C2F"/>
    <w:rsid w:val="511D4DBE"/>
    <w:rsid w:val="511F776F"/>
    <w:rsid w:val="513A35F1"/>
    <w:rsid w:val="51404C2B"/>
    <w:rsid w:val="5152726F"/>
    <w:rsid w:val="51606F67"/>
    <w:rsid w:val="517F254E"/>
    <w:rsid w:val="51891DFE"/>
    <w:rsid w:val="5191310E"/>
    <w:rsid w:val="519311FF"/>
    <w:rsid w:val="51985C65"/>
    <w:rsid w:val="51A86BCC"/>
    <w:rsid w:val="51BD7840"/>
    <w:rsid w:val="51C05345"/>
    <w:rsid w:val="51C76345"/>
    <w:rsid w:val="51CD1C66"/>
    <w:rsid w:val="51DC15CB"/>
    <w:rsid w:val="5208399B"/>
    <w:rsid w:val="520A3C3A"/>
    <w:rsid w:val="5226253D"/>
    <w:rsid w:val="52327D1E"/>
    <w:rsid w:val="5241099C"/>
    <w:rsid w:val="524D5852"/>
    <w:rsid w:val="525D3232"/>
    <w:rsid w:val="52677F6F"/>
    <w:rsid w:val="5271732B"/>
    <w:rsid w:val="52830427"/>
    <w:rsid w:val="528D6C21"/>
    <w:rsid w:val="529A7E78"/>
    <w:rsid w:val="52BC020C"/>
    <w:rsid w:val="52F826CA"/>
    <w:rsid w:val="53111FDA"/>
    <w:rsid w:val="53440C72"/>
    <w:rsid w:val="534B0781"/>
    <w:rsid w:val="539546D7"/>
    <w:rsid w:val="53A02C20"/>
    <w:rsid w:val="53E323BE"/>
    <w:rsid w:val="53E974CC"/>
    <w:rsid w:val="53F61F3F"/>
    <w:rsid w:val="54146568"/>
    <w:rsid w:val="541B2FD4"/>
    <w:rsid w:val="54523610"/>
    <w:rsid w:val="545853DC"/>
    <w:rsid w:val="546F2378"/>
    <w:rsid w:val="546F5544"/>
    <w:rsid w:val="54905ECA"/>
    <w:rsid w:val="5492305F"/>
    <w:rsid w:val="54C739A5"/>
    <w:rsid w:val="54E65AEA"/>
    <w:rsid w:val="54EA55DA"/>
    <w:rsid w:val="54F27090"/>
    <w:rsid w:val="54FB786E"/>
    <w:rsid w:val="550744A5"/>
    <w:rsid w:val="55190780"/>
    <w:rsid w:val="552D0279"/>
    <w:rsid w:val="554B19F5"/>
    <w:rsid w:val="5563494C"/>
    <w:rsid w:val="55796440"/>
    <w:rsid w:val="55822DAE"/>
    <w:rsid w:val="558C7A4D"/>
    <w:rsid w:val="558D221A"/>
    <w:rsid w:val="558F2E36"/>
    <w:rsid w:val="55AB0D07"/>
    <w:rsid w:val="55BC4DD7"/>
    <w:rsid w:val="55DC7658"/>
    <w:rsid w:val="55E24503"/>
    <w:rsid w:val="55E82366"/>
    <w:rsid w:val="564F72EB"/>
    <w:rsid w:val="56A766A0"/>
    <w:rsid w:val="56A82E53"/>
    <w:rsid w:val="56B94E26"/>
    <w:rsid w:val="56BC0C64"/>
    <w:rsid w:val="56CA49B1"/>
    <w:rsid w:val="56D914CD"/>
    <w:rsid w:val="56FD40EB"/>
    <w:rsid w:val="57263C7F"/>
    <w:rsid w:val="572F79C6"/>
    <w:rsid w:val="574D7CCE"/>
    <w:rsid w:val="575419A4"/>
    <w:rsid w:val="5755438D"/>
    <w:rsid w:val="57816EED"/>
    <w:rsid w:val="578B4C0A"/>
    <w:rsid w:val="57AB63C0"/>
    <w:rsid w:val="580E6203"/>
    <w:rsid w:val="582708F3"/>
    <w:rsid w:val="582D5FA4"/>
    <w:rsid w:val="582F1E77"/>
    <w:rsid w:val="584A04AF"/>
    <w:rsid w:val="58517DB8"/>
    <w:rsid w:val="585C1720"/>
    <w:rsid w:val="585E0371"/>
    <w:rsid w:val="58EF3D6C"/>
    <w:rsid w:val="59100148"/>
    <w:rsid w:val="593C217C"/>
    <w:rsid w:val="595B61CB"/>
    <w:rsid w:val="595C2E2B"/>
    <w:rsid w:val="595C7C23"/>
    <w:rsid w:val="59BE5287"/>
    <w:rsid w:val="59BE7035"/>
    <w:rsid w:val="59C6772F"/>
    <w:rsid w:val="59DE2418"/>
    <w:rsid w:val="59FB65FE"/>
    <w:rsid w:val="59FD4B7F"/>
    <w:rsid w:val="5A0B11E1"/>
    <w:rsid w:val="5A3806A7"/>
    <w:rsid w:val="5A6600D3"/>
    <w:rsid w:val="5A6E45B7"/>
    <w:rsid w:val="5AA0079B"/>
    <w:rsid w:val="5AB02589"/>
    <w:rsid w:val="5ABC1175"/>
    <w:rsid w:val="5B145A58"/>
    <w:rsid w:val="5B332698"/>
    <w:rsid w:val="5B383A66"/>
    <w:rsid w:val="5B454466"/>
    <w:rsid w:val="5B6B5057"/>
    <w:rsid w:val="5BA81D4B"/>
    <w:rsid w:val="5BB04DF0"/>
    <w:rsid w:val="5C0206B5"/>
    <w:rsid w:val="5C0F2DC3"/>
    <w:rsid w:val="5C245875"/>
    <w:rsid w:val="5C381321"/>
    <w:rsid w:val="5C420A59"/>
    <w:rsid w:val="5C4C6DFE"/>
    <w:rsid w:val="5C580DFB"/>
    <w:rsid w:val="5C637CFF"/>
    <w:rsid w:val="5C747B79"/>
    <w:rsid w:val="5C987130"/>
    <w:rsid w:val="5CAF66C2"/>
    <w:rsid w:val="5CB515D3"/>
    <w:rsid w:val="5CB61659"/>
    <w:rsid w:val="5CB62831"/>
    <w:rsid w:val="5CDD5CC4"/>
    <w:rsid w:val="5CFD2168"/>
    <w:rsid w:val="5D0073BE"/>
    <w:rsid w:val="5D027239"/>
    <w:rsid w:val="5D102B51"/>
    <w:rsid w:val="5D1934F3"/>
    <w:rsid w:val="5D777C27"/>
    <w:rsid w:val="5D841A1A"/>
    <w:rsid w:val="5D852E80"/>
    <w:rsid w:val="5D905938"/>
    <w:rsid w:val="5D9E1BA5"/>
    <w:rsid w:val="5DDE7CA6"/>
    <w:rsid w:val="5E3873B6"/>
    <w:rsid w:val="5E4A6FEA"/>
    <w:rsid w:val="5E5230B5"/>
    <w:rsid w:val="5E784964"/>
    <w:rsid w:val="5E824AD5"/>
    <w:rsid w:val="5E9D66EE"/>
    <w:rsid w:val="5EC428F3"/>
    <w:rsid w:val="5F03474A"/>
    <w:rsid w:val="5F066C9A"/>
    <w:rsid w:val="5F1628B3"/>
    <w:rsid w:val="5F685ADB"/>
    <w:rsid w:val="5F6F1279"/>
    <w:rsid w:val="5F7F40F4"/>
    <w:rsid w:val="5F802F11"/>
    <w:rsid w:val="5FA32B10"/>
    <w:rsid w:val="5FB41059"/>
    <w:rsid w:val="5FBE5F6C"/>
    <w:rsid w:val="5FD1323B"/>
    <w:rsid w:val="5FE85258"/>
    <w:rsid w:val="5FF81F8A"/>
    <w:rsid w:val="6001183F"/>
    <w:rsid w:val="60076477"/>
    <w:rsid w:val="60406E4B"/>
    <w:rsid w:val="60574DD5"/>
    <w:rsid w:val="60862B47"/>
    <w:rsid w:val="609A2D0B"/>
    <w:rsid w:val="60F95BFE"/>
    <w:rsid w:val="61241E74"/>
    <w:rsid w:val="61275087"/>
    <w:rsid w:val="61693D2A"/>
    <w:rsid w:val="61A00A4C"/>
    <w:rsid w:val="61A84853"/>
    <w:rsid w:val="61B76844"/>
    <w:rsid w:val="61E575C5"/>
    <w:rsid w:val="61EC1897"/>
    <w:rsid w:val="61F62C86"/>
    <w:rsid w:val="61FA72DA"/>
    <w:rsid w:val="62261494"/>
    <w:rsid w:val="623C6124"/>
    <w:rsid w:val="62622755"/>
    <w:rsid w:val="628C1A7E"/>
    <w:rsid w:val="62925BAD"/>
    <w:rsid w:val="62EF09FC"/>
    <w:rsid w:val="63011D6F"/>
    <w:rsid w:val="63220D80"/>
    <w:rsid w:val="632B2942"/>
    <w:rsid w:val="63545442"/>
    <w:rsid w:val="63735735"/>
    <w:rsid w:val="637766D3"/>
    <w:rsid w:val="639D0223"/>
    <w:rsid w:val="63A16C97"/>
    <w:rsid w:val="63B6421B"/>
    <w:rsid w:val="63C339A7"/>
    <w:rsid w:val="63C83D08"/>
    <w:rsid w:val="63CB5574"/>
    <w:rsid w:val="63E47B89"/>
    <w:rsid w:val="63FF0B7B"/>
    <w:rsid w:val="64382509"/>
    <w:rsid w:val="64406AAF"/>
    <w:rsid w:val="64433DB1"/>
    <w:rsid w:val="644F26FB"/>
    <w:rsid w:val="64771C4B"/>
    <w:rsid w:val="647A138C"/>
    <w:rsid w:val="64DF023C"/>
    <w:rsid w:val="64E224D4"/>
    <w:rsid w:val="64EB604E"/>
    <w:rsid w:val="64FA6E36"/>
    <w:rsid w:val="650D7978"/>
    <w:rsid w:val="653C55F0"/>
    <w:rsid w:val="65434594"/>
    <w:rsid w:val="65685987"/>
    <w:rsid w:val="656A4910"/>
    <w:rsid w:val="657414E1"/>
    <w:rsid w:val="65901886"/>
    <w:rsid w:val="659F2D14"/>
    <w:rsid w:val="65A74E21"/>
    <w:rsid w:val="65A92947"/>
    <w:rsid w:val="65B65064"/>
    <w:rsid w:val="65BC231A"/>
    <w:rsid w:val="65E334B8"/>
    <w:rsid w:val="660B53B0"/>
    <w:rsid w:val="66214BD4"/>
    <w:rsid w:val="662D41D7"/>
    <w:rsid w:val="66457F17"/>
    <w:rsid w:val="66504B3F"/>
    <w:rsid w:val="66564A62"/>
    <w:rsid w:val="66C53CD6"/>
    <w:rsid w:val="66E77BCB"/>
    <w:rsid w:val="66EB51F1"/>
    <w:rsid w:val="670B4D29"/>
    <w:rsid w:val="6718005C"/>
    <w:rsid w:val="671A307D"/>
    <w:rsid w:val="672447C5"/>
    <w:rsid w:val="6728417E"/>
    <w:rsid w:val="674275AA"/>
    <w:rsid w:val="674566A0"/>
    <w:rsid w:val="67AD173A"/>
    <w:rsid w:val="67C53BE8"/>
    <w:rsid w:val="67E759A9"/>
    <w:rsid w:val="68007FF7"/>
    <w:rsid w:val="681C08A2"/>
    <w:rsid w:val="681C2C23"/>
    <w:rsid w:val="684E59A6"/>
    <w:rsid w:val="68663078"/>
    <w:rsid w:val="68664117"/>
    <w:rsid w:val="68744C21"/>
    <w:rsid w:val="687F3E33"/>
    <w:rsid w:val="68B15AD4"/>
    <w:rsid w:val="68C710D5"/>
    <w:rsid w:val="68DC276D"/>
    <w:rsid w:val="68E4494E"/>
    <w:rsid w:val="68F71C1C"/>
    <w:rsid w:val="68F72B31"/>
    <w:rsid w:val="68FE6652"/>
    <w:rsid w:val="691A0A70"/>
    <w:rsid w:val="69335A48"/>
    <w:rsid w:val="69374BA3"/>
    <w:rsid w:val="694F038A"/>
    <w:rsid w:val="694F2375"/>
    <w:rsid w:val="6969328D"/>
    <w:rsid w:val="697C5B0A"/>
    <w:rsid w:val="69853C70"/>
    <w:rsid w:val="69FA696C"/>
    <w:rsid w:val="6A044A50"/>
    <w:rsid w:val="6A1109C3"/>
    <w:rsid w:val="6A203AEF"/>
    <w:rsid w:val="6A3D3953"/>
    <w:rsid w:val="6A3E4FF2"/>
    <w:rsid w:val="6A5731D0"/>
    <w:rsid w:val="6A5B1D3E"/>
    <w:rsid w:val="6A5C267E"/>
    <w:rsid w:val="6A6D45E3"/>
    <w:rsid w:val="6ADC556D"/>
    <w:rsid w:val="6B101B28"/>
    <w:rsid w:val="6B1673E4"/>
    <w:rsid w:val="6B2A1D3D"/>
    <w:rsid w:val="6B2F1F21"/>
    <w:rsid w:val="6B302303"/>
    <w:rsid w:val="6B755662"/>
    <w:rsid w:val="6B7E4007"/>
    <w:rsid w:val="6B827EC3"/>
    <w:rsid w:val="6B995B8F"/>
    <w:rsid w:val="6BA633A5"/>
    <w:rsid w:val="6BF67CD7"/>
    <w:rsid w:val="6BFD0669"/>
    <w:rsid w:val="6C1D68D2"/>
    <w:rsid w:val="6C4A6942"/>
    <w:rsid w:val="6C664218"/>
    <w:rsid w:val="6C687F95"/>
    <w:rsid w:val="6C740735"/>
    <w:rsid w:val="6CB80F05"/>
    <w:rsid w:val="6CCF5389"/>
    <w:rsid w:val="6CD66C64"/>
    <w:rsid w:val="6CDA3733"/>
    <w:rsid w:val="6CE04D08"/>
    <w:rsid w:val="6CE202C5"/>
    <w:rsid w:val="6CF14747"/>
    <w:rsid w:val="6D04274B"/>
    <w:rsid w:val="6D07411F"/>
    <w:rsid w:val="6D4436F7"/>
    <w:rsid w:val="6D7D4DE5"/>
    <w:rsid w:val="6DA02882"/>
    <w:rsid w:val="6DBBA87E"/>
    <w:rsid w:val="6DBC69C9"/>
    <w:rsid w:val="6DDF30E4"/>
    <w:rsid w:val="6DDF6736"/>
    <w:rsid w:val="6DE76703"/>
    <w:rsid w:val="6E02758F"/>
    <w:rsid w:val="6E082AA3"/>
    <w:rsid w:val="6E21103A"/>
    <w:rsid w:val="6E466CF9"/>
    <w:rsid w:val="6E5813AF"/>
    <w:rsid w:val="6E5D11E2"/>
    <w:rsid w:val="6E782940"/>
    <w:rsid w:val="6E7F7640"/>
    <w:rsid w:val="6E9D6B11"/>
    <w:rsid w:val="6EAD5F0E"/>
    <w:rsid w:val="6EC42B4F"/>
    <w:rsid w:val="6EDF609F"/>
    <w:rsid w:val="6EE93814"/>
    <w:rsid w:val="6F6107B0"/>
    <w:rsid w:val="6F8165F2"/>
    <w:rsid w:val="6F866FBD"/>
    <w:rsid w:val="6FCA62DC"/>
    <w:rsid w:val="6FEF460B"/>
    <w:rsid w:val="7002236D"/>
    <w:rsid w:val="701A625D"/>
    <w:rsid w:val="704A62D0"/>
    <w:rsid w:val="704E4CE3"/>
    <w:rsid w:val="7054616B"/>
    <w:rsid w:val="70756248"/>
    <w:rsid w:val="707D50FC"/>
    <w:rsid w:val="70805D6F"/>
    <w:rsid w:val="7084648B"/>
    <w:rsid w:val="708A2616"/>
    <w:rsid w:val="70934A76"/>
    <w:rsid w:val="70B07280"/>
    <w:rsid w:val="70B52A3B"/>
    <w:rsid w:val="70C67A2A"/>
    <w:rsid w:val="70D07922"/>
    <w:rsid w:val="713F23B2"/>
    <w:rsid w:val="714D1533"/>
    <w:rsid w:val="71573B9F"/>
    <w:rsid w:val="715C7408"/>
    <w:rsid w:val="715F2A54"/>
    <w:rsid w:val="71620B5C"/>
    <w:rsid w:val="716A5681"/>
    <w:rsid w:val="71774A76"/>
    <w:rsid w:val="718A0384"/>
    <w:rsid w:val="71A15918"/>
    <w:rsid w:val="71B9549B"/>
    <w:rsid w:val="71C13420"/>
    <w:rsid w:val="71E44849"/>
    <w:rsid w:val="71FE14B8"/>
    <w:rsid w:val="72082610"/>
    <w:rsid w:val="72111353"/>
    <w:rsid w:val="726A7EC7"/>
    <w:rsid w:val="728555C9"/>
    <w:rsid w:val="728B1D53"/>
    <w:rsid w:val="72DB0901"/>
    <w:rsid w:val="72DE26DD"/>
    <w:rsid w:val="72E06781"/>
    <w:rsid w:val="72F9683F"/>
    <w:rsid w:val="731D0BD6"/>
    <w:rsid w:val="73353A6C"/>
    <w:rsid w:val="73DA58ED"/>
    <w:rsid w:val="73F42BFD"/>
    <w:rsid w:val="73F67590"/>
    <w:rsid w:val="74137CAF"/>
    <w:rsid w:val="74501588"/>
    <w:rsid w:val="74505170"/>
    <w:rsid w:val="746D2B87"/>
    <w:rsid w:val="748B5D18"/>
    <w:rsid w:val="748D7732"/>
    <w:rsid w:val="74A64492"/>
    <w:rsid w:val="74D9456E"/>
    <w:rsid w:val="75077CE1"/>
    <w:rsid w:val="75293EB7"/>
    <w:rsid w:val="752D5158"/>
    <w:rsid w:val="75BA734C"/>
    <w:rsid w:val="75C6618F"/>
    <w:rsid w:val="75CD61DE"/>
    <w:rsid w:val="75D43EFE"/>
    <w:rsid w:val="75E1612D"/>
    <w:rsid w:val="76032465"/>
    <w:rsid w:val="7617086B"/>
    <w:rsid w:val="7631178C"/>
    <w:rsid w:val="764F0905"/>
    <w:rsid w:val="76A41635"/>
    <w:rsid w:val="76E12374"/>
    <w:rsid w:val="76E71DB6"/>
    <w:rsid w:val="76ED52B4"/>
    <w:rsid w:val="76FE5441"/>
    <w:rsid w:val="77135B79"/>
    <w:rsid w:val="772229C6"/>
    <w:rsid w:val="772C3965"/>
    <w:rsid w:val="774E5954"/>
    <w:rsid w:val="775B023A"/>
    <w:rsid w:val="77722EA8"/>
    <w:rsid w:val="77786603"/>
    <w:rsid w:val="77887AC1"/>
    <w:rsid w:val="77B97C9B"/>
    <w:rsid w:val="77E7580C"/>
    <w:rsid w:val="78000AED"/>
    <w:rsid w:val="782F431C"/>
    <w:rsid w:val="78500BF8"/>
    <w:rsid w:val="78703D21"/>
    <w:rsid w:val="78861DE4"/>
    <w:rsid w:val="78941235"/>
    <w:rsid w:val="78A622A3"/>
    <w:rsid w:val="78BB2967"/>
    <w:rsid w:val="78C45356"/>
    <w:rsid w:val="78C64606"/>
    <w:rsid w:val="791C030C"/>
    <w:rsid w:val="79267E40"/>
    <w:rsid w:val="792D7B75"/>
    <w:rsid w:val="795A4AC9"/>
    <w:rsid w:val="797431B1"/>
    <w:rsid w:val="797572B9"/>
    <w:rsid w:val="797F22DA"/>
    <w:rsid w:val="79B232D8"/>
    <w:rsid w:val="79BD1A06"/>
    <w:rsid w:val="79D03EC6"/>
    <w:rsid w:val="79DF4732"/>
    <w:rsid w:val="7A104581"/>
    <w:rsid w:val="7A70195B"/>
    <w:rsid w:val="7A901427"/>
    <w:rsid w:val="7A9C6D0C"/>
    <w:rsid w:val="7AA42371"/>
    <w:rsid w:val="7ADC7472"/>
    <w:rsid w:val="7AE43DF9"/>
    <w:rsid w:val="7AF16E13"/>
    <w:rsid w:val="7B0A1C83"/>
    <w:rsid w:val="7B1B4472"/>
    <w:rsid w:val="7B1B7A41"/>
    <w:rsid w:val="7B69732D"/>
    <w:rsid w:val="7B8053B0"/>
    <w:rsid w:val="7B90649D"/>
    <w:rsid w:val="7B99466E"/>
    <w:rsid w:val="7BD47CD5"/>
    <w:rsid w:val="7BE47080"/>
    <w:rsid w:val="7BE95D3C"/>
    <w:rsid w:val="7C237D85"/>
    <w:rsid w:val="7C5E2286"/>
    <w:rsid w:val="7C5F6E81"/>
    <w:rsid w:val="7CC06B77"/>
    <w:rsid w:val="7CDF1AE6"/>
    <w:rsid w:val="7CF1047B"/>
    <w:rsid w:val="7D012C11"/>
    <w:rsid w:val="7D146DE8"/>
    <w:rsid w:val="7D297151"/>
    <w:rsid w:val="7D6F15A6"/>
    <w:rsid w:val="7D9B038B"/>
    <w:rsid w:val="7DA235B4"/>
    <w:rsid w:val="7DAE5F4A"/>
    <w:rsid w:val="7DB5310B"/>
    <w:rsid w:val="7DB5325A"/>
    <w:rsid w:val="7DB9757F"/>
    <w:rsid w:val="7DD813CB"/>
    <w:rsid w:val="7DD95693"/>
    <w:rsid w:val="7DE8467D"/>
    <w:rsid w:val="7DF67F72"/>
    <w:rsid w:val="7DF976EC"/>
    <w:rsid w:val="7E0230E5"/>
    <w:rsid w:val="7E0724A9"/>
    <w:rsid w:val="7E141A72"/>
    <w:rsid w:val="7E16569F"/>
    <w:rsid w:val="7E1C0204"/>
    <w:rsid w:val="7E416623"/>
    <w:rsid w:val="7E4A42BB"/>
    <w:rsid w:val="7E6D0DCE"/>
    <w:rsid w:val="7EA146AC"/>
    <w:rsid w:val="7EBB6922"/>
    <w:rsid w:val="7ECB7A37"/>
    <w:rsid w:val="7ED46A07"/>
    <w:rsid w:val="7EDA0022"/>
    <w:rsid w:val="7EE30820"/>
    <w:rsid w:val="7EFF05C1"/>
    <w:rsid w:val="7F17496E"/>
    <w:rsid w:val="7F296912"/>
    <w:rsid w:val="7F38003A"/>
    <w:rsid w:val="7F420AF4"/>
    <w:rsid w:val="7F575AD5"/>
    <w:rsid w:val="7F5D25FF"/>
    <w:rsid w:val="7F5E65F0"/>
    <w:rsid w:val="7FBC0C66"/>
    <w:rsid w:val="7FBF1B57"/>
    <w:rsid w:val="7FC61585"/>
    <w:rsid w:val="7FC91006"/>
    <w:rsid w:val="7FE577D9"/>
    <w:rsid w:val="7FFA0CBF"/>
    <w:rsid w:val="BCEF9C7F"/>
    <w:rsid w:val="BE35D34A"/>
    <w:rsid w:val="E75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alibri"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6" w:lineRule="auto"/>
      <w:outlineLvl w:val="0"/>
    </w:pPr>
    <w:rPr>
      <w:rFonts w:ascii="Calibri" w:hAnsi="Calibri"/>
      <w:b/>
      <w:kern w:val="44"/>
      <w:sz w:val="44"/>
    </w:rPr>
  </w:style>
  <w:style w:type="paragraph" w:styleId="3">
    <w:name w:val="heading 2"/>
    <w:basedOn w:val="1"/>
    <w:next w:val="1"/>
    <w:link w:val="50"/>
    <w:qFormat/>
    <w:uiPriority w:val="0"/>
    <w:pPr>
      <w:keepNext/>
      <w:keepLines/>
      <w:spacing w:before="260" w:after="260" w:line="413" w:lineRule="auto"/>
      <w:outlineLvl w:val="1"/>
    </w:pPr>
    <w:rPr>
      <w:rFonts w:ascii="Arial" w:hAnsi="Arial" w:eastAsia="黑体"/>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unhideWhenUsed/>
    <w:qFormat/>
    <w:uiPriority w:val="99"/>
    <w:pPr>
      <w:jc w:val="left"/>
    </w:pPr>
  </w:style>
  <w:style w:type="paragraph" w:styleId="8">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w:basedOn w:val="1"/>
    <w:next w:val="10"/>
    <w:qFormat/>
    <w:uiPriority w:val="0"/>
    <w:pPr>
      <w:spacing w:after="120"/>
    </w:pPr>
    <w:rPr>
      <w:rFonts w:ascii="Calibri" w:hAnsi="Calibri"/>
    </w:rPr>
  </w:style>
  <w:style w:type="paragraph" w:customStyle="1" w:styleId="10">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12">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3">
    <w:name w:val="Plain Text"/>
    <w:basedOn w:val="1"/>
    <w:link w:val="51"/>
    <w:qFormat/>
    <w:uiPriority w:val="0"/>
    <w:pPr>
      <w:widowControl/>
      <w:spacing w:before="100" w:beforeAutospacing="1" w:after="100" w:afterAutospacing="1"/>
      <w:jc w:val="left"/>
    </w:pPr>
    <w:rPr>
      <w:rFonts w:ascii="宋体" w:hAnsi="宋体" w:eastAsia="宋体" w:cs="宋体"/>
      <w:kern w:val="0"/>
      <w:sz w:val="24"/>
    </w:rPr>
  </w:style>
  <w:style w:type="paragraph" w:styleId="14">
    <w:name w:val="Date"/>
    <w:basedOn w:val="1"/>
    <w:next w:val="1"/>
    <w:qFormat/>
    <w:uiPriority w:val="0"/>
    <w:pPr>
      <w:ind w:left="100" w:leftChars="2500"/>
    </w:pPr>
    <w:rPr>
      <w:rFonts w:ascii="Calibri" w:hAnsi="Calibri"/>
      <w:b/>
      <w:bCs/>
      <w:snapToGrid w:val="0"/>
      <w:sz w:val="36"/>
    </w:rPr>
  </w:style>
  <w:style w:type="paragraph" w:styleId="15">
    <w:name w:val="Body Text Indent 2"/>
    <w:basedOn w:val="1"/>
    <w:qFormat/>
    <w:uiPriority w:val="0"/>
    <w:pPr>
      <w:spacing w:after="120" w:line="480" w:lineRule="auto"/>
      <w:ind w:left="420" w:leftChars="200"/>
    </w:pPr>
    <w:rPr>
      <w:rFonts w:ascii="Calibri" w:hAnsi="Calibri"/>
      <w:kern w:val="0"/>
      <w:sz w:val="20"/>
    </w:rPr>
  </w:style>
  <w:style w:type="paragraph" w:styleId="16">
    <w:name w:val="footer"/>
    <w:basedOn w:val="1"/>
    <w:qFormat/>
    <w:uiPriority w:val="0"/>
    <w:pPr>
      <w:tabs>
        <w:tab w:val="center" w:pos="4153"/>
        <w:tab w:val="right" w:pos="8306"/>
      </w:tabs>
      <w:snapToGrid w:val="0"/>
      <w:jc w:val="left"/>
    </w:pPr>
    <w:rPr>
      <w:rFonts w:ascii="Calibri" w:hAnsi="Calibri"/>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footnote text"/>
    <w:basedOn w:val="1"/>
    <w:qFormat/>
    <w:uiPriority w:val="0"/>
    <w:pPr>
      <w:snapToGrid w:val="0"/>
    </w:pPr>
    <w:rPr>
      <w:sz w:val="18"/>
      <w:szCs w:val="18"/>
    </w:rPr>
  </w:style>
  <w:style w:type="paragraph" w:styleId="20">
    <w:name w:val="Body Text 2"/>
    <w:basedOn w:val="1"/>
    <w:next w:val="9"/>
    <w:qFormat/>
    <w:uiPriority w:val="0"/>
    <w:pPr>
      <w:spacing w:after="120" w:line="480" w:lineRule="auto"/>
    </w:pPr>
    <w:rPr>
      <w:szCs w:val="2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qFormat/>
    <w:uiPriority w:val="0"/>
    <w:pPr>
      <w:spacing w:before="120" w:after="60"/>
      <w:jc w:val="center"/>
    </w:pPr>
    <w:rPr>
      <w:rFonts w:ascii="Arial" w:hAnsi="Arial"/>
      <w:b/>
      <w:sz w:val="44"/>
      <w:szCs w:val="20"/>
    </w:rPr>
  </w:style>
  <w:style w:type="paragraph" w:styleId="23">
    <w:name w:val="Body Text First Indent"/>
    <w:basedOn w:val="9"/>
    <w:next w:val="24"/>
    <w:qFormat/>
    <w:uiPriority w:val="0"/>
    <w:pPr>
      <w:ind w:firstLine="420" w:firstLineChars="100"/>
    </w:pPr>
    <w:rPr>
      <w:rFonts w:eastAsia="仿宋_GB2312"/>
      <w:sz w:val="28"/>
    </w:rPr>
  </w:style>
  <w:style w:type="paragraph" w:styleId="24">
    <w:name w:val="Body Text First Indent 2"/>
    <w:basedOn w:val="11"/>
    <w:next w:val="1"/>
    <w:link w:val="140"/>
    <w:qFormat/>
    <w:uiPriority w:val="0"/>
    <w:pPr>
      <w:ind w:firstLine="420" w:firstLineChars="200"/>
    </w:pPr>
    <w:rPr>
      <w:rFonts w:ascii="Calibri" w:hAnsi="Calibri" w:cs="Times New Roman"/>
    </w:rPr>
  </w:style>
  <w:style w:type="table" w:styleId="26">
    <w:name w:val="Table Grid"/>
    <w:basedOn w:val="25"/>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style>
  <w:style w:type="character" w:styleId="29">
    <w:name w:val="page number"/>
    <w:basedOn w:val="27"/>
    <w:qFormat/>
    <w:uiPriority w:val="0"/>
    <w:rPr>
      <w:rFonts w:ascii="Calibri" w:hAnsi="Calibri" w:eastAsia="Calibri" w:cs="Times New Roman"/>
    </w:rPr>
  </w:style>
  <w:style w:type="character" w:styleId="30">
    <w:name w:val="FollowedHyperlink"/>
    <w:qFormat/>
    <w:uiPriority w:val="0"/>
    <w:rPr>
      <w:rFonts w:ascii="Calibri" w:hAnsi="Calibri" w:eastAsia="Calibri" w:cs="Times New Roman"/>
      <w:color w:val="000000"/>
      <w:u w:val="none"/>
    </w:rPr>
  </w:style>
  <w:style w:type="character" w:styleId="31">
    <w:name w:val="Emphasis"/>
    <w:basedOn w:val="27"/>
    <w:qFormat/>
    <w:uiPriority w:val="20"/>
  </w:style>
  <w:style w:type="character" w:styleId="32">
    <w:name w:val="HTML Definition"/>
    <w:basedOn w:val="27"/>
    <w:semiHidden/>
    <w:unhideWhenUsed/>
    <w:qFormat/>
    <w:uiPriority w:val="99"/>
  </w:style>
  <w:style w:type="character" w:styleId="33">
    <w:name w:val="HTML Typewriter"/>
    <w:basedOn w:val="27"/>
    <w:semiHidden/>
    <w:unhideWhenUsed/>
    <w:qFormat/>
    <w:uiPriority w:val="99"/>
    <w:rPr>
      <w:rFonts w:hint="default" w:ascii="monospace" w:hAnsi="monospace" w:eastAsia="monospace" w:cs="monospace"/>
      <w:sz w:val="20"/>
    </w:rPr>
  </w:style>
  <w:style w:type="character" w:styleId="34">
    <w:name w:val="HTML Acronym"/>
    <w:basedOn w:val="27"/>
    <w:semiHidden/>
    <w:unhideWhenUsed/>
    <w:qFormat/>
    <w:uiPriority w:val="99"/>
  </w:style>
  <w:style w:type="character" w:styleId="35">
    <w:name w:val="HTML Variable"/>
    <w:basedOn w:val="27"/>
    <w:semiHidden/>
    <w:unhideWhenUsed/>
    <w:qFormat/>
    <w:uiPriority w:val="99"/>
  </w:style>
  <w:style w:type="character" w:styleId="36">
    <w:name w:val="Hyperlink"/>
    <w:qFormat/>
    <w:uiPriority w:val="0"/>
    <w:rPr>
      <w:rFonts w:ascii="Calibri" w:hAnsi="Calibri" w:eastAsia="Calibri" w:cs="Times New Roman"/>
      <w:color w:val="000000"/>
      <w:u w:val="none"/>
    </w:rPr>
  </w:style>
  <w:style w:type="character" w:styleId="37">
    <w:name w:val="HTML Code"/>
    <w:basedOn w:val="27"/>
    <w:semiHidden/>
    <w:unhideWhenUsed/>
    <w:qFormat/>
    <w:uiPriority w:val="99"/>
    <w:rPr>
      <w:rFonts w:hint="default" w:ascii="monospace" w:hAnsi="monospace" w:eastAsia="monospace" w:cs="monospace"/>
      <w:sz w:val="20"/>
    </w:rPr>
  </w:style>
  <w:style w:type="character" w:styleId="38">
    <w:name w:val="annotation reference"/>
    <w:basedOn w:val="27"/>
    <w:qFormat/>
    <w:uiPriority w:val="0"/>
    <w:rPr>
      <w:sz w:val="21"/>
      <w:szCs w:val="21"/>
    </w:rPr>
  </w:style>
  <w:style w:type="character" w:styleId="39">
    <w:name w:val="HTML Cite"/>
    <w:basedOn w:val="27"/>
    <w:semiHidden/>
    <w:unhideWhenUsed/>
    <w:qFormat/>
    <w:uiPriority w:val="99"/>
  </w:style>
  <w:style w:type="character" w:styleId="40">
    <w:name w:val="HTML Keyboard"/>
    <w:basedOn w:val="27"/>
    <w:semiHidden/>
    <w:unhideWhenUsed/>
    <w:qFormat/>
    <w:uiPriority w:val="99"/>
    <w:rPr>
      <w:rFonts w:ascii="monospace" w:hAnsi="monospace" w:eastAsia="monospace" w:cs="monospace"/>
      <w:sz w:val="20"/>
    </w:rPr>
  </w:style>
  <w:style w:type="character" w:styleId="41">
    <w:name w:val="HTML Sample"/>
    <w:basedOn w:val="27"/>
    <w:semiHidden/>
    <w:unhideWhenUsed/>
    <w:qFormat/>
    <w:uiPriority w:val="99"/>
    <w:rPr>
      <w:rFonts w:hint="default" w:ascii="monospace" w:hAnsi="monospace" w:eastAsia="monospace" w:cs="monospace"/>
    </w:rPr>
  </w:style>
  <w:style w:type="paragraph" w:customStyle="1" w:styleId="42">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3">
    <w:name w:val="_Style 2"/>
    <w:basedOn w:val="1"/>
    <w:next w:val="1"/>
    <w:qFormat/>
    <w:uiPriority w:val="0"/>
    <w:pPr>
      <w:ind w:firstLine="420" w:firstLineChars="200"/>
    </w:pPr>
  </w:style>
  <w:style w:type="paragraph" w:customStyle="1" w:styleId="44">
    <w:name w:val="正文1"/>
    <w:basedOn w:val="1"/>
    <w:qFormat/>
    <w:uiPriority w:val="0"/>
    <w:pPr>
      <w:spacing w:line="360" w:lineRule="auto"/>
      <w:ind w:firstLine="180"/>
    </w:pPr>
    <w:rPr>
      <w:rFonts w:ascii="黑体" w:hAnsi="宋体"/>
      <w:bCs/>
      <w:color w:val="000000"/>
      <w:szCs w:val="21"/>
    </w:rPr>
  </w:style>
  <w:style w:type="paragraph" w:customStyle="1" w:styleId="45">
    <w:name w:val="UserStyle_0"/>
    <w:basedOn w:val="1"/>
    <w:next w:val="46"/>
    <w:qFormat/>
    <w:uiPriority w:val="0"/>
    <w:pPr>
      <w:spacing w:line="420" w:lineRule="atLeast"/>
      <w:jc w:val="left"/>
    </w:pPr>
    <w:rPr>
      <w:kern w:val="0"/>
      <w:szCs w:val="20"/>
    </w:rPr>
  </w:style>
  <w:style w:type="paragraph" w:customStyle="1" w:styleId="46">
    <w:name w:val="BodyText"/>
    <w:basedOn w:val="1"/>
    <w:next w:val="47"/>
    <w:qFormat/>
    <w:uiPriority w:val="0"/>
    <w:pPr>
      <w:spacing w:after="120"/>
    </w:pPr>
    <w:rPr>
      <w:kern w:val="0"/>
      <w:sz w:val="20"/>
      <w:lang w:val="zh-CN"/>
    </w:rPr>
  </w:style>
  <w:style w:type="paragraph" w:customStyle="1" w:styleId="47">
    <w:name w:val="BodyText2"/>
    <w:basedOn w:val="1"/>
    <w:qFormat/>
    <w:uiPriority w:val="0"/>
    <w:pPr>
      <w:spacing w:after="120" w:line="480" w:lineRule="auto"/>
      <w:ind w:right="357"/>
    </w:pPr>
    <w:rPr>
      <w:szCs w:val="20"/>
    </w:rPr>
  </w:style>
  <w:style w:type="paragraph" w:customStyle="1" w:styleId="48">
    <w:name w:val="正文 缩进2字符"/>
    <w:basedOn w:val="1"/>
    <w:qFormat/>
    <w:uiPriority w:val="0"/>
    <w:pPr>
      <w:spacing w:line="288" w:lineRule="auto"/>
    </w:pPr>
    <w:rPr>
      <w:szCs w:val="28"/>
    </w:rPr>
  </w:style>
  <w:style w:type="character" w:customStyle="1" w:styleId="49">
    <w:name w:val="标题 1 字符"/>
    <w:link w:val="2"/>
    <w:qFormat/>
    <w:uiPriority w:val="0"/>
    <w:rPr>
      <w:rFonts w:ascii="Calibri" w:hAnsi="Calibri" w:eastAsia="Calibri" w:cs="Times New Roman"/>
      <w:b/>
      <w:kern w:val="44"/>
      <w:sz w:val="44"/>
      <w:szCs w:val="24"/>
    </w:rPr>
  </w:style>
  <w:style w:type="character" w:customStyle="1" w:styleId="50">
    <w:name w:val="标题 2 字符"/>
    <w:link w:val="3"/>
    <w:qFormat/>
    <w:uiPriority w:val="0"/>
    <w:rPr>
      <w:rFonts w:ascii="Arial" w:hAnsi="Arial" w:eastAsia="黑体" w:cs="Times New Roman"/>
      <w:b/>
      <w:kern w:val="2"/>
      <w:sz w:val="32"/>
      <w:szCs w:val="24"/>
    </w:rPr>
  </w:style>
  <w:style w:type="character" w:customStyle="1" w:styleId="51">
    <w:name w:val="纯文本 字符"/>
    <w:link w:val="13"/>
    <w:qFormat/>
    <w:uiPriority w:val="0"/>
    <w:rPr>
      <w:rFonts w:ascii="宋体" w:hAnsi="宋体" w:eastAsia="宋体" w:cs="宋体"/>
      <w:sz w:val="24"/>
      <w:szCs w:val="24"/>
      <w:lang w:val="en-US" w:eastAsia="zh-CN" w:bidi="ar-SA"/>
    </w:rPr>
  </w:style>
  <w:style w:type="character" w:customStyle="1" w:styleId="52">
    <w:name w:val="font01"/>
    <w:qFormat/>
    <w:uiPriority w:val="0"/>
    <w:rPr>
      <w:rFonts w:hint="eastAsia" w:ascii="宋体" w:hAnsi="宋体" w:eastAsia="宋体" w:cs="宋体"/>
      <w:color w:val="000000"/>
      <w:sz w:val="22"/>
      <w:szCs w:val="22"/>
      <w:u w:val="none"/>
    </w:rPr>
  </w:style>
  <w:style w:type="character" w:customStyle="1" w:styleId="53">
    <w:name w:val="font41"/>
    <w:qFormat/>
    <w:uiPriority w:val="0"/>
    <w:rPr>
      <w:rFonts w:hint="default" w:ascii="Tahoma" w:hAnsi="Tahoma" w:eastAsia="Tahoma" w:cs="Tahoma"/>
      <w:color w:val="000000"/>
      <w:sz w:val="22"/>
      <w:szCs w:val="22"/>
      <w:u w:val="none"/>
    </w:rPr>
  </w:style>
  <w:style w:type="character" w:customStyle="1" w:styleId="54">
    <w:name w:val="prev"/>
    <w:qFormat/>
    <w:uiPriority w:val="0"/>
    <w:rPr>
      <w:rFonts w:ascii="微软雅黑" w:hAnsi="微软雅黑" w:eastAsia="微软雅黑" w:cs="微软雅黑"/>
      <w:sz w:val="14"/>
      <w:szCs w:val="14"/>
    </w:rPr>
  </w:style>
  <w:style w:type="character" w:customStyle="1" w:styleId="55">
    <w:name w:val="next3"/>
    <w:qFormat/>
    <w:uiPriority w:val="0"/>
    <w:rPr>
      <w:rFonts w:ascii="Calibri" w:hAnsi="Calibri" w:eastAsia="Calibri" w:cs="Times New Roman"/>
      <w:color w:val="888888"/>
    </w:rPr>
  </w:style>
  <w:style w:type="character" w:customStyle="1" w:styleId="56">
    <w:name w:val="next"/>
    <w:qFormat/>
    <w:uiPriority w:val="0"/>
    <w:rPr>
      <w:rFonts w:hint="eastAsia" w:ascii="微软雅黑" w:hAnsi="微软雅黑" w:eastAsia="微软雅黑" w:cs="微软雅黑"/>
      <w:sz w:val="14"/>
      <w:szCs w:val="14"/>
    </w:rPr>
  </w:style>
  <w:style w:type="character" w:customStyle="1" w:styleId="57">
    <w:name w:val="selected"/>
    <w:qFormat/>
    <w:uiPriority w:val="0"/>
    <w:rPr>
      <w:rFonts w:ascii="Calibri" w:hAnsi="Calibri" w:eastAsia="Calibri" w:cs="Times New Roman"/>
      <w:shd w:val="clear" w:color="auto" w:fill="B00006"/>
    </w:rPr>
  </w:style>
  <w:style w:type="character" w:customStyle="1" w:styleId="58">
    <w:name w:val="gpa"/>
    <w:qFormat/>
    <w:uiPriority w:val="0"/>
    <w:rPr>
      <w:rFonts w:ascii="Arial" w:hAnsi="Arial" w:eastAsia="Calibri" w:cs="Arial"/>
      <w:sz w:val="15"/>
      <w:szCs w:val="15"/>
    </w:rPr>
  </w:style>
  <w:style w:type="character" w:customStyle="1" w:styleId="59">
    <w:name w:val="redfilefwwh"/>
    <w:qFormat/>
    <w:uiPriority w:val="0"/>
    <w:rPr>
      <w:rFonts w:ascii="Calibri" w:hAnsi="Calibri" w:eastAsia="Calibri" w:cs="Times New Roman"/>
      <w:color w:val="BA2636"/>
      <w:sz w:val="12"/>
      <w:szCs w:val="12"/>
    </w:rPr>
  </w:style>
  <w:style w:type="character" w:customStyle="1" w:styleId="60">
    <w:name w:val="so-ask-best"/>
    <w:qFormat/>
    <w:uiPriority w:val="0"/>
    <w:rPr>
      <w:rFonts w:ascii="Calibri" w:hAnsi="Calibri" w:eastAsia="Calibri" w:cs="Times New Roman"/>
    </w:rPr>
  </w:style>
  <w:style w:type="character" w:customStyle="1" w:styleId="61">
    <w:name w:val="cfdate"/>
    <w:qFormat/>
    <w:uiPriority w:val="0"/>
    <w:rPr>
      <w:rFonts w:ascii="Calibri" w:hAnsi="Calibri" w:eastAsia="Calibri" w:cs="Times New Roman"/>
      <w:color w:val="333333"/>
      <w:sz w:val="12"/>
      <w:szCs w:val="12"/>
    </w:rPr>
  </w:style>
  <w:style w:type="character" w:customStyle="1" w:styleId="62">
    <w:name w:val="prev1"/>
    <w:qFormat/>
    <w:uiPriority w:val="0"/>
    <w:rPr>
      <w:rFonts w:ascii="Calibri" w:hAnsi="Calibri" w:eastAsia="Calibri" w:cs="Times New Roman"/>
      <w:color w:val="888888"/>
    </w:rPr>
  </w:style>
  <w:style w:type="character" w:customStyle="1" w:styleId="63">
    <w:name w:val="next1"/>
    <w:qFormat/>
    <w:uiPriority w:val="0"/>
    <w:rPr>
      <w:rFonts w:ascii="Calibri" w:hAnsi="Calibri" w:eastAsia="Calibri" w:cs="Times New Roman"/>
      <w:color w:val="888888"/>
    </w:rPr>
  </w:style>
  <w:style w:type="character" w:customStyle="1" w:styleId="64">
    <w:name w:val="qxdate"/>
    <w:qFormat/>
    <w:uiPriority w:val="0"/>
    <w:rPr>
      <w:rFonts w:ascii="Calibri" w:hAnsi="Calibri" w:eastAsia="Calibri" w:cs="Times New Roman"/>
      <w:color w:val="333333"/>
      <w:sz w:val="12"/>
      <w:szCs w:val="12"/>
    </w:rPr>
  </w:style>
  <w:style w:type="character" w:customStyle="1" w:styleId="65">
    <w:name w:val="redfilenumber"/>
    <w:qFormat/>
    <w:uiPriority w:val="0"/>
    <w:rPr>
      <w:rFonts w:ascii="Calibri" w:hAnsi="Calibri" w:eastAsia="Calibri" w:cs="Times New Roman"/>
      <w:color w:val="BA2636"/>
      <w:sz w:val="12"/>
      <w:szCs w:val="12"/>
    </w:rPr>
  </w:style>
  <w:style w:type="character" w:customStyle="1" w:styleId="66">
    <w:name w:val="next2"/>
    <w:qFormat/>
    <w:uiPriority w:val="0"/>
    <w:rPr>
      <w:rFonts w:hint="eastAsia" w:ascii="微软雅黑" w:hAnsi="微软雅黑" w:eastAsia="微软雅黑" w:cs="微软雅黑"/>
      <w:sz w:val="14"/>
      <w:szCs w:val="14"/>
    </w:rPr>
  </w:style>
  <w:style w:type="character" w:customStyle="1" w:styleId="67">
    <w:name w:val="displayarti"/>
    <w:qFormat/>
    <w:uiPriority w:val="0"/>
    <w:rPr>
      <w:rFonts w:ascii="Calibri" w:hAnsi="Calibri" w:eastAsia="Calibri" w:cs="Times New Roman"/>
      <w:color w:val="FFFFFF"/>
      <w:shd w:val="clear" w:color="auto" w:fill="A00000"/>
    </w:rPr>
  </w:style>
  <w:style w:type="character" w:customStyle="1" w:styleId="68">
    <w:name w:val="gjfg"/>
    <w:qFormat/>
    <w:uiPriority w:val="0"/>
    <w:rPr>
      <w:rFonts w:ascii="Calibri" w:hAnsi="Calibri" w:eastAsia="Calibri" w:cs="Times New Roman"/>
    </w:rPr>
  </w:style>
  <w:style w:type="paragraph" w:customStyle="1" w:styleId="69">
    <w:name w:val="td3"/>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ki"/>
    <w:basedOn w:val="1"/>
    <w:qFormat/>
    <w:uiPriority w:val="0"/>
    <w:pPr>
      <w:widowControl/>
      <w:spacing w:before="100" w:beforeAutospacing="1" w:after="100" w:afterAutospacing="1"/>
      <w:jc w:val="left"/>
    </w:pPr>
    <w:rPr>
      <w:rFonts w:ascii="宋体" w:hAnsi="宋体" w:cs="宋体"/>
      <w:b/>
      <w:bCs/>
      <w:color w:val="FF6600"/>
      <w:kern w:val="0"/>
      <w:sz w:val="24"/>
    </w:rPr>
  </w:style>
  <w:style w:type="paragraph" w:customStyle="1" w:styleId="71">
    <w:name w:val="td-b"/>
    <w:basedOn w:val="1"/>
    <w:qFormat/>
    <w:uiPriority w:val="0"/>
    <w:pPr>
      <w:widowControl/>
      <w:pBdr>
        <w:left w:val="single" w:color="9DC9EC" w:sz="6" w:space="0"/>
        <w:bottom w:val="single" w:color="9DC9EC" w:sz="6" w:space="0"/>
        <w:right w:val="single" w:color="9DC9EC" w:sz="6" w:space="0"/>
      </w:pBdr>
      <w:spacing w:before="100" w:beforeAutospacing="1" w:after="100" w:afterAutospacing="1"/>
      <w:jc w:val="left"/>
    </w:pPr>
    <w:rPr>
      <w:rFonts w:ascii="宋体" w:hAnsi="宋体" w:cs="宋体"/>
      <w:kern w:val="0"/>
      <w:sz w:val="24"/>
    </w:rPr>
  </w:style>
  <w:style w:type="paragraph" w:customStyle="1" w:styleId="72">
    <w:name w:val="3"/>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scroll-1"/>
    <w:basedOn w:val="1"/>
    <w:qFormat/>
    <w:uiPriority w:val="0"/>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74">
    <w:name w:val="button"/>
    <w:basedOn w:val="1"/>
    <w:qFormat/>
    <w:uiPriority w:val="0"/>
    <w:pPr>
      <w:widowControl/>
      <w:pBdr>
        <w:top w:val="single" w:color="FFFFFF" w:sz="36" w:space="0"/>
        <w:left w:val="single" w:color="FFFFFF" w:sz="2" w:space="0"/>
        <w:bottom w:val="single" w:color="FFFFFF" w:sz="36" w:space="0"/>
        <w:right w:val="single" w:color="FFFFFF" w:sz="48" w:space="0"/>
      </w:pBdr>
      <w:shd w:val="clear" w:color="auto" w:fill="3269C4"/>
      <w:spacing w:before="90" w:after="90"/>
      <w:ind w:left="90" w:right="90"/>
      <w:jc w:val="left"/>
    </w:pPr>
    <w:rPr>
      <w:rFonts w:ascii="宋体" w:hAnsi="宋体" w:cs="宋体"/>
      <w:color w:val="FFFFFF"/>
      <w:kern w:val="0"/>
      <w:sz w:val="18"/>
      <w:szCs w:val="18"/>
    </w:rPr>
  </w:style>
  <w:style w:type="paragraph" w:customStyle="1" w:styleId="75">
    <w:name w:val="st_ftcss"/>
    <w:basedOn w:val="1"/>
    <w:qFormat/>
    <w:uiPriority w:val="0"/>
    <w:pPr>
      <w:widowControl/>
      <w:jc w:val="left"/>
    </w:pPr>
    <w:rPr>
      <w:rFonts w:ascii="宋体" w:hAnsi="宋体" w:cs="宋体"/>
      <w:kern w:val="0"/>
      <w:sz w:val="24"/>
    </w:rPr>
  </w:style>
  <w:style w:type="paragraph" w:customStyle="1" w:styleId="76">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_Style 56"/>
    <w:basedOn w:val="1"/>
    <w:next w:val="1"/>
    <w:qFormat/>
    <w:uiPriority w:val="0"/>
    <w:pPr>
      <w:pBdr>
        <w:bottom w:val="single" w:color="auto" w:sz="6" w:space="1"/>
      </w:pBdr>
      <w:jc w:val="center"/>
    </w:pPr>
    <w:rPr>
      <w:rFonts w:ascii="Arial" w:hAnsi="Calibri" w:eastAsia="宋体"/>
      <w:vanish/>
      <w:sz w:val="16"/>
    </w:rPr>
  </w:style>
  <w:style w:type="paragraph" w:customStyle="1" w:styleId="78">
    <w:name w:val="sec1"/>
    <w:basedOn w:val="1"/>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79">
    <w:name w:val="sec2"/>
    <w:basedOn w:val="1"/>
    <w:qFormat/>
    <w:uiPriority w:val="0"/>
    <w:pPr>
      <w:widowControl/>
      <w:pBdr>
        <w:top w:val="single" w:color="C5E1FE" w:sz="6" w:space="0"/>
        <w:left w:val="single" w:color="C5E1FE" w:sz="6" w:space="0"/>
        <w:right w:val="single" w:color="C5E1FE" w:sz="6" w:space="0"/>
      </w:pBdr>
      <w:spacing w:before="100" w:beforeAutospacing="1" w:after="100" w:afterAutospacing="1"/>
      <w:jc w:val="left"/>
    </w:pPr>
    <w:rPr>
      <w:rFonts w:ascii="宋体" w:hAnsi="宋体" w:cs="宋体"/>
      <w:b/>
      <w:bCs/>
      <w:color w:val="247ED1"/>
      <w:kern w:val="0"/>
      <w:szCs w:val="21"/>
    </w:rPr>
  </w:style>
  <w:style w:type="paragraph" w:customStyle="1" w:styleId="80">
    <w:name w:val="title-4"/>
    <w:basedOn w:val="1"/>
    <w:qFormat/>
    <w:uiPriority w:val="0"/>
    <w:pPr>
      <w:widowControl/>
      <w:spacing w:before="100" w:beforeAutospacing="1" w:after="100" w:afterAutospacing="1"/>
      <w:jc w:val="left"/>
    </w:pPr>
    <w:rPr>
      <w:rFonts w:ascii="宋体" w:hAnsi="宋体" w:cs="宋体"/>
      <w:color w:val="095498"/>
      <w:kern w:val="0"/>
      <w:sz w:val="18"/>
      <w:szCs w:val="18"/>
    </w:rPr>
  </w:style>
  <w:style w:type="paragraph" w:customStyle="1" w:styleId="81">
    <w:name w:val="st_tbcss"/>
    <w:basedOn w:val="1"/>
    <w:qFormat/>
    <w:uiPriority w:val="0"/>
    <w:pPr>
      <w:widowControl/>
      <w:jc w:val="left"/>
    </w:pPr>
    <w:rPr>
      <w:rFonts w:ascii="宋体" w:hAnsi="宋体" w:cs="宋体"/>
      <w:kern w:val="0"/>
      <w:sz w:val="24"/>
    </w:rPr>
  </w:style>
  <w:style w:type="paragraph" w:customStyle="1" w:styleId="82">
    <w:name w:val="td-right"/>
    <w:basedOn w:val="1"/>
    <w:qFormat/>
    <w:uiPriority w:val="0"/>
    <w:pPr>
      <w:widowControl/>
      <w:pBdr>
        <w:right w:val="dotted" w:color="999999" w:sz="6" w:space="0"/>
      </w:pBdr>
      <w:spacing w:before="100" w:beforeAutospacing="1" w:after="100" w:afterAutospacing="1"/>
      <w:jc w:val="left"/>
    </w:pPr>
    <w:rPr>
      <w:rFonts w:ascii="宋体" w:hAnsi="宋体" w:cs="宋体"/>
      <w:kern w:val="0"/>
      <w:sz w:val="24"/>
    </w:rPr>
  </w:style>
  <w:style w:type="paragraph" w:customStyle="1" w:styleId="83">
    <w:name w:val="text4"/>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84">
    <w:name w:val="tableborer"/>
    <w:basedOn w:val="1"/>
    <w:qFormat/>
    <w:uiPriority w:val="0"/>
    <w:pPr>
      <w:widowControl/>
      <w:pBdr>
        <w:top w:val="dotted" w:color="EEEEEE" w:sz="6" w:space="0"/>
        <w:left w:val="dotted" w:color="EEEEEE" w:sz="6" w:space="0"/>
        <w:bottom w:val="dotted" w:color="EEEEEE" w:sz="6" w:space="0"/>
        <w:right w:val="dotted" w:color="EEEEEE" w:sz="6" w:space="0"/>
      </w:pBdr>
      <w:spacing w:before="100" w:beforeAutospacing="1" w:after="100" w:afterAutospacing="1"/>
      <w:jc w:val="left"/>
    </w:pPr>
    <w:rPr>
      <w:rFonts w:ascii="宋体" w:hAnsi="宋体" w:cs="宋体"/>
      <w:kern w:val="0"/>
      <w:sz w:val="24"/>
    </w:rPr>
  </w:style>
  <w:style w:type="paragraph" w:customStyle="1" w:styleId="85">
    <w:name w:val="title-3"/>
    <w:basedOn w:val="1"/>
    <w:qFormat/>
    <w:uiPriority w:val="0"/>
    <w:pPr>
      <w:widowControl/>
      <w:spacing w:before="100" w:beforeAutospacing="1" w:after="100" w:afterAutospacing="1"/>
      <w:jc w:val="left"/>
    </w:pPr>
    <w:rPr>
      <w:rFonts w:ascii="宋体" w:hAnsi="宋体" w:cs="宋体"/>
      <w:b/>
      <w:bCs/>
      <w:color w:val="474747"/>
      <w:kern w:val="0"/>
      <w:sz w:val="18"/>
      <w:szCs w:val="18"/>
    </w:rPr>
  </w:style>
  <w:style w:type="paragraph" w:customStyle="1" w:styleId="86">
    <w:name w:val="style3"/>
    <w:basedOn w:val="1"/>
    <w:qFormat/>
    <w:uiPriority w:val="0"/>
    <w:pPr>
      <w:widowControl/>
      <w:spacing w:before="100" w:beforeAutospacing="1" w:after="100" w:afterAutospacing="1"/>
      <w:jc w:val="left"/>
    </w:pPr>
    <w:rPr>
      <w:rFonts w:ascii="宋体" w:hAnsi="宋体" w:cs="宋体"/>
      <w:kern w:val="0"/>
      <w:szCs w:val="21"/>
    </w:rPr>
  </w:style>
  <w:style w:type="paragraph" w:customStyle="1" w:styleId="87">
    <w:name w:val="st_divcss"/>
    <w:basedOn w:val="1"/>
    <w:qFormat/>
    <w:uiPriority w:val="0"/>
    <w:pPr>
      <w:widowControl/>
      <w:jc w:val="left"/>
    </w:pPr>
    <w:rPr>
      <w:rFonts w:ascii="宋体" w:hAnsi="宋体" w:cs="宋体"/>
      <w:kern w:val="0"/>
      <w:sz w:val="24"/>
    </w:rPr>
  </w:style>
  <w:style w:type="paragraph" w:customStyle="1" w:styleId="88">
    <w:name w:val="text3"/>
    <w:basedOn w:val="1"/>
    <w:qFormat/>
    <w:uiPriority w:val="0"/>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89">
    <w:name w:val="td-top"/>
    <w:basedOn w:val="1"/>
    <w:qFormat/>
    <w:uiPriority w:val="0"/>
    <w:pPr>
      <w:widowControl/>
      <w:pBdr>
        <w:top w:val="dotted" w:color="0000FF" w:sz="6" w:space="0"/>
      </w:pBdr>
      <w:spacing w:before="100" w:beforeAutospacing="1" w:after="100" w:afterAutospacing="1"/>
      <w:jc w:val="left"/>
    </w:pPr>
    <w:rPr>
      <w:rFonts w:ascii="宋体" w:hAnsi="宋体" w:cs="宋体"/>
      <w:kern w:val="0"/>
      <w:sz w:val="18"/>
      <w:szCs w:val="18"/>
    </w:rPr>
  </w:style>
  <w:style w:type="paragraph" w:customStyle="1" w:styleId="90">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title-1"/>
    <w:basedOn w:val="1"/>
    <w:qFormat/>
    <w:uiPriority w:val="0"/>
    <w:pPr>
      <w:widowControl/>
      <w:spacing w:before="100" w:beforeAutospacing="1" w:after="100" w:afterAutospacing="1"/>
      <w:jc w:val="left"/>
    </w:pPr>
    <w:rPr>
      <w:rFonts w:ascii="宋体" w:hAnsi="宋体" w:cs="宋体"/>
      <w:b/>
      <w:bCs/>
      <w:color w:val="0A3886"/>
      <w:kern w:val="0"/>
      <w:sz w:val="18"/>
      <w:szCs w:val="18"/>
    </w:rPr>
  </w:style>
  <w:style w:type="paragraph" w:customStyle="1" w:styleId="92">
    <w:name w:val="样式 首行缩进:  2 字符"/>
    <w:basedOn w:val="1"/>
    <w:qFormat/>
    <w:uiPriority w:val="0"/>
    <w:pPr>
      <w:ind w:firstLine="560"/>
    </w:pPr>
    <w:rPr>
      <w:rFonts w:ascii="Calibri" w:hAnsi="Calibri" w:eastAsia="仿宋_GB2312" w:cs="宋体"/>
      <w:sz w:val="24"/>
      <w:szCs w:val="20"/>
    </w:rPr>
  </w:style>
  <w:style w:type="paragraph" w:customStyle="1" w:styleId="93">
    <w:name w:val="td-botton-2"/>
    <w:basedOn w:val="1"/>
    <w:qFormat/>
    <w:uiPriority w:val="0"/>
    <w:pPr>
      <w:widowControl/>
      <w:pBdr>
        <w:bottom w:val="dotted" w:color="FF0000" w:sz="6" w:space="0"/>
      </w:pBdr>
      <w:spacing w:before="100" w:beforeAutospacing="1" w:after="100" w:afterAutospacing="1"/>
      <w:jc w:val="left"/>
    </w:pPr>
    <w:rPr>
      <w:rFonts w:ascii="宋体" w:hAnsi="宋体" w:cs="宋体"/>
      <w:kern w:val="0"/>
      <w:sz w:val="24"/>
    </w:rPr>
  </w:style>
  <w:style w:type="paragraph" w:customStyle="1" w:styleId="94">
    <w:name w:val="td-top-2"/>
    <w:basedOn w:val="1"/>
    <w:qFormat/>
    <w:uiPriority w:val="0"/>
    <w:pPr>
      <w:widowControl/>
      <w:pBdr>
        <w:top w:val="dotted" w:color="0000FF" w:sz="6" w:space="0"/>
      </w:pBdr>
      <w:spacing w:before="100" w:beforeAutospacing="1" w:after="100" w:afterAutospacing="1"/>
      <w:jc w:val="left"/>
    </w:pPr>
    <w:rPr>
      <w:rFonts w:ascii="宋体" w:hAnsi="宋体" w:cs="宋体"/>
      <w:kern w:val="0"/>
      <w:sz w:val="24"/>
    </w:rPr>
  </w:style>
  <w:style w:type="paragraph" w:customStyle="1" w:styleId="95">
    <w:name w:val="td-right-2"/>
    <w:basedOn w:val="1"/>
    <w:qFormat/>
    <w:uiPriority w:val="0"/>
    <w:pPr>
      <w:widowControl/>
      <w:pBdr>
        <w:right w:val="dotted" w:color="0000FF" w:sz="6" w:space="0"/>
      </w:pBdr>
      <w:spacing w:before="100" w:beforeAutospacing="1" w:after="100" w:afterAutospacing="1"/>
      <w:jc w:val="left"/>
    </w:pPr>
    <w:rPr>
      <w:rFonts w:ascii="宋体" w:hAnsi="宋体" w:cs="宋体"/>
      <w:kern w:val="0"/>
      <w:sz w:val="24"/>
    </w:rPr>
  </w:style>
  <w:style w:type="paragraph" w:customStyle="1" w:styleId="96">
    <w:name w:val="shadow1"/>
    <w:basedOn w:val="1"/>
    <w:qFormat/>
    <w:uiPriority w:val="0"/>
    <w:pPr>
      <w:widowControl/>
      <w:jc w:val="left"/>
    </w:pPr>
    <w:rPr>
      <w:rFonts w:ascii="宋体" w:hAnsi="宋体" w:cs="宋体"/>
      <w:b/>
      <w:bCs/>
      <w:color w:val="0048AA"/>
      <w:kern w:val="0"/>
      <w:sz w:val="24"/>
    </w:rPr>
  </w:style>
  <w:style w:type="paragraph" w:customStyle="1" w:styleId="97">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p"/>
    <w:basedOn w:val="1"/>
    <w:qFormat/>
    <w:uiPriority w:val="0"/>
    <w:pPr>
      <w:widowControl/>
      <w:spacing w:line="432" w:lineRule="auto"/>
      <w:jc w:val="left"/>
    </w:pPr>
    <w:rPr>
      <w:rFonts w:ascii="宋体" w:hAnsi="宋体" w:cs="宋体"/>
      <w:kern w:val="0"/>
      <w:sz w:val="24"/>
    </w:rPr>
  </w:style>
  <w:style w:type="paragraph" w:customStyle="1" w:styleId="9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0">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title-2"/>
    <w:basedOn w:val="1"/>
    <w:qFormat/>
    <w:uiPriority w:val="0"/>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102">
    <w:name w:val="_Style 82"/>
    <w:basedOn w:val="1"/>
    <w:next w:val="1"/>
    <w:qFormat/>
    <w:uiPriority w:val="0"/>
    <w:pPr>
      <w:pBdr>
        <w:top w:val="single" w:color="auto" w:sz="6" w:space="1"/>
      </w:pBdr>
      <w:jc w:val="center"/>
    </w:pPr>
    <w:rPr>
      <w:rFonts w:ascii="Arial" w:hAnsi="Calibri" w:eastAsia="宋体"/>
      <w:vanish/>
      <w:sz w:val="16"/>
    </w:rPr>
  </w:style>
  <w:style w:type="paragraph" w:customStyle="1" w:styleId="10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列表段落1"/>
    <w:basedOn w:val="1"/>
    <w:qFormat/>
    <w:uiPriority w:val="0"/>
    <w:pPr>
      <w:ind w:firstLine="420" w:firstLineChars="200"/>
    </w:pPr>
    <w:rPr>
      <w:rFonts w:ascii="Calibri" w:hAnsi="Calibri"/>
    </w:rPr>
  </w:style>
  <w:style w:type="paragraph" w:customStyle="1" w:styleId="105">
    <w:name w:val="style1"/>
    <w:basedOn w:val="1"/>
    <w:qFormat/>
    <w:uiPriority w:val="0"/>
    <w:pPr>
      <w:widowControl/>
      <w:spacing w:before="100" w:beforeAutospacing="1" w:after="100" w:afterAutospacing="1"/>
      <w:jc w:val="left"/>
    </w:pPr>
    <w:rPr>
      <w:rFonts w:ascii="宋体" w:hAnsi="宋体" w:cs="宋体"/>
      <w:b/>
      <w:bCs/>
      <w:color w:val="FF3300"/>
      <w:kern w:val="0"/>
      <w:szCs w:val="21"/>
    </w:rPr>
  </w:style>
  <w:style w:type="paragraph" w:customStyle="1" w:styleId="106">
    <w:name w:val="st_tdcss"/>
    <w:basedOn w:val="1"/>
    <w:qFormat/>
    <w:uiPriority w:val="0"/>
    <w:pPr>
      <w:widowControl/>
      <w:jc w:val="left"/>
    </w:pPr>
    <w:rPr>
      <w:rFonts w:ascii="宋体" w:hAnsi="宋体" w:cs="宋体"/>
      <w:kern w:val="0"/>
      <w:sz w:val="24"/>
    </w:rPr>
  </w:style>
  <w:style w:type="paragraph" w:customStyle="1" w:styleId="107">
    <w:name w:val="无间隔1"/>
    <w:basedOn w:val="1"/>
    <w:qFormat/>
    <w:uiPriority w:val="0"/>
    <w:pPr>
      <w:widowControl/>
      <w:spacing w:afterLines="50"/>
      <w:ind w:firstLine="200" w:firstLineChars="200"/>
      <w:jc w:val="left"/>
    </w:pPr>
    <w:rPr>
      <w:rFonts w:ascii="Calibri" w:hAnsi="Calibri"/>
      <w:kern w:val="0"/>
      <w:sz w:val="22"/>
      <w:szCs w:val="20"/>
    </w:rPr>
  </w:style>
  <w:style w:type="paragraph" w:customStyle="1" w:styleId="108">
    <w:name w:val="tex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09">
    <w:name w:val="tableborer-2"/>
    <w:basedOn w:val="1"/>
    <w:qFormat/>
    <w:uiPriority w:val="0"/>
    <w:pPr>
      <w:widowControl/>
      <w:pBdr>
        <w:right w:val="single" w:color="109BF8" w:sz="6" w:space="0"/>
      </w:pBdr>
      <w:spacing w:before="100" w:beforeAutospacing="1" w:after="100" w:afterAutospacing="1"/>
      <w:jc w:val="left"/>
    </w:pPr>
    <w:rPr>
      <w:rFonts w:ascii="宋体" w:hAnsi="宋体" w:cs="宋体"/>
      <w:kern w:val="0"/>
      <w:sz w:val="24"/>
    </w:rPr>
  </w:style>
  <w:style w:type="paragraph" w:customStyle="1" w:styleId="110">
    <w:name w:val="input-pass"/>
    <w:basedOn w:val="1"/>
    <w:qFormat/>
    <w:uiPriority w:val="0"/>
    <w:pPr>
      <w:widowControl/>
      <w:pBdr>
        <w:top w:val="single" w:color="auto" w:sz="6" w:space="0"/>
        <w:left w:val="single" w:color="auto" w:sz="6" w:space="0"/>
        <w:bottom w:val="single" w:color="auto" w:sz="6" w:space="0"/>
        <w:right w:val="single" w:color="auto" w:sz="6" w:space="0"/>
      </w:pBdr>
      <w:spacing w:before="100" w:beforeAutospacing="1" w:after="100" w:afterAutospacing="1"/>
      <w:jc w:val="left"/>
    </w:pPr>
    <w:rPr>
      <w:rFonts w:ascii="宋体" w:hAnsi="宋体" w:cs="宋体"/>
      <w:kern w:val="0"/>
      <w:sz w:val="18"/>
      <w:szCs w:val="18"/>
    </w:rPr>
  </w:style>
  <w:style w:type="paragraph" w:customStyle="1" w:styleId="111">
    <w:name w:val="menu"/>
    <w:basedOn w:val="1"/>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12">
    <w:name w:val="td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td-left-2"/>
    <w:basedOn w:val="1"/>
    <w:qFormat/>
    <w:uiPriority w:val="0"/>
    <w:pPr>
      <w:widowControl/>
      <w:pBdr>
        <w:left w:val="dotted" w:color="FF0000" w:sz="6" w:space="0"/>
      </w:pBdr>
      <w:spacing w:before="100" w:beforeAutospacing="1" w:after="100" w:afterAutospacing="1"/>
      <w:jc w:val="left"/>
    </w:pPr>
    <w:rPr>
      <w:rFonts w:ascii="宋体" w:hAnsi="宋体" w:cs="宋体"/>
      <w:kern w:val="0"/>
      <w:sz w:val="24"/>
    </w:rPr>
  </w:style>
  <w:style w:type="paragraph" w:customStyle="1" w:styleId="114">
    <w:name w:val="menu2"/>
    <w:basedOn w:val="1"/>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115">
    <w:name w:val="二级无"/>
    <w:basedOn w:val="1"/>
    <w:qFormat/>
    <w:uiPriority w:val="0"/>
    <w:pPr>
      <w:widowControl/>
      <w:numPr>
        <w:ilvl w:val="2"/>
        <w:numId w:val="2"/>
      </w:numPr>
      <w:jc w:val="left"/>
      <w:outlineLvl w:val="3"/>
    </w:pPr>
    <w:rPr>
      <w:rFonts w:ascii="宋体"/>
      <w:kern w:val="0"/>
      <w:szCs w:val="21"/>
    </w:rPr>
  </w:style>
  <w:style w:type="paragraph" w:customStyle="1" w:styleId="116">
    <w:name w:val="td-left"/>
    <w:basedOn w:val="1"/>
    <w:qFormat/>
    <w:uiPriority w:val="0"/>
    <w:pPr>
      <w:widowControl/>
      <w:pBdr>
        <w:left w:val="dotted" w:color="CCCCCC" w:sz="6" w:space="0"/>
        <w:right w:val="dotted" w:color="CCCCCC" w:sz="6" w:space="0"/>
      </w:pBdr>
      <w:spacing w:before="100" w:beforeAutospacing="1" w:after="100" w:afterAutospacing="1"/>
      <w:jc w:val="left"/>
    </w:pPr>
    <w:rPr>
      <w:rFonts w:ascii="宋体" w:hAnsi="宋体" w:cs="宋体"/>
      <w:kern w:val="0"/>
      <w:sz w:val="24"/>
    </w:rPr>
  </w:style>
  <w:style w:type="paragraph" w:customStyle="1" w:styleId="117">
    <w:name w:val="Char1 Char Char Char"/>
    <w:basedOn w:val="1"/>
    <w:qFormat/>
    <w:uiPriority w:val="0"/>
    <w:rPr>
      <w:rFonts w:ascii="Calibri" w:hAnsi="Calibri"/>
    </w:rPr>
  </w:style>
  <w:style w:type="paragraph" w:customStyle="1" w:styleId="118">
    <w:name w:val="td-botton"/>
    <w:basedOn w:val="1"/>
    <w:qFormat/>
    <w:uiPriority w:val="0"/>
    <w:pPr>
      <w:widowControl/>
      <w:pBdr>
        <w:bottom w:val="dotted" w:color="999999" w:sz="6" w:space="0"/>
      </w:pBdr>
      <w:spacing w:before="100" w:beforeAutospacing="1" w:after="100" w:afterAutospacing="1"/>
      <w:jc w:val="left"/>
    </w:pPr>
    <w:rPr>
      <w:rFonts w:ascii="宋体" w:hAnsi="宋体" w:cs="宋体"/>
      <w:kern w:val="0"/>
      <w:sz w:val="24"/>
    </w:rPr>
  </w:style>
  <w:style w:type="paragraph" w:customStyle="1" w:styleId="119">
    <w:name w:val="Table Paragraph"/>
    <w:basedOn w:val="1"/>
    <w:qFormat/>
    <w:uiPriority w:val="0"/>
    <w:rPr>
      <w:rFonts w:ascii="Calibri" w:hAnsi="Calibri"/>
    </w:rPr>
  </w:style>
  <w:style w:type="paragraph" w:customStyle="1" w:styleId="120">
    <w:name w:val="shadow"/>
    <w:basedOn w:val="1"/>
    <w:qFormat/>
    <w:uiPriority w:val="0"/>
    <w:pPr>
      <w:widowControl/>
      <w:jc w:val="left"/>
    </w:pPr>
    <w:rPr>
      <w:rFonts w:ascii="宋体" w:hAnsi="宋体" w:cs="宋体"/>
      <w:color w:val="FFFFFF"/>
      <w:kern w:val="0"/>
      <w:sz w:val="24"/>
    </w:rPr>
  </w:style>
  <w:style w:type="paragraph" w:customStyle="1" w:styleId="121">
    <w:name w:val="Char1 Char Char Char1"/>
    <w:basedOn w:val="1"/>
    <w:qFormat/>
    <w:uiPriority w:val="0"/>
    <w:rPr>
      <w:rFonts w:ascii="Calibri" w:hAnsi="Calibri"/>
    </w:rPr>
  </w:style>
  <w:style w:type="paragraph" w:customStyle="1" w:styleId="122">
    <w:name w:val="text2"/>
    <w:basedOn w:val="1"/>
    <w:qFormat/>
    <w:uiPriority w:val="0"/>
    <w:pPr>
      <w:widowControl/>
      <w:spacing w:before="100" w:beforeAutospacing="1" w:after="100" w:afterAutospacing="1"/>
      <w:jc w:val="left"/>
    </w:pPr>
    <w:rPr>
      <w:rFonts w:ascii="宋体" w:hAnsi="宋体" w:cs="宋体"/>
      <w:color w:val="FFFFFF"/>
      <w:kern w:val="0"/>
      <w:sz w:val="18"/>
      <w:szCs w:val="18"/>
    </w:rPr>
  </w:style>
  <w:style w:type="paragraph" w:customStyle="1" w:styleId="123">
    <w:name w:val="td2"/>
    <w:basedOn w:val="1"/>
    <w:qFormat/>
    <w:uiPriority w:val="0"/>
    <w:pPr>
      <w:widowControl/>
      <w:pBdr>
        <w:top w:val="single" w:color="FF9900" w:sz="6" w:space="0"/>
      </w:pBdr>
      <w:spacing w:before="100" w:beforeAutospacing="1" w:after="100" w:afterAutospacing="1"/>
      <w:jc w:val="left"/>
    </w:pPr>
    <w:rPr>
      <w:rFonts w:ascii="宋体" w:hAnsi="宋体" w:cs="宋体"/>
      <w:kern w:val="0"/>
      <w:sz w:val="24"/>
    </w:rPr>
  </w:style>
  <w:style w:type="paragraph" w:customStyle="1" w:styleId="124">
    <w:name w:val="wwz"/>
    <w:basedOn w:val="1"/>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25">
    <w:name w:val="td1"/>
    <w:basedOn w:val="1"/>
    <w:qFormat/>
    <w:uiPriority w:val="0"/>
    <w:pPr>
      <w:widowControl/>
      <w:pBdr>
        <w:top w:val="single" w:color="003399" w:sz="6" w:space="0"/>
        <w:left w:val="single" w:color="003399" w:sz="6" w:space="0"/>
        <w:bottom w:val="single" w:color="003399" w:sz="6" w:space="0"/>
        <w:right w:val="single" w:color="003399" w:sz="6" w:space="0"/>
      </w:pBdr>
      <w:spacing w:before="100" w:beforeAutospacing="1" w:after="100" w:afterAutospacing="1"/>
      <w:jc w:val="left"/>
    </w:pPr>
    <w:rPr>
      <w:rFonts w:ascii="宋体" w:hAnsi="宋体" w:cs="宋体"/>
      <w:kern w:val="0"/>
      <w:sz w:val="18"/>
      <w:szCs w:val="18"/>
    </w:rPr>
  </w:style>
  <w:style w:type="table" w:customStyle="1" w:styleId="126">
    <w:name w:val="Table Normal"/>
    <w:unhideWhenUsed/>
    <w:qFormat/>
    <w:uiPriority w:val="0"/>
    <w:tblPr>
      <w:tblCellMar>
        <w:top w:w="0" w:type="dxa"/>
        <w:left w:w="0" w:type="dxa"/>
        <w:bottom w:w="0" w:type="dxa"/>
        <w:right w:w="0" w:type="dxa"/>
      </w:tblCellMar>
    </w:tblPr>
  </w:style>
  <w:style w:type="paragraph" w:customStyle="1" w:styleId="127">
    <w:name w:val="列表段落11"/>
    <w:basedOn w:val="1"/>
    <w:qFormat/>
    <w:uiPriority w:val="0"/>
    <w:pPr>
      <w:ind w:left="100" w:firstLine="451"/>
    </w:pPr>
  </w:style>
  <w:style w:type="paragraph" w:customStyle="1" w:styleId="128">
    <w:name w:val="_Style 108"/>
    <w:unhideWhenUsed/>
    <w:qFormat/>
    <w:uiPriority w:val="99"/>
    <w:rPr>
      <w:rFonts w:ascii="Times New Roman" w:hAnsi="Times New Roman" w:eastAsia="Calibri" w:cs="Times New Roman"/>
      <w:kern w:val="2"/>
      <w:sz w:val="21"/>
      <w:szCs w:val="24"/>
      <w:lang w:val="en-US" w:eastAsia="zh-CN" w:bidi="ar-SA"/>
    </w:rPr>
  </w:style>
  <w:style w:type="character" w:customStyle="1" w:styleId="129">
    <w:name w:val="标题 1 1 Char2"/>
    <w:qFormat/>
    <w:uiPriority w:val="99"/>
    <w:rPr>
      <w:b/>
      <w:kern w:val="44"/>
      <w:sz w:val="44"/>
    </w:rPr>
  </w:style>
  <w:style w:type="paragraph" w:customStyle="1" w:styleId="130">
    <w:name w:val="文档正文5"/>
    <w:basedOn w:val="131"/>
    <w:qFormat/>
    <w:uiPriority w:val="0"/>
    <w:pPr>
      <w:autoSpaceDE w:val="0"/>
      <w:autoSpaceDN w:val="0"/>
      <w:snapToGrid w:val="0"/>
      <w:spacing w:line="440" w:lineRule="exact"/>
      <w:ind w:firstLine="505"/>
    </w:pPr>
    <w:rPr>
      <w:spacing w:val="4"/>
    </w:rPr>
  </w:style>
  <w:style w:type="paragraph" w:customStyle="1" w:styleId="131">
    <w:name w:val="正文缩进1"/>
    <w:basedOn w:val="1"/>
    <w:qFormat/>
    <w:uiPriority w:val="0"/>
    <w:pPr>
      <w:adjustRightInd w:val="0"/>
      <w:spacing w:line="360" w:lineRule="atLeast"/>
      <w:ind w:firstLine="420" w:firstLineChars="200"/>
      <w:jc w:val="left"/>
      <w:textAlignment w:val="baseline"/>
    </w:pPr>
    <w:rPr>
      <w:kern w:val="0"/>
      <w:sz w:val="24"/>
      <w:szCs w:val="20"/>
    </w:rPr>
  </w:style>
  <w:style w:type="character" w:customStyle="1" w:styleId="132">
    <w:name w:val="hover16"/>
    <w:basedOn w:val="27"/>
    <w:qFormat/>
    <w:uiPriority w:val="0"/>
  </w:style>
  <w:style w:type="character" w:customStyle="1" w:styleId="133">
    <w:name w:val="hover"/>
    <w:basedOn w:val="27"/>
    <w:qFormat/>
    <w:uiPriority w:val="0"/>
  </w:style>
  <w:style w:type="character" w:customStyle="1" w:styleId="134">
    <w:name w:val="font31"/>
    <w:basedOn w:val="27"/>
    <w:qFormat/>
    <w:uiPriority w:val="0"/>
    <w:rPr>
      <w:rFonts w:hint="default" w:ascii="等线 Regular" w:hAnsi="等线 Regular" w:eastAsia="等线 Regular" w:cs="等线 Regular"/>
      <w:color w:val="0070C0"/>
      <w:sz w:val="28"/>
      <w:szCs w:val="28"/>
      <w:u w:val="none"/>
    </w:rPr>
  </w:style>
  <w:style w:type="character" w:customStyle="1" w:styleId="135">
    <w:name w:val="font51"/>
    <w:basedOn w:val="27"/>
    <w:qFormat/>
    <w:uiPriority w:val="0"/>
    <w:rPr>
      <w:rFonts w:hint="default" w:ascii="等线 Regular" w:hAnsi="等线 Regular" w:eastAsia="等线 Regular" w:cs="等线 Regular"/>
      <w:color w:val="000000"/>
      <w:sz w:val="28"/>
      <w:szCs w:val="28"/>
      <w:u w:val="none"/>
    </w:rPr>
  </w:style>
  <w:style w:type="paragraph" w:customStyle="1" w:styleId="136">
    <w:name w:val="表头"/>
    <w:basedOn w:val="137"/>
    <w:next w:val="1"/>
    <w:qFormat/>
    <w:uiPriority w:val="0"/>
    <w:rPr>
      <w:b/>
      <w:bCs/>
    </w:rPr>
  </w:style>
  <w:style w:type="paragraph" w:customStyle="1" w:styleId="137">
    <w:name w:val="表格"/>
    <w:basedOn w:val="1"/>
    <w:next w:val="1"/>
    <w:qFormat/>
    <w:uiPriority w:val="0"/>
    <w:pPr>
      <w:widowControl/>
      <w:jc w:val="center"/>
    </w:pPr>
    <w:rPr>
      <w:rFonts w:ascii="宋体" w:hAnsi="宋体" w:eastAsia="宋体" w:cs="宋体"/>
      <w:color w:val="000000"/>
      <w:kern w:val="0"/>
      <w:sz w:val="18"/>
      <w:szCs w:val="18"/>
    </w:rPr>
  </w:style>
  <w:style w:type="paragraph" w:customStyle="1" w:styleId="138">
    <w:name w:val="列出段落1"/>
    <w:basedOn w:val="1"/>
    <w:qFormat/>
    <w:uiPriority w:val="34"/>
    <w:pPr>
      <w:widowControl/>
      <w:spacing w:line="360" w:lineRule="auto"/>
      <w:ind w:firstLine="420" w:firstLineChars="200"/>
      <w:jc w:val="left"/>
    </w:pPr>
    <w:rPr>
      <w:rFonts w:ascii="Calibri" w:hAnsi="Calibri" w:eastAsia="宋体"/>
      <w:kern w:val="0"/>
      <w:sz w:val="24"/>
      <w:lang w:val="en-GB"/>
    </w:rPr>
  </w:style>
  <w:style w:type="paragraph" w:styleId="139">
    <w:name w:val="List Paragraph"/>
    <w:basedOn w:val="1"/>
    <w:qFormat/>
    <w:uiPriority w:val="99"/>
    <w:pPr>
      <w:ind w:firstLine="420" w:firstLineChars="200"/>
    </w:pPr>
  </w:style>
  <w:style w:type="character" w:customStyle="1" w:styleId="140">
    <w:name w:val="正文文本首行缩进 2 字符"/>
    <w:basedOn w:val="27"/>
    <w:link w:val="24"/>
    <w:qFormat/>
    <w:uiPriority w:val="0"/>
    <w:rPr>
      <w:rFonts w:ascii="Calibri" w:hAnsi="Calibri" w:eastAsia="Calibri"/>
      <w:sz w:val="24"/>
      <w:szCs w:val="24"/>
    </w:rPr>
  </w:style>
  <w:style w:type="paragraph" w:styleId="14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42">
    <w:name w:val="font1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34129</Words>
  <Characters>36998</Characters>
  <Lines>313</Lines>
  <Paragraphs>88</Paragraphs>
  <TotalTime>6</TotalTime>
  <ScaleCrop>false</ScaleCrop>
  <LinksUpToDate>false</LinksUpToDate>
  <CharactersWithSpaces>39241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2022-05-22T00:17:00Z</dcterms:created>
  <dc:creator>微软用户</dc:creator>
  <cp:lastModifiedBy>NTKO</cp:lastModifiedBy>
  <cp:lastPrinted>2022-09-22T06:48:00Z</cp:lastPrinted>
  <dcterms:modified xsi:type="dcterms:W3CDTF">2023-12-01T06:40:35Z</dcterms:modified>
  <dc:title>驻马店市政府采购货物项目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CB9F0EB268B64881A869D55492665FDE</vt:lpwstr>
  </property>
</Properties>
</file>