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6F64E">
      <w:pPr>
        <w:jc w:val="center"/>
        <w:rPr>
          <w:rFonts w:hint="eastAsia"/>
          <w:sz w:val="44"/>
          <w:szCs w:val="44"/>
          <w:lang w:val="en-US" w:eastAsia="zh-CN"/>
        </w:rPr>
      </w:pPr>
      <w:r>
        <w:rPr>
          <w:rFonts w:hint="eastAsia"/>
          <w:sz w:val="44"/>
          <w:szCs w:val="44"/>
          <w:lang w:val="en-US" w:eastAsia="zh-CN"/>
        </w:rPr>
        <w:t>保安服务合同</w:t>
      </w:r>
    </w:p>
    <w:p w14:paraId="3CE35CC6">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甲方：驻马店市第一人民医院</w:t>
      </w:r>
    </w:p>
    <w:p w14:paraId="2668D0E9">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w:t>
      </w:r>
    </w:p>
    <w:p w14:paraId="67AF540A">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乙方为甲方提供保安服务。根据《中华人民共和国民法典》、《保安服务管理条例》等相关法律法规，经双方友好协商，达成如下事宜，由签约双方共同遵守。</w:t>
      </w:r>
    </w:p>
    <w:p w14:paraId="55BC681F">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一、服务事项</w:t>
      </w:r>
    </w:p>
    <w:p w14:paraId="3BCACFFD">
      <w:pPr>
        <w:numPr>
          <w:ilvl w:val="0"/>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1.1乙方派出保安员，为甲方提供治安防范、消防安全、反恐处突、应急处置、巡逻巡查、安全检查、门卫执勤、车辆和就诊秩序维护等有关安全保卫工作，保安员基本职责与要求详见附件一。</w:t>
      </w:r>
    </w:p>
    <w:p w14:paraId="460AB84F">
      <w:pPr>
        <w:numPr>
          <w:ilvl w:val="0"/>
          <w:numId w:val="0"/>
        </w:numPr>
        <w:ind w:firstLine="640"/>
        <w:jc w:val="both"/>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乙方派往甲方的保安人员</w:t>
      </w:r>
      <w:r>
        <w:rPr>
          <w:rFonts w:hint="eastAsia" w:ascii="仿宋" w:hAnsi="仿宋" w:eastAsia="仿宋" w:cs="仿宋"/>
          <w:sz w:val="32"/>
          <w:szCs w:val="32"/>
          <w:lang w:val="en-US" w:eastAsia="zh-CN"/>
        </w:rPr>
        <w:t>_____</w:t>
      </w:r>
      <w:r>
        <w:rPr>
          <w:rFonts w:hint="eastAsia" w:ascii="仿宋" w:hAnsi="仿宋" w:eastAsia="仿宋" w:cs="仿宋"/>
          <w:sz w:val="32"/>
          <w:szCs w:val="32"/>
        </w:rPr>
        <w:t>名，实行24小时值班，八小时工作制</w:t>
      </w:r>
      <w:r>
        <w:rPr>
          <w:rFonts w:hint="eastAsia" w:ascii="仿宋" w:hAnsi="仿宋" w:eastAsia="仿宋" w:cs="仿宋"/>
          <w:sz w:val="32"/>
          <w:szCs w:val="32"/>
          <w:lang w:eastAsia="zh-CN"/>
        </w:rPr>
        <w:t>，三班倒</w:t>
      </w:r>
      <w:r>
        <w:rPr>
          <w:rFonts w:hint="eastAsia" w:ascii="仿宋" w:hAnsi="仿宋" w:eastAsia="仿宋" w:cs="仿宋"/>
          <w:sz w:val="32"/>
          <w:szCs w:val="32"/>
        </w:rPr>
        <w:t>。</w:t>
      </w:r>
    </w:p>
    <w:p w14:paraId="64C3D72D">
      <w:pPr>
        <w:numPr>
          <w:ilvl w:val="0"/>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1.3具体岗位明细如下：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975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482FFBE">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岗位名称</w:t>
            </w:r>
          </w:p>
        </w:tc>
        <w:tc>
          <w:tcPr>
            <w:tcW w:w="4261" w:type="dxa"/>
          </w:tcPr>
          <w:p w14:paraId="04117635">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人数</w:t>
            </w:r>
          </w:p>
        </w:tc>
      </w:tr>
      <w:tr w14:paraId="523C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D23005E">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门卫守护岗</w:t>
            </w:r>
          </w:p>
        </w:tc>
        <w:tc>
          <w:tcPr>
            <w:tcW w:w="4261" w:type="dxa"/>
          </w:tcPr>
          <w:p w14:paraId="5C72FF73">
            <w:pPr>
              <w:numPr>
                <w:ilvl w:val="0"/>
                <w:numId w:val="0"/>
              </w:numPr>
              <w:jc w:val="center"/>
              <w:rPr>
                <w:rFonts w:hint="default" w:ascii="仿宋" w:hAnsi="仿宋" w:eastAsia="仿宋" w:cs="仿宋"/>
                <w:sz w:val="32"/>
                <w:szCs w:val="32"/>
                <w:vertAlign w:val="baseline"/>
                <w:lang w:val="en-US" w:eastAsia="zh-CN"/>
              </w:rPr>
            </w:pPr>
          </w:p>
        </w:tc>
      </w:tr>
      <w:tr w14:paraId="3A46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A663B2">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交通管理岗</w:t>
            </w:r>
          </w:p>
        </w:tc>
        <w:tc>
          <w:tcPr>
            <w:tcW w:w="4261" w:type="dxa"/>
          </w:tcPr>
          <w:p w14:paraId="0C5C0745">
            <w:pPr>
              <w:numPr>
                <w:ilvl w:val="0"/>
                <w:numId w:val="0"/>
              </w:numPr>
              <w:jc w:val="center"/>
              <w:rPr>
                <w:rFonts w:hint="default" w:ascii="仿宋" w:hAnsi="仿宋" w:eastAsia="仿宋" w:cs="仿宋"/>
                <w:sz w:val="32"/>
                <w:szCs w:val="32"/>
                <w:vertAlign w:val="baseline"/>
                <w:lang w:val="en-US" w:eastAsia="zh-CN"/>
              </w:rPr>
            </w:pPr>
          </w:p>
        </w:tc>
      </w:tr>
      <w:tr w14:paraId="30E0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DBC0D71">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秩序维护岗</w:t>
            </w:r>
          </w:p>
        </w:tc>
        <w:tc>
          <w:tcPr>
            <w:tcW w:w="4261" w:type="dxa"/>
          </w:tcPr>
          <w:p w14:paraId="54EDC186">
            <w:pPr>
              <w:numPr>
                <w:ilvl w:val="0"/>
                <w:numId w:val="0"/>
              </w:numPr>
              <w:jc w:val="center"/>
              <w:rPr>
                <w:rFonts w:hint="default" w:ascii="仿宋" w:hAnsi="仿宋" w:eastAsia="仿宋" w:cs="仿宋"/>
                <w:sz w:val="32"/>
                <w:szCs w:val="32"/>
                <w:vertAlign w:val="baseline"/>
                <w:lang w:val="en-US" w:eastAsia="zh-CN"/>
              </w:rPr>
            </w:pPr>
          </w:p>
        </w:tc>
      </w:tr>
      <w:tr w14:paraId="25C8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8CFD495">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应急机动岗</w:t>
            </w:r>
          </w:p>
        </w:tc>
        <w:tc>
          <w:tcPr>
            <w:tcW w:w="4261" w:type="dxa"/>
          </w:tcPr>
          <w:p w14:paraId="701F3F79">
            <w:pPr>
              <w:numPr>
                <w:ilvl w:val="0"/>
                <w:numId w:val="0"/>
              </w:numPr>
              <w:jc w:val="center"/>
              <w:rPr>
                <w:rFonts w:hint="default" w:ascii="仿宋" w:hAnsi="仿宋" w:eastAsia="仿宋" w:cs="仿宋"/>
                <w:sz w:val="32"/>
                <w:szCs w:val="32"/>
                <w:vertAlign w:val="baseline"/>
                <w:lang w:val="en-US" w:eastAsia="zh-CN"/>
              </w:rPr>
            </w:pPr>
          </w:p>
        </w:tc>
      </w:tr>
      <w:tr w14:paraId="50FE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A2455CE">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管理岗（班长）</w:t>
            </w:r>
          </w:p>
        </w:tc>
        <w:tc>
          <w:tcPr>
            <w:tcW w:w="4261" w:type="dxa"/>
          </w:tcPr>
          <w:p w14:paraId="2E331B5F">
            <w:pPr>
              <w:numPr>
                <w:ilvl w:val="0"/>
                <w:numId w:val="0"/>
              </w:numPr>
              <w:jc w:val="center"/>
              <w:rPr>
                <w:rFonts w:hint="default" w:ascii="仿宋" w:hAnsi="仿宋" w:eastAsia="仿宋" w:cs="仿宋"/>
                <w:sz w:val="32"/>
                <w:szCs w:val="32"/>
                <w:vertAlign w:val="baseline"/>
                <w:lang w:val="en-US" w:eastAsia="zh-CN"/>
              </w:rPr>
            </w:pPr>
          </w:p>
        </w:tc>
      </w:tr>
      <w:tr w14:paraId="1ABC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F4A5CDD">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安全检查岗</w:t>
            </w:r>
          </w:p>
        </w:tc>
        <w:tc>
          <w:tcPr>
            <w:tcW w:w="4261" w:type="dxa"/>
          </w:tcPr>
          <w:p w14:paraId="0188F75B">
            <w:pPr>
              <w:numPr>
                <w:ilvl w:val="0"/>
                <w:numId w:val="0"/>
              </w:numPr>
              <w:jc w:val="center"/>
              <w:rPr>
                <w:rFonts w:hint="default" w:ascii="仿宋" w:hAnsi="仿宋" w:eastAsia="仿宋" w:cs="仿宋"/>
                <w:sz w:val="32"/>
                <w:szCs w:val="32"/>
                <w:vertAlign w:val="baseline"/>
                <w:lang w:val="en-US" w:eastAsia="zh-CN"/>
              </w:rPr>
            </w:pPr>
          </w:p>
        </w:tc>
      </w:tr>
    </w:tbl>
    <w:p w14:paraId="08E2F1F4">
      <w:pPr>
        <w:numPr>
          <w:ilvl w:val="0"/>
          <w:numId w:val="0"/>
        </w:numPr>
        <w:ind w:firstLine="640"/>
        <w:jc w:val="both"/>
        <w:rPr>
          <w:rFonts w:hint="default" w:ascii="仿宋" w:hAnsi="仿宋" w:eastAsia="仿宋" w:cs="仿宋"/>
          <w:sz w:val="32"/>
          <w:szCs w:val="32"/>
          <w:lang w:val="en-US" w:eastAsia="zh-CN"/>
        </w:rPr>
      </w:pPr>
    </w:p>
    <w:p w14:paraId="7B78BC56">
      <w:pPr>
        <w:numPr>
          <w:ilvl w:val="0"/>
          <w:numId w:val="0"/>
        </w:num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1.4保安员服务地点为：_________________。</w:t>
      </w:r>
    </w:p>
    <w:p w14:paraId="5C8C29B8">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二、甲方权利与义务</w:t>
      </w:r>
    </w:p>
    <w:p w14:paraId="3D6AE57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2.1甲方有权根据自身安全管理需要设计相应的考核指标体系，对乙方保安员的服务工作进行监督、检查和具体指导，有权要求乙方调换不适合在甲方工作的保安员。</w:t>
      </w:r>
    </w:p>
    <w:p w14:paraId="1163E399">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甲方应为乙方派遣的保安人员提供较好的劳动、安全、卫生和必要的工作场所和生活条件。</w:t>
      </w:r>
    </w:p>
    <w:p w14:paraId="35147A28">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2.3甲方需按时支付服务费。</w:t>
      </w:r>
    </w:p>
    <w:p w14:paraId="18217363">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三、乙方权利与义务</w:t>
      </w:r>
    </w:p>
    <w:p w14:paraId="090AD15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乙方应负责保安员的工作编制计划安排及对保安员进行业务培训和考核；负责保安员日常管理和教育培训，传达甲方指令，安排落实工作，掌握保安员思想动态，督促检查保安工作执行和落实情况，带领保安员完成各项任务。</w:t>
      </w:r>
    </w:p>
    <w:p w14:paraId="601E394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3.2乙方应对整体治安保卫、消防安全等工作负责，全面掌握安全保卫工作情况，及时处理发现的问题和不安定因素；对安全隐患要做好巡查巡防、防范措施并及时汇报跟踪处置。</w:t>
      </w:r>
    </w:p>
    <w:p w14:paraId="6D5E726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3.3乙方应严格遵守甲方各项规章制度，服从甲方管理部门和相关科室的监督和管理。努力学习业务知识和专业技能，掌握新形势下甲方保安管理岗位技能，提高业务水平、提升管理能力。</w:t>
      </w:r>
    </w:p>
    <w:p w14:paraId="43823B3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3.4乙方应随时检查所辖范围各责任区的工作状况、及时调整人员配置和执勤保障用品。</w:t>
      </w:r>
    </w:p>
    <w:p w14:paraId="1422BFB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3.5制定保安工作计划并报甲方保卫部门同意后严格执行。</w:t>
      </w:r>
    </w:p>
    <w:p w14:paraId="3294397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3.6督促、指导保安员做好防火、防盗、防讯等应急处置工作。</w:t>
      </w:r>
    </w:p>
    <w:p w14:paraId="6228E86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3.7负责与甲方管理部门和科室进行沟通,掌握并了解工作中存在问题，及时采取措施予以改进，有效处理患者的投诉，确保各项工作的顺利开展。</w:t>
      </w:r>
    </w:p>
    <w:p w14:paraId="2D291600">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3.8每周组织召开一次工作会议，检查、总结本周工作，安排部署下周工作。</w:t>
      </w:r>
    </w:p>
    <w:p w14:paraId="0B76C7F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3.9乙方应及时撤换甲方提出的不称职的保安员。</w:t>
      </w:r>
    </w:p>
    <w:p w14:paraId="1D730790">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3.10乙方应提供保安人员履行职务所需的服装、执勤装备、通讯技术装备等，并为本服务执行过程中的保安人员缴纳社会保险和人身意外险。</w:t>
      </w:r>
    </w:p>
    <w:p w14:paraId="4847BD3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3.11应甲方要求，乙方将在服务开始前提供所有将在本服务执行过程中所需保安员的人员名单。</w:t>
      </w:r>
    </w:p>
    <w:p w14:paraId="3DAC407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3.12乙方应勤勉尽责，对因乙方保安员玩忽职守或工作失职导致的财产损失、人员伤亡或第三人侵权，乙方应承担全部责任。</w:t>
      </w:r>
    </w:p>
    <w:p w14:paraId="15436F5E">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四、费用与支付</w:t>
      </w:r>
    </w:p>
    <w:p w14:paraId="20BF3AFE">
      <w:pPr>
        <w:numPr>
          <w:ilvl w:val="0"/>
          <w:numId w:val="0"/>
        </w:num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4.1合同总金额为：__________元，大写：_________元。本费用包含员工基本工资、社会保险、津贴补助等全部费用。</w:t>
      </w:r>
    </w:p>
    <w:p w14:paraId="6C350B36">
      <w:pPr>
        <w:numPr>
          <w:ilvl w:val="0"/>
          <w:numId w:val="0"/>
        </w:numPr>
        <w:ind w:firstLine="640"/>
        <w:rPr>
          <w:rFonts w:hint="eastAsia" w:ascii="仿宋" w:hAnsi="仿宋" w:eastAsia="仿宋" w:cs="仿宋"/>
          <w:kern w:val="2"/>
          <w:sz w:val="30"/>
          <w:szCs w:val="30"/>
          <w:lang w:val="en-US" w:eastAsia="zh-CN" w:bidi="ar-SA"/>
        </w:rPr>
      </w:pPr>
      <w:r>
        <w:rPr>
          <w:rFonts w:hint="eastAsia" w:ascii="仿宋" w:hAnsi="仿宋" w:eastAsia="仿宋" w:cs="仿宋"/>
          <w:sz w:val="32"/>
          <w:szCs w:val="32"/>
          <w:lang w:val="en-US" w:eastAsia="zh-CN"/>
        </w:rPr>
        <w:t>4.2甲方按月支付保安服务费。每月向乙方支付________元。</w:t>
      </w:r>
      <w:r>
        <w:rPr>
          <w:rFonts w:hint="eastAsia" w:ascii="仿宋" w:hAnsi="仿宋" w:eastAsia="仿宋" w:cs="仿宋"/>
          <w:kern w:val="2"/>
          <w:sz w:val="30"/>
          <w:szCs w:val="30"/>
          <w:lang w:val="en-US" w:eastAsia="zh-CN" w:bidi="ar-SA"/>
        </w:rPr>
        <w:t>甲方收到乙方提交齐全的付款资料以及与结算金额等额合法有效的发票后15个工作日内向乙方支付上月保安服务费。</w:t>
      </w:r>
    </w:p>
    <w:p w14:paraId="467CA544">
      <w:pPr>
        <w:numPr>
          <w:ilvl w:val="0"/>
          <w:numId w:val="0"/>
        </w:numPr>
        <w:ind w:firstLine="64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4.3服务</w:t>
      </w:r>
      <w:r>
        <w:rPr>
          <w:rFonts w:hint="eastAsia" w:ascii="宋体" w:hAnsi="宋体" w:eastAsia="仿宋" w:cs="宋体"/>
          <w:b w:val="0"/>
          <w:bCs w:val="0"/>
          <w:color w:val="auto"/>
          <w:kern w:val="0"/>
          <w:sz w:val="30"/>
          <w:szCs w:val="24"/>
          <w:highlight w:val="none"/>
          <w:lang w:val="en-US" w:eastAsia="zh-CN"/>
        </w:rPr>
        <w:t>费用的扣除：按照甲方服务商考核细则打分标准进行扣除。每降低五分，扣除总服务费的1%。</w:t>
      </w:r>
    </w:p>
    <w:p w14:paraId="482F38AC">
      <w:pPr>
        <w:numPr>
          <w:ilvl w:val="0"/>
          <w:numId w:val="0"/>
        </w:numPr>
        <w:ind w:firstLine="64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4.4本费用税金由乙方承担，若税收政策发生变化，乙方则按新出台的收税政策完税。</w:t>
      </w:r>
    </w:p>
    <w:p w14:paraId="1D4AA1BF">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600" w:firstLineChars="200"/>
        <w:textAlignment w:val="baseline"/>
        <w:rPr>
          <w:rFonts w:hint="eastAsia" w:ascii="宋体" w:hAnsi="宋体" w:eastAsia="仿宋"/>
          <w:sz w:val="30"/>
          <w:szCs w:val="24"/>
          <w:lang w:val="en-US" w:eastAsia="zh-CN"/>
        </w:rPr>
      </w:pPr>
      <w:r>
        <w:rPr>
          <w:rFonts w:hint="eastAsia" w:ascii="宋体" w:hAnsi="宋体" w:eastAsia="仿宋"/>
          <w:sz w:val="30"/>
          <w:szCs w:val="24"/>
          <w:lang w:val="en-US" w:eastAsia="zh-CN"/>
        </w:rPr>
        <w:t>五、知识产权及保密</w:t>
      </w:r>
    </w:p>
    <w:p w14:paraId="10DBA73E">
      <w:pPr>
        <w:keepNext w:val="0"/>
        <w:keepLines w:val="0"/>
        <w:pageBreakBefore w:val="0"/>
        <w:widowControl/>
        <w:kinsoku/>
        <w:wordWrap/>
        <w:overflowPunct/>
        <w:topLinePunct w:val="0"/>
        <w:autoSpaceDE/>
        <w:autoSpaceDN/>
        <w:bidi w:val="0"/>
        <w:adjustRightInd/>
        <w:snapToGrid w:val="0"/>
        <w:spacing w:line="360" w:lineRule="auto"/>
        <w:ind w:firstLine="600" w:firstLineChars="200"/>
        <w:textAlignment w:val="baseline"/>
        <w:rPr>
          <w:rFonts w:hint="eastAsia" w:ascii="宋体" w:hAnsi="宋体" w:eastAsia="仿宋"/>
          <w:bCs/>
          <w:sz w:val="30"/>
        </w:rPr>
      </w:pPr>
      <w:r>
        <w:rPr>
          <w:rFonts w:hint="eastAsia" w:ascii="宋体" w:hAnsi="宋体" w:eastAsia="仿宋"/>
          <w:bCs/>
          <w:sz w:val="30"/>
          <w:lang w:val="en-US" w:eastAsia="zh-CN"/>
        </w:rPr>
        <w:t>5.1</w:t>
      </w:r>
      <w:r>
        <w:rPr>
          <w:rFonts w:hint="eastAsia" w:ascii="宋体" w:hAnsi="宋体" w:eastAsia="仿宋"/>
          <w:bCs/>
          <w:sz w:val="30"/>
        </w:rPr>
        <w:t>乙方</w:t>
      </w:r>
      <w:r>
        <w:rPr>
          <w:rFonts w:ascii="宋体" w:hAnsi="宋体" w:eastAsia="仿宋"/>
          <w:bCs/>
          <w:sz w:val="30"/>
        </w:rPr>
        <w:t>保证，其根据本合同提供的</w:t>
      </w:r>
      <w:r>
        <w:rPr>
          <w:rFonts w:hint="eastAsia" w:ascii="宋体" w:hAnsi="宋体" w:eastAsia="仿宋"/>
          <w:bCs/>
          <w:sz w:val="30"/>
        </w:rPr>
        <w:t>产品</w:t>
      </w:r>
      <w:r>
        <w:rPr>
          <w:rFonts w:ascii="宋体" w:hAnsi="宋体" w:eastAsia="仿宋"/>
          <w:bCs/>
          <w:sz w:val="30"/>
        </w:rPr>
        <w:t>及服务没有任何权利</w:t>
      </w:r>
      <w:r>
        <w:rPr>
          <w:rFonts w:hint="eastAsia" w:ascii="宋体" w:hAnsi="宋体" w:eastAsia="仿宋"/>
          <w:sz w:val="30"/>
        </w:rPr>
        <w:t>瑕疵</w:t>
      </w:r>
      <w:r>
        <w:rPr>
          <w:rFonts w:ascii="宋体" w:hAnsi="宋体" w:eastAsia="仿宋"/>
          <w:bCs/>
          <w:sz w:val="30"/>
        </w:rPr>
        <w:t>，没有侵犯任何第三方权利，</w:t>
      </w:r>
      <w:r>
        <w:rPr>
          <w:rFonts w:hint="eastAsia" w:ascii="宋体" w:hAnsi="宋体" w:eastAsia="仿宋"/>
          <w:bCs/>
          <w:sz w:val="30"/>
        </w:rPr>
        <w:t>甲方</w:t>
      </w:r>
      <w:r>
        <w:rPr>
          <w:rFonts w:ascii="宋体" w:hAnsi="宋体" w:eastAsia="仿宋"/>
          <w:bCs/>
          <w:sz w:val="30"/>
        </w:rPr>
        <w:t>在使用该</w:t>
      </w:r>
      <w:r>
        <w:rPr>
          <w:rFonts w:hint="eastAsia" w:ascii="宋体" w:hAnsi="宋体" w:eastAsia="仿宋"/>
          <w:bCs/>
          <w:sz w:val="30"/>
        </w:rPr>
        <w:t>产品</w:t>
      </w:r>
      <w:r>
        <w:rPr>
          <w:rFonts w:ascii="宋体" w:hAnsi="宋体" w:eastAsia="仿宋"/>
          <w:bCs/>
          <w:sz w:val="30"/>
        </w:rPr>
        <w:t>或</w:t>
      </w:r>
      <w:r>
        <w:rPr>
          <w:rFonts w:hint="eastAsia" w:ascii="宋体" w:hAnsi="宋体" w:eastAsia="仿宋"/>
          <w:bCs/>
          <w:sz w:val="30"/>
        </w:rPr>
        <w:t>服务</w:t>
      </w:r>
      <w:r>
        <w:rPr>
          <w:rFonts w:ascii="宋体" w:hAnsi="宋体" w:eastAsia="仿宋"/>
          <w:bCs/>
          <w:sz w:val="30"/>
        </w:rPr>
        <w:t>的任何一部分时，免受第三方提出的侵犯其</w:t>
      </w:r>
      <w:r>
        <w:rPr>
          <w:rFonts w:hint="eastAsia" w:ascii="宋体" w:hAnsi="宋体" w:eastAsia="仿宋"/>
          <w:bCs/>
          <w:sz w:val="30"/>
        </w:rPr>
        <w:t>知识产权</w:t>
      </w:r>
      <w:r>
        <w:rPr>
          <w:rFonts w:ascii="宋体" w:hAnsi="宋体" w:eastAsia="仿宋"/>
          <w:bCs/>
          <w:sz w:val="30"/>
        </w:rPr>
        <w:t>的起诉</w:t>
      </w:r>
      <w:r>
        <w:rPr>
          <w:rFonts w:hint="eastAsia" w:ascii="宋体" w:hAnsi="宋体" w:eastAsia="仿宋"/>
          <w:bCs/>
          <w:sz w:val="30"/>
        </w:rPr>
        <w:t>。如果任何人对甲方使用该产品或服务主张权利，由乙方负责处理一切纠纷及相关事宜。由此给甲方造成的损失，由乙方承担，其承担范围包括但不限于：赔偿费、律师费、</w:t>
      </w:r>
      <w:r>
        <w:rPr>
          <w:rFonts w:hint="eastAsia" w:ascii="宋体" w:hAnsi="宋体" w:eastAsia="仿宋"/>
          <w:bCs/>
          <w:sz w:val="30"/>
          <w:lang w:val="en-US" w:eastAsia="zh-CN"/>
        </w:rPr>
        <w:t>诉讼费等</w:t>
      </w:r>
      <w:r>
        <w:rPr>
          <w:rFonts w:hint="eastAsia" w:ascii="宋体" w:hAnsi="宋体" w:eastAsia="仿宋"/>
          <w:bCs/>
          <w:sz w:val="30"/>
        </w:rPr>
        <w:t>费用。</w:t>
      </w:r>
    </w:p>
    <w:p w14:paraId="5C823E1C">
      <w:pPr>
        <w:keepNext w:val="0"/>
        <w:keepLines w:val="0"/>
        <w:pageBreakBefore w:val="0"/>
        <w:widowControl/>
        <w:kinsoku/>
        <w:wordWrap/>
        <w:overflowPunct/>
        <w:topLinePunct w:val="0"/>
        <w:autoSpaceDE/>
        <w:autoSpaceDN/>
        <w:bidi w:val="0"/>
        <w:adjustRightInd/>
        <w:snapToGrid w:val="0"/>
        <w:spacing w:line="360" w:lineRule="auto"/>
        <w:ind w:firstLine="600" w:firstLineChars="200"/>
        <w:textAlignment w:val="baseline"/>
        <w:rPr>
          <w:rFonts w:hint="eastAsia" w:ascii="宋体" w:hAnsi="宋体" w:eastAsia="仿宋"/>
          <w:bCs/>
          <w:sz w:val="30"/>
        </w:rPr>
      </w:pPr>
      <w:r>
        <w:rPr>
          <w:rFonts w:hint="eastAsia" w:ascii="宋体" w:hAnsi="宋体" w:eastAsia="仿宋"/>
          <w:bCs/>
          <w:sz w:val="30"/>
          <w:lang w:val="en-US" w:eastAsia="zh-CN"/>
        </w:rPr>
        <w:t>5.2</w:t>
      </w:r>
      <w:r>
        <w:rPr>
          <w:rFonts w:hint="eastAsia" w:ascii="宋体" w:hAnsi="宋体" w:eastAsia="仿宋"/>
          <w:bCs/>
          <w:sz w:val="30"/>
        </w:rPr>
        <w:t>双方同意保守在缔结和履行合同过程中获知的对方保密信息，除一方履行合同义务的必要或法律、法规规定应披露的之外，不得以任何方式向第三人披露和不正当使用，否则，应当赔偿因泄露保密信息给对方造成的损失。</w:t>
      </w:r>
    </w:p>
    <w:p w14:paraId="36FA8EE8">
      <w:pPr>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600" w:firstLineChars="200"/>
        <w:textAlignment w:val="baseline"/>
        <w:rPr>
          <w:rFonts w:hint="eastAsia" w:ascii="宋体" w:hAnsi="宋体" w:eastAsia="仿宋"/>
          <w:bCs/>
          <w:sz w:val="30"/>
          <w:lang w:val="en-US" w:eastAsia="zh-CN"/>
        </w:rPr>
      </w:pPr>
      <w:r>
        <w:rPr>
          <w:rFonts w:hint="eastAsia" w:ascii="宋体" w:hAnsi="宋体" w:eastAsia="仿宋"/>
          <w:bCs/>
          <w:sz w:val="30"/>
          <w:lang w:val="en-US" w:eastAsia="zh-CN"/>
        </w:rPr>
        <w:t>违约责任</w:t>
      </w:r>
    </w:p>
    <w:p w14:paraId="157BD60E">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textAlignment w:val="baseline"/>
        <w:rPr>
          <w:rFonts w:hint="default" w:ascii="宋体" w:hAnsi="宋体" w:eastAsia="仿宋"/>
          <w:bCs/>
          <w:sz w:val="30"/>
          <w:lang w:val="en-US"/>
        </w:rPr>
      </w:pPr>
      <w:r>
        <w:rPr>
          <w:rFonts w:hint="eastAsia" w:ascii="宋体" w:hAnsi="宋体" w:eastAsia="仿宋"/>
          <w:bCs/>
          <w:sz w:val="30"/>
          <w:lang w:val="en-US" w:eastAsia="zh-CN"/>
        </w:rPr>
        <w:t>6.1若乙方保安人员在执勤期间，因工作失职、脱岗、缺岗或玩忽职守造成治安防范区域发生打架、斗殴、火灾、故意伤害等致使人身损害或财产损失的，乙方应承担全部责任。</w:t>
      </w:r>
    </w:p>
    <w:p w14:paraId="4A1013DF">
      <w:pPr>
        <w:pageBreakBefore w:val="0"/>
        <w:numPr>
          <w:ilvl w:val="0"/>
          <w:numId w:val="0"/>
        </w:numPr>
        <w:kinsoku/>
        <w:overflowPunct/>
        <w:bidi w:val="0"/>
        <w:spacing w:line="240" w:lineRule="auto"/>
        <w:ind w:firstLine="600" w:firstLineChars="200"/>
        <w:rPr>
          <w:rFonts w:hint="default" w:ascii="宋体" w:hAnsi="宋体" w:eastAsia="仿宋" w:cs="宋体"/>
          <w:b w:val="0"/>
          <w:color w:val="auto"/>
          <w:kern w:val="0"/>
          <w:sz w:val="30"/>
          <w:szCs w:val="24"/>
          <w:lang w:val="en-US" w:eastAsia="zh-CN" w:bidi="ar-SA"/>
        </w:rPr>
      </w:pPr>
      <w:r>
        <w:rPr>
          <w:rFonts w:hint="eastAsia" w:eastAsia="仿宋"/>
          <w:sz w:val="30"/>
          <w:szCs w:val="24"/>
          <w:u w:val="none"/>
          <w:lang w:val="en-US" w:eastAsia="zh-CN"/>
        </w:rPr>
        <w:t>七、合同解除</w:t>
      </w:r>
    </w:p>
    <w:p w14:paraId="4E1E7D17">
      <w:pPr>
        <w:pageBreakBefore w:val="0"/>
        <w:numPr>
          <w:ilvl w:val="0"/>
          <w:numId w:val="0"/>
        </w:numPr>
        <w:kinsoku/>
        <w:overflowPunct/>
        <w:bidi w:val="0"/>
        <w:spacing w:line="240" w:lineRule="auto"/>
        <w:ind w:firstLine="600" w:firstLineChars="200"/>
        <w:rPr>
          <w:rFonts w:hint="eastAsia" w:ascii="仿宋_GB2312" w:hAnsi="仿宋_GB2312" w:eastAsia="仿宋" w:cs="仿宋_GB2312"/>
          <w:color w:val="auto"/>
          <w:sz w:val="30"/>
          <w:szCs w:val="32"/>
        </w:rPr>
      </w:pPr>
      <w:r>
        <w:rPr>
          <w:rFonts w:hint="eastAsia" w:ascii="仿宋_GB2312" w:hAnsi="仿宋_GB2312" w:eastAsia="仿宋" w:cs="仿宋_GB2312"/>
          <w:color w:val="auto"/>
          <w:sz w:val="30"/>
          <w:szCs w:val="32"/>
          <w:lang w:val="en-US" w:eastAsia="zh-CN"/>
        </w:rPr>
        <w:t>7.1</w:t>
      </w:r>
      <w:r>
        <w:rPr>
          <w:rFonts w:hint="eastAsia" w:ascii="仿宋_GB2312" w:hAnsi="仿宋_GB2312" w:eastAsia="仿宋" w:cs="仿宋_GB2312"/>
          <w:color w:val="auto"/>
          <w:sz w:val="30"/>
          <w:szCs w:val="32"/>
        </w:rPr>
        <w:t>本合同</w:t>
      </w:r>
      <w:r>
        <w:rPr>
          <w:rFonts w:hint="eastAsia" w:ascii="仿宋_GB2312" w:hAnsi="仿宋_GB2312" w:eastAsia="仿宋" w:cs="仿宋_GB2312"/>
          <w:color w:val="auto"/>
          <w:sz w:val="30"/>
          <w:szCs w:val="32"/>
          <w:lang w:val="en-US" w:eastAsia="zh-CN"/>
        </w:rPr>
        <w:t>履行</w:t>
      </w:r>
      <w:r>
        <w:rPr>
          <w:rFonts w:hint="eastAsia" w:ascii="仿宋_GB2312" w:hAnsi="仿宋_GB2312" w:eastAsia="仿宋" w:cs="仿宋_GB2312"/>
          <w:color w:val="auto"/>
          <w:sz w:val="30"/>
          <w:szCs w:val="32"/>
        </w:rPr>
        <w:t>过程中, 甲方将定期或不定期的对乙方</w:t>
      </w:r>
      <w:r>
        <w:rPr>
          <w:rFonts w:hint="eastAsia" w:ascii="仿宋_GB2312" w:hAnsi="仿宋_GB2312" w:eastAsia="仿宋" w:cs="仿宋_GB2312"/>
          <w:color w:val="auto"/>
          <w:sz w:val="30"/>
          <w:szCs w:val="32"/>
          <w:lang w:val="en-US" w:eastAsia="zh-CN"/>
        </w:rPr>
        <w:t>履行</w:t>
      </w:r>
      <w:r>
        <w:rPr>
          <w:rFonts w:hint="eastAsia" w:ascii="仿宋_GB2312" w:hAnsi="仿宋_GB2312" w:eastAsia="仿宋" w:cs="仿宋_GB2312"/>
          <w:color w:val="auto"/>
          <w:sz w:val="30"/>
          <w:szCs w:val="32"/>
        </w:rPr>
        <w:t>合同的情况进行检查</w:t>
      </w:r>
      <w:r>
        <w:rPr>
          <w:rFonts w:hint="eastAsia" w:ascii="仿宋_GB2312" w:hAnsi="仿宋_GB2312" w:eastAsia="仿宋" w:cs="仿宋_GB2312"/>
          <w:color w:val="auto"/>
          <w:sz w:val="30"/>
          <w:szCs w:val="32"/>
          <w:lang w:eastAsia="zh-CN"/>
        </w:rPr>
        <w:t>，</w:t>
      </w:r>
      <w:r>
        <w:rPr>
          <w:rFonts w:hint="eastAsia" w:ascii="仿宋_GB2312" w:hAnsi="仿宋_GB2312" w:eastAsia="仿宋" w:cs="仿宋_GB2312"/>
          <w:color w:val="auto"/>
          <w:sz w:val="30"/>
          <w:szCs w:val="32"/>
        </w:rPr>
        <w:t>如</w:t>
      </w:r>
      <w:r>
        <w:rPr>
          <w:rFonts w:hint="eastAsia" w:ascii="仿宋_GB2312" w:hAnsi="仿宋_GB2312" w:eastAsia="仿宋" w:cs="仿宋_GB2312"/>
          <w:color w:val="auto"/>
          <w:sz w:val="30"/>
          <w:szCs w:val="32"/>
          <w:lang w:val="en-US" w:eastAsia="zh-CN"/>
        </w:rPr>
        <w:t>乙方发生以下任一情形</w:t>
      </w:r>
      <w:r>
        <w:rPr>
          <w:rFonts w:hint="eastAsia" w:ascii="仿宋_GB2312" w:hAnsi="仿宋_GB2312" w:eastAsia="仿宋" w:cs="仿宋_GB2312"/>
          <w:color w:val="auto"/>
          <w:sz w:val="30"/>
          <w:szCs w:val="32"/>
        </w:rPr>
        <w:t>，甲方</w:t>
      </w:r>
      <w:r>
        <w:rPr>
          <w:rFonts w:hint="eastAsia" w:ascii="仿宋_GB2312" w:hAnsi="仿宋_GB2312" w:eastAsia="仿宋" w:cs="仿宋_GB2312"/>
          <w:color w:val="auto"/>
          <w:sz w:val="30"/>
          <w:szCs w:val="32"/>
          <w:lang w:val="en-US" w:eastAsia="zh-CN"/>
        </w:rPr>
        <w:t>有权解除本</w:t>
      </w:r>
      <w:r>
        <w:rPr>
          <w:rFonts w:hint="eastAsia" w:ascii="仿宋_GB2312" w:hAnsi="仿宋_GB2312" w:eastAsia="仿宋" w:cs="仿宋_GB2312"/>
          <w:color w:val="auto"/>
          <w:sz w:val="30"/>
          <w:szCs w:val="32"/>
        </w:rPr>
        <w:t>合同，</w:t>
      </w:r>
      <w:r>
        <w:rPr>
          <w:rFonts w:hint="eastAsia" w:ascii="仿宋_GB2312" w:hAnsi="仿宋_GB2312" w:eastAsia="仿宋" w:cs="仿宋_GB2312"/>
          <w:color w:val="auto"/>
          <w:sz w:val="30"/>
          <w:szCs w:val="32"/>
          <w:lang w:val="en-US" w:eastAsia="zh-CN"/>
        </w:rPr>
        <w:t>由此给</w:t>
      </w:r>
      <w:r>
        <w:rPr>
          <w:rFonts w:hint="eastAsia" w:ascii="仿宋_GB2312" w:hAnsi="仿宋_GB2312" w:eastAsia="仿宋" w:cs="仿宋_GB2312"/>
          <w:color w:val="auto"/>
          <w:sz w:val="30"/>
          <w:szCs w:val="32"/>
        </w:rPr>
        <w:t>甲方造成损失的，乙方应同时承担相应的违约责任</w:t>
      </w:r>
      <w:r>
        <w:rPr>
          <w:rFonts w:hint="eastAsia" w:ascii="仿宋_GB2312" w:hAnsi="仿宋_GB2312" w:eastAsia="仿宋" w:cs="仿宋_GB2312"/>
          <w:color w:val="auto"/>
          <w:sz w:val="30"/>
          <w:szCs w:val="32"/>
          <w:lang w:val="en-US" w:eastAsia="zh-CN"/>
        </w:rPr>
        <w:t>及</w:t>
      </w:r>
      <w:r>
        <w:rPr>
          <w:rFonts w:hint="eastAsia" w:ascii="仿宋_GB2312" w:hAnsi="仿宋_GB2312" w:eastAsia="仿宋" w:cs="仿宋_GB2312"/>
          <w:color w:val="auto"/>
          <w:sz w:val="30"/>
          <w:szCs w:val="32"/>
        </w:rPr>
        <w:t>赔偿责任。</w:t>
      </w:r>
    </w:p>
    <w:p w14:paraId="3ED99660">
      <w:pPr>
        <w:pStyle w:val="7"/>
        <w:ind w:left="0" w:leftChars="0" w:firstLine="600" w:firstLineChars="200"/>
        <w:rPr>
          <w:rFonts w:hint="default" w:ascii="仿宋_GB2312" w:hAnsi="仿宋_GB2312" w:eastAsia="仿宋" w:cs="仿宋_GB2312"/>
          <w:b w:val="0"/>
          <w:bCs w:val="0"/>
          <w:color w:val="auto"/>
          <w:sz w:val="30"/>
          <w:szCs w:val="32"/>
          <w:lang w:val="en-US" w:eastAsia="zh-CN"/>
        </w:rPr>
      </w:pPr>
      <w:r>
        <w:rPr>
          <w:rFonts w:hint="eastAsia" w:ascii="仿宋_GB2312" w:hAnsi="仿宋_GB2312" w:eastAsia="仿宋" w:cs="仿宋_GB2312"/>
          <w:b w:val="0"/>
          <w:bCs w:val="0"/>
          <w:color w:val="auto"/>
          <w:sz w:val="30"/>
          <w:szCs w:val="32"/>
          <w:lang w:val="en-US" w:eastAsia="zh-CN"/>
        </w:rPr>
        <w:t>7.1.1</w:t>
      </w:r>
      <w:r>
        <w:rPr>
          <w:rFonts w:hint="eastAsia" w:hAnsi="仿宋_GB2312" w:eastAsia="仿宋" w:cs="仿宋_GB2312"/>
          <w:color w:val="auto"/>
          <w:sz w:val="30"/>
          <w:szCs w:val="32"/>
          <w:lang w:val="en-US" w:eastAsia="zh-CN"/>
        </w:rPr>
        <w:t>在服务期间因乙方保安人员工作失职造成治安防范区域发生人身严重损害或死亡的，甲方有权解除合同。</w:t>
      </w:r>
    </w:p>
    <w:p w14:paraId="11E8EFC5">
      <w:pPr>
        <w:pStyle w:val="7"/>
        <w:ind w:left="0" w:leftChars="0" w:firstLine="600" w:firstLineChars="200"/>
        <w:rPr>
          <w:rFonts w:hint="default"/>
          <w:lang w:val="en-US" w:eastAsia="zh-CN"/>
        </w:rPr>
      </w:pPr>
      <w:r>
        <w:rPr>
          <w:rFonts w:hint="eastAsia" w:ascii="仿宋_GB2312" w:hAnsi="仿宋_GB2312" w:eastAsia="仿宋" w:cs="仿宋_GB2312"/>
          <w:b w:val="0"/>
          <w:bCs w:val="0"/>
          <w:color w:val="auto"/>
          <w:sz w:val="30"/>
          <w:szCs w:val="32"/>
          <w:lang w:val="en-US" w:eastAsia="zh-CN"/>
        </w:rPr>
        <w:t>7.1.2在服务期间，若乙方连续两个月考核低于80分，甲方有权解除合同。（考核标准参照甲方服务商考核细则）</w:t>
      </w:r>
    </w:p>
    <w:p w14:paraId="4AA5041F">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600" w:firstLineChars="200"/>
        <w:textAlignment w:val="baseline"/>
        <w:rPr>
          <w:rFonts w:hint="eastAsia" w:ascii="宋体" w:hAnsi="宋体" w:eastAsia="仿宋"/>
          <w:sz w:val="30"/>
          <w:szCs w:val="24"/>
          <w:lang w:val="en-US" w:eastAsia="zh-CN"/>
        </w:rPr>
      </w:pPr>
      <w:r>
        <w:rPr>
          <w:rFonts w:hint="eastAsia" w:ascii="宋体" w:hAnsi="宋体" w:eastAsia="仿宋"/>
          <w:sz w:val="30"/>
          <w:szCs w:val="24"/>
          <w:lang w:val="en-US" w:eastAsia="zh-CN"/>
        </w:rPr>
        <w:t>八、争议解决</w:t>
      </w:r>
    </w:p>
    <w:p w14:paraId="4F0B2D2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因执行本协议所发生的一切争议，双方应友好协商解决；若协商不成，双方同意向甲方所在地人民法院提起诉讼。</w:t>
      </w:r>
    </w:p>
    <w:p w14:paraId="13F5598F">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九、其他事项</w:t>
      </w:r>
    </w:p>
    <w:p w14:paraId="28A88171">
      <w:pPr>
        <w:keepNext w:val="0"/>
        <w:keepLines w:val="0"/>
        <w:pageBreakBefore w:val="0"/>
        <w:widowControl w:val="0"/>
        <w:tabs>
          <w:tab w:val="left" w:pos="30"/>
          <w:tab w:val="left" w:pos="1680"/>
          <w:tab w:val="left" w:pos="2745"/>
        </w:tabs>
        <w:kinsoku/>
        <w:wordWrap/>
        <w:overflowPunct/>
        <w:topLinePunct w:val="0"/>
        <w:autoSpaceDE w:val="0"/>
        <w:autoSpaceDN w:val="0"/>
        <w:bidi w:val="0"/>
        <w:adjustRightInd w:val="0"/>
        <w:spacing w:line="360" w:lineRule="auto"/>
        <w:ind w:left="0" w:leftChars="0" w:firstLine="525" w:firstLineChars="175"/>
        <w:jc w:val="both"/>
        <w:textAlignment w:val="auto"/>
        <w:rPr>
          <w:rFonts w:hint="eastAsia" w:ascii="仿宋" w:hAnsi="仿宋" w:eastAsia="仿宋" w:cs="仿宋"/>
          <w:sz w:val="30"/>
          <w:szCs w:val="32"/>
        </w:rPr>
      </w:pPr>
      <w:r>
        <w:rPr>
          <w:rFonts w:hint="eastAsia" w:ascii="仿宋" w:hAnsi="仿宋" w:eastAsia="仿宋" w:cs="仿宋"/>
          <w:sz w:val="30"/>
          <w:szCs w:val="32"/>
        </w:rPr>
        <w:t>本合同自双方法定代表人或委托代理人签字盖章后生效，</w:t>
      </w:r>
      <w:r>
        <w:rPr>
          <w:rFonts w:hint="eastAsia" w:ascii="仿宋" w:hAnsi="仿宋" w:eastAsia="仿宋" w:cs="仿宋"/>
          <w:sz w:val="30"/>
          <w:szCs w:val="32"/>
          <w:lang w:val="en-US" w:eastAsia="zh-CN"/>
        </w:rPr>
        <w:t>有效期</w:t>
      </w:r>
      <w:r>
        <w:rPr>
          <w:rFonts w:hint="eastAsia" w:ascii="仿宋" w:hAnsi="仿宋" w:eastAsia="仿宋" w:cs="仿宋"/>
          <w:sz w:val="30"/>
          <w:szCs w:val="32"/>
          <w:u w:val="single"/>
          <w:lang w:val="en-US" w:eastAsia="zh-CN"/>
        </w:rPr>
        <w:t>壹</w:t>
      </w:r>
      <w:r>
        <w:rPr>
          <w:rFonts w:hint="eastAsia" w:ascii="仿宋" w:hAnsi="仿宋" w:eastAsia="仿宋" w:cs="仿宋"/>
          <w:sz w:val="30"/>
          <w:szCs w:val="32"/>
          <w:lang w:val="en-US" w:eastAsia="zh-CN"/>
        </w:rPr>
        <w:t>年，自____</w:t>
      </w:r>
      <w:r>
        <w:rPr>
          <w:rFonts w:hint="eastAsia" w:ascii="宋体" w:hAnsi="宋体" w:eastAsia="仿宋" w:cs="宋体"/>
          <w:b w:val="0"/>
          <w:bCs w:val="0"/>
          <w:color w:val="000000"/>
          <w:kern w:val="0"/>
          <w:sz w:val="30"/>
          <w:szCs w:val="24"/>
          <w:lang w:val="en-US" w:eastAsia="zh-CN"/>
        </w:rPr>
        <w:t>年____月____日始至____年____月____日止。</w:t>
      </w:r>
      <w:r>
        <w:rPr>
          <w:rFonts w:hint="eastAsia" w:ascii="仿宋" w:hAnsi="仿宋" w:eastAsia="仿宋" w:cs="仿宋"/>
          <w:sz w:val="30"/>
          <w:szCs w:val="32"/>
        </w:rPr>
        <w:t>合同如有未尽事宜，须经双方共同协商，签订补充协议，补充协议与本合同具有同等效力。本合同一式肆份，甲方执贰份，乙方执贰份。</w:t>
      </w:r>
    </w:p>
    <w:p w14:paraId="6C4D59AF">
      <w:pPr>
        <w:pStyle w:val="2"/>
        <w:rPr>
          <w:rFonts w:hint="eastAsia"/>
        </w:rPr>
      </w:pPr>
    </w:p>
    <w:p w14:paraId="7B3C7147">
      <w:pPr>
        <w:keepNext w:val="0"/>
        <w:keepLines w:val="0"/>
        <w:pageBreakBefore w:val="0"/>
        <w:widowControl/>
        <w:numPr>
          <w:ilvl w:val="0"/>
          <w:numId w:val="0"/>
        </w:numPr>
        <w:kinsoku/>
        <w:wordWrap/>
        <w:overflowPunct/>
        <w:topLinePunct w:val="0"/>
        <w:bidi w:val="0"/>
        <w:snapToGrid w:val="0"/>
        <w:spacing w:line="360" w:lineRule="auto"/>
        <w:ind w:firstLine="560"/>
        <w:textAlignment w:val="baseline"/>
        <w:rPr>
          <w:rFonts w:hint="eastAsia" w:ascii="宋体" w:hAnsi="宋体" w:eastAsia="仿宋" w:cs="宋体"/>
          <w:sz w:val="30"/>
          <w:szCs w:val="28"/>
          <w:lang w:val="en-US" w:eastAsia="zh-CN"/>
        </w:rPr>
      </w:pPr>
      <w:r>
        <w:rPr>
          <w:rFonts w:hint="eastAsia" w:ascii="宋体" w:hAnsi="宋体" w:eastAsia="仿宋" w:cs="宋体"/>
          <w:sz w:val="30"/>
          <w:szCs w:val="28"/>
          <w:lang w:val="en-US" w:eastAsia="zh-CN"/>
        </w:rPr>
        <w:t>甲方：                           乙方：</w:t>
      </w:r>
    </w:p>
    <w:p w14:paraId="505DC8DD">
      <w:pPr>
        <w:keepNext w:val="0"/>
        <w:keepLines w:val="0"/>
        <w:pageBreakBefore w:val="0"/>
        <w:widowControl/>
        <w:numPr>
          <w:ilvl w:val="0"/>
          <w:numId w:val="0"/>
        </w:numPr>
        <w:kinsoku/>
        <w:wordWrap/>
        <w:overflowPunct/>
        <w:topLinePunct w:val="0"/>
        <w:bidi w:val="0"/>
        <w:snapToGrid w:val="0"/>
        <w:spacing w:line="360" w:lineRule="auto"/>
        <w:ind w:firstLine="560"/>
        <w:textAlignment w:val="baseline"/>
        <w:rPr>
          <w:rFonts w:hint="eastAsia" w:ascii="宋体" w:hAnsi="宋体" w:eastAsia="仿宋" w:cs="宋体"/>
          <w:sz w:val="30"/>
          <w:szCs w:val="28"/>
          <w:lang w:val="en-US" w:eastAsia="zh-CN"/>
        </w:rPr>
      </w:pPr>
    </w:p>
    <w:p w14:paraId="3382BDBE">
      <w:pPr>
        <w:keepNext w:val="0"/>
        <w:keepLines w:val="0"/>
        <w:pageBreakBefore w:val="0"/>
        <w:widowControl/>
        <w:numPr>
          <w:ilvl w:val="0"/>
          <w:numId w:val="0"/>
        </w:numPr>
        <w:kinsoku/>
        <w:wordWrap/>
        <w:overflowPunct/>
        <w:topLinePunct w:val="0"/>
        <w:bidi w:val="0"/>
        <w:snapToGrid w:val="0"/>
        <w:spacing w:line="360" w:lineRule="auto"/>
        <w:ind w:firstLine="560"/>
        <w:textAlignment w:val="baseline"/>
        <w:rPr>
          <w:rFonts w:hint="eastAsia" w:ascii="宋体" w:hAnsi="宋体" w:eastAsia="仿宋" w:cs="宋体"/>
          <w:sz w:val="30"/>
          <w:szCs w:val="28"/>
          <w:lang w:val="en-US" w:eastAsia="zh-CN"/>
        </w:rPr>
      </w:pPr>
      <w:r>
        <w:rPr>
          <w:rFonts w:hint="eastAsia" w:ascii="宋体" w:hAnsi="宋体" w:eastAsia="仿宋" w:cs="宋体"/>
          <w:sz w:val="30"/>
          <w:szCs w:val="28"/>
          <w:lang w:val="en-US" w:eastAsia="zh-CN"/>
        </w:rPr>
        <w:t>法定代表人：                     法定代表人：</w:t>
      </w:r>
    </w:p>
    <w:p w14:paraId="2BA2AF1B">
      <w:pPr>
        <w:keepNext w:val="0"/>
        <w:keepLines w:val="0"/>
        <w:pageBreakBefore w:val="0"/>
        <w:widowControl/>
        <w:numPr>
          <w:ilvl w:val="0"/>
          <w:numId w:val="0"/>
        </w:numPr>
        <w:kinsoku/>
        <w:wordWrap/>
        <w:overflowPunct/>
        <w:topLinePunct w:val="0"/>
        <w:bidi w:val="0"/>
        <w:snapToGrid w:val="0"/>
        <w:spacing w:line="360" w:lineRule="auto"/>
        <w:ind w:firstLine="560"/>
        <w:textAlignment w:val="baseline"/>
        <w:rPr>
          <w:rFonts w:hint="eastAsia" w:ascii="宋体" w:hAnsi="宋体" w:eastAsia="仿宋" w:cs="宋体"/>
          <w:sz w:val="30"/>
          <w:szCs w:val="28"/>
          <w:lang w:val="en-US" w:eastAsia="zh-CN"/>
        </w:rPr>
      </w:pPr>
      <w:r>
        <w:rPr>
          <w:rFonts w:hint="eastAsia" w:ascii="宋体" w:hAnsi="宋体" w:eastAsia="仿宋" w:cs="宋体"/>
          <w:sz w:val="30"/>
          <w:szCs w:val="28"/>
          <w:lang w:val="en-US" w:eastAsia="zh-CN"/>
        </w:rPr>
        <w:t>或委托代理人：                   或委托代理人：</w:t>
      </w:r>
    </w:p>
    <w:p w14:paraId="3D96B10B">
      <w:pPr>
        <w:keepNext w:val="0"/>
        <w:keepLines w:val="0"/>
        <w:pageBreakBefore w:val="0"/>
        <w:widowControl/>
        <w:numPr>
          <w:ilvl w:val="0"/>
          <w:numId w:val="0"/>
        </w:numPr>
        <w:kinsoku/>
        <w:wordWrap/>
        <w:overflowPunct/>
        <w:topLinePunct w:val="0"/>
        <w:bidi w:val="0"/>
        <w:snapToGrid w:val="0"/>
        <w:spacing w:line="360" w:lineRule="auto"/>
        <w:ind w:firstLine="560"/>
        <w:textAlignment w:val="baseline"/>
        <w:rPr>
          <w:rFonts w:hint="eastAsia" w:ascii="宋体" w:hAnsi="宋体" w:eastAsia="仿宋" w:cs="宋体"/>
          <w:sz w:val="30"/>
          <w:szCs w:val="28"/>
          <w:lang w:val="en-US" w:eastAsia="zh-CN"/>
        </w:rPr>
      </w:pPr>
      <w:r>
        <w:rPr>
          <w:rFonts w:hint="eastAsia" w:ascii="宋体" w:hAnsi="宋体" w:eastAsia="仿宋" w:cs="宋体"/>
          <w:sz w:val="30"/>
          <w:szCs w:val="28"/>
          <w:lang w:val="en-US" w:eastAsia="zh-CN"/>
        </w:rPr>
        <w:t xml:space="preserve">  年    月    日                   年    月    日</w:t>
      </w:r>
    </w:p>
    <w:p w14:paraId="55EBAE0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textAlignment w:val="baseline"/>
        <w:rPr>
          <w:rFonts w:hint="default" w:ascii="宋体" w:hAnsi="宋体" w:eastAsia="仿宋"/>
          <w:bCs/>
          <w:sz w:val="30"/>
          <w:lang w:val="en-US" w:eastAsia="zh-CN"/>
        </w:rPr>
      </w:pPr>
    </w:p>
    <w:p w14:paraId="5769FADE">
      <w:pPr>
        <w:numPr>
          <w:ilvl w:val="0"/>
          <w:numId w:val="0"/>
        </w:numPr>
        <w:ind w:firstLine="640"/>
        <w:rPr>
          <w:rFonts w:hint="default" w:ascii="仿宋" w:hAnsi="仿宋" w:eastAsia="仿宋" w:cs="仿宋"/>
          <w:kern w:val="2"/>
          <w:sz w:val="30"/>
          <w:szCs w:val="30"/>
          <w:lang w:val="en-US" w:eastAsia="zh-CN" w:bidi="ar-SA"/>
        </w:rPr>
      </w:pPr>
    </w:p>
    <w:p w14:paraId="0E90B504">
      <w:pPr>
        <w:bidi w:val="0"/>
        <w:jc w:val="left"/>
        <w:rPr>
          <w:rFonts w:hint="default" w:ascii="仿宋" w:hAnsi="仿宋" w:eastAsia="仿宋" w:cs="仿宋"/>
          <w:sz w:val="32"/>
          <w:szCs w:val="32"/>
          <w:lang w:val="en-US" w:eastAsia="zh-CN"/>
        </w:rPr>
      </w:pPr>
    </w:p>
    <w:p w14:paraId="3D14F4D3">
      <w:pPr>
        <w:bidi w:val="0"/>
        <w:jc w:val="left"/>
        <w:rPr>
          <w:rFonts w:hint="default" w:ascii="仿宋" w:hAnsi="仿宋" w:eastAsia="仿宋" w:cs="仿宋"/>
          <w:sz w:val="32"/>
          <w:szCs w:val="32"/>
          <w:lang w:val="en-US" w:eastAsia="zh-CN"/>
        </w:rPr>
      </w:pPr>
    </w:p>
    <w:p w14:paraId="05AD52E9">
      <w:pPr>
        <w:bidi w:val="0"/>
        <w:jc w:val="left"/>
        <w:rPr>
          <w:rFonts w:hint="default" w:ascii="仿宋" w:hAnsi="仿宋" w:eastAsia="仿宋" w:cs="仿宋"/>
          <w:sz w:val="32"/>
          <w:szCs w:val="32"/>
          <w:lang w:val="en-US" w:eastAsia="zh-CN"/>
        </w:rPr>
      </w:pPr>
    </w:p>
    <w:p w14:paraId="5180B938">
      <w:pPr>
        <w:bidi w:val="0"/>
        <w:jc w:val="left"/>
        <w:rPr>
          <w:rFonts w:hint="default" w:ascii="仿宋" w:hAnsi="仿宋" w:eastAsia="仿宋" w:cs="仿宋"/>
          <w:sz w:val="32"/>
          <w:szCs w:val="32"/>
          <w:lang w:val="en-US" w:eastAsia="zh-CN"/>
        </w:rPr>
      </w:pPr>
    </w:p>
    <w:p w14:paraId="13CAB607">
      <w:pPr>
        <w:bidi w:val="0"/>
        <w:jc w:val="left"/>
        <w:rPr>
          <w:rFonts w:hint="default" w:ascii="仿宋" w:hAnsi="仿宋" w:eastAsia="仿宋" w:cs="仿宋"/>
          <w:sz w:val="32"/>
          <w:szCs w:val="32"/>
          <w:lang w:val="en-US" w:eastAsia="zh-CN"/>
        </w:rPr>
      </w:pPr>
    </w:p>
    <w:p w14:paraId="1B762861">
      <w:pPr>
        <w:bidi w:val="0"/>
        <w:jc w:val="left"/>
        <w:rPr>
          <w:rFonts w:hint="default" w:ascii="仿宋" w:hAnsi="仿宋" w:eastAsia="仿宋" w:cs="仿宋"/>
          <w:sz w:val="32"/>
          <w:szCs w:val="32"/>
          <w:lang w:val="en-US" w:eastAsia="zh-CN"/>
        </w:rPr>
      </w:pPr>
    </w:p>
    <w:p w14:paraId="2214935A">
      <w:pPr>
        <w:bidi w:val="0"/>
        <w:jc w:val="left"/>
        <w:rPr>
          <w:rFonts w:hint="default" w:ascii="仿宋" w:hAnsi="仿宋" w:eastAsia="仿宋" w:cs="仿宋"/>
          <w:sz w:val="32"/>
          <w:szCs w:val="32"/>
          <w:lang w:val="en-US" w:eastAsia="zh-CN"/>
        </w:rPr>
      </w:pPr>
    </w:p>
    <w:p w14:paraId="25B532D0">
      <w:pPr>
        <w:bidi w:val="0"/>
        <w:jc w:val="left"/>
        <w:rPr>
          <w:rFonts w:hint="default" w:ascii="仿宋" w:hAnsi="仿宋" w:eastAsia="仿宋" w:cs="仿宋"/>
          <w:sz w:val="32"/>
          <w:szCs w:val="32"/>
          <w:lang w:val="en-US" w:eastAsia="zh-CN"/>
        </w:rPr>
      </w:pPr>
    </w:p>
    <w:p w14:paraId="36B6EF78">
      <w:pPr>
        <w:bidi w:val="0"/>
        <w:jc w:val="left"/>
        <w:rPr>
          <w:rFonts w:hint="default" w:ascii="仿宋" w:hAnsi="仿宋" w:eastAsia="仿宋" w:cs="仿宋"/>
          <w:sz w:val="32"/>
          <w:szCs w:val="32"/>
          <w:lang w:val="en-US" w:eastAsia="zh-CN"/>
        </w:rPr>
      </w:pPr>
    </w:p>
    <w:p w14:paraId="28E0A370">
      <w:pPr>
        <w:bidi w:val="0"/>
        <w:jc w:val="left"/>
        <w:rPr>
          <w:rFonts w:hint="default" w:ascii="仿宋" w:hAnsi="仿宋" w:eastAsia="仿宋" w:cs="仿宋"/>
          <w:sz w:val="32"/>
          <w:szCs w:val="32"/>
          <w:lang w:val="en-US" w:eastAsia="zh-CN"/>
        </w:rPr>
      </w:pPr>
    </w:p>
    <w:p w14:paraId="71BC30A5">
      <w:pPr>
        <w:bidi w:val="0"/>
        <w:jc w:val="left"/>
        <w:rPr>
          <w:rFonts w:hint="default" w:ascii="仿宋" w:hAnsi="仿宋" w:eastAsia="仿宋" w:cs="仿宋"/>
          <w:sz w:val="32"/>
          <w:szCs w:val="32"/>
          <w:lang w:val="en-US" w:eastAsia="zh-CN"/>
        </w:rPr>
      </w:pPr>
    </w:p>
    <w:p w14:paraId="5C06D57D">
      <w:pPr>
        <w:bidi w:val="0"/>
        <w:jc w:val="left"/>
        <w:rPr>
          <w:rFonts w:hint="default" w:ascii="仿宋" w:hAnsi="仿宋" w:eastAsia="仿宋" w:cs="仿宋"/>
          <w:sz w:val="32"/>
          <w:szCs w:val="32"/>
          <w:lang w:val="en-US" w:eastAsia="zh-CN"/>
        </w:rPr>
      </w:pPr>
    </w:p>
    <w:p w14:paraId="6431FE90">
      <w:pPr>
        <w:bidi w:val="0"/>
        <w:jc w:val="left"/>
        <w:rPr>
          <w:rFonts w:hint="default" w:ascii="仿宋" w:hAnsi="仿宋" w:eastAsia="仿宋" w:cs="仿宋"/>
          <w:sz w:val="32"/>
          <w:szCs w:val="32"/>
          <w:lang w:val="en-US" w:eastAsia="zh-CN"/>
        </w:rPr>
      </w:pPr>
    </w:p>
    <w:p w14:paraId="5E1A3516">
      <w:pPr>
        <w:bidi w:val="0"/>
        <w:jc w:val="left"/>
        <w:rPr>
          <w:rFonts w:hint="default" w:ascii="仿宋" w:hAnsi="仿宋" w:eastAsia="仿宋" w:cs="仿宋"/>
          <w:sz w:val="32"/>
          <w:szCs w:val="32"/>
          <w:lang w:val="en-US" w:eastAsia="zh-CN"/>
        </w:rPr>
      </w:pPr>
    </w:p>
    <w:p w14:paraId="34DBC96A">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附件一：保安员基本职责和要求</w:t>
      </w:r>
    </w:p>
    <w:p w14:paraId="7159ACF5">
      <w:pPr>
        <w:widowControl/>
        <w:snapToGrid w:val="0"/>
        <w:spacing w:line="560" w:lineRule="exact"/>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一、基本职责</w:t>
      </w:r>
    </w:p>
    <w:p w14:paraId="70A35FE2">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1.1</w:t>
      </w:r>
      <w:r>
        <w:rPr>
          <w:rFonts w:hint="eastAsia" w:ascii="仿宋" w:hAnsi="仿宋" w:eastAsia="仿宋" w:cs="仿宋"/>
          <w:kern w:val="0"/>
          <w:sz w:val="28"/>
          <w:szCs w:val="28"/>
        </w:rPr>
        <w:t>应接受专业培训并通过考核，定期开展治安安全知识、法律法规、保卫技能的宣传教育和培训，进行应急预案的实施和演练。</w:t>
      </w:r>
    </w:p>
    <w:p w14:paraId="44B47B23">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遵守劳动纪律，做到文明执勤、热情服务，依法依规处理纠纷问题，及时有效地处置各类突发事件，做好治安安全维护工作。</w:t>
      </w:r>
    </w:p>
    <w:p w14:paraId="4CD3F1F2">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1.3</w:t>
      </w:r>
      <w:r>
        <w:rPr>
          <w:rFonts w:hint="eastAsia" w:ascii="仿宋" w:hAnsi="仿宋" w:eastAsia="仿宋" w:cs="仿宋"/>
          <w:kern w:val="0"/>
          <w:sz w:val="28"/>
          <w:szCs w:val="28"/>
        </w:rPr>
        <w:t>遵守</w:t>
      </w:r>
      <w:r>
        <w:rPr>
          <w:rFonts w:hint="eastAsia" w:ascii="仿宋" w:hAnsi="仿宋" w:eastAsia="仿宋" w:cs="仿宋"/>
          <w:kern w:val="0"/>
          <w:sz w:val="28"/>
          <w:szCs w:val="28"/>
          <w:lang w:val="en-US" w:eastAsia="zh-CN"/>
        </w:rPr>
        <w:t>甲方</w:t>
      </w:r>
      <w:r>
        <w:rPr>
          <w:rFonts w:hint="eastAsia" w:ascii="仿宋" w:hAnsi="仿宋" w:eastAsia="仿宋" w:cs="仿宋"/>
          <w:kern w:val="0"/>
          <w:sz w:val="28"/>
          <w:szCs w:val="28"/>
        </w:rPr>
        <w:t>管理规定，接受</w:t>
      </w:r>
      <w:r>
        <w:rPr>
          <w:rFonts w:hint="eastAsia" w:ascii="仿宋" w:hAnsi="仿宋" w:eastAsia="仿宋" w:cs="仿宋"/>
          <w:kern w:val="0"/>
          <w:sz w:val="28"/>
          <w:szCs w:val="28"/>
          <w:lang w:val="en-US" w:eastAsia="zh-CN"/>
        </w:rPr>
        <w:t>甲方</w:t>
      </w:r>
      <w:r>
        <w:rPr>
          <w:rFonts w:hint="eastAsia" w:ascii="仿宋" w:hAnsi="仿宋" w:eastAsia="仿宋" w:cs="仿宋"/>
          <w:kern w:val="0"/>
          <w:sz w:val="28"/>
          <w:szCs w:val="28"/>
        </w:rPr>
        <w:t>的监督和考核。遵守岗位职责，熟悉职责范围内的工作内容，正确佩戴治安装备，熟练掌握治安装备操作技能，具备应对突发事件的处置能力。</w:t>
      </w:r>
    </w:p>
    <w:p w14:paraId="5A82E280">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1.4</w:t>
      </w:r>
      <w:r>
        <w:rPr>
          <w:rFonts w:hint="eastAsia" w:ascii="仿宋" w:hAnsi="仿宋" w:eastAsia="仿宋" w:cs="仿宋"/>
          <w:kern w:val="0"/>
          <w:sz w:val="28"/>
          <w:szCs w:val="28"/>
        </w:rPr>
        <w:t>保安员牢固树立安全防范意识,对院内要认真排查,发现可疑人员或情况要采取防范措施并及时汇报。</w:t>
      </w:r>
    </w:p>
    <w:p w14:paraId="18C21522">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1.5</w:t>
      </w:r>
      <w:r>
        <w:rPr>
          <w:rFonts w:hint="eastAsia" w:ascii="仿宋" w:hAnsi="仿宋" w:eastAsia="仿宋" w:cs="仿宋"/>
          <w:kern w:val="0"/>
          <w:sz w:val="28"/>
          <w:szCs w:val="28"/>
        </w:rPr>
        <w:t>发生突发应急事件时，及时协助应急机动队员到现场进行处置。</w:t>
      </w:r>
    </w:p>
    <w:p w14:paraId="066B5600">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1.6</w:t>
      </w:r>
      <w:r>
        <w:rPr>
          <w:rFonts w:hint="eastAsia" w:ascii="仿宋" w:hAnsi="仿宋" w:eastAsia="仿宋" w:cs="仿宋"/>
          <w:kern w:val="0"/>
          <w:sz w:val="28"/>
          <w:szCs w:val="28"/>
        </w:rPr>
        <w:t>按照</w:t>
      </w:r>
      <w:r>
        <w:rPr>
          <w:rFonts w:hint="eastAsia" w:ascii="仿宋" w:hAnsi="仿宋" w:eastAsia="仿宋" w:cs="仿宋"/>
          <w:kern w:val="0"/>
          <w:sz w:val="28"/>
          <w:szCs w:val="28"/>
          <w:lang w:val="en-US" w:eastAsia="zh-CN"/>
        </w:rPr>
        <w:t>甲方</w:t>
      </w:r>
      <w:bookmarkStart w:id="0" w:name="_GoBack"/>
      <w:bookmarkEnd w:id="0"/>
      <w:r>
        <w:rPr>
          <w:rFonts w:hint="eastAsia" w:ascii="仿宋" w:hAnsi="仿宋" w:eastAsia="仿宋" w:cs="仿宋"/>
          <w:kern w:val="0"/>
          <w:sz w:val="28"/>
          <w:szCs w:val="28"/>
        </w:rPr>
        <w:t>的管理规定和要求进行</w:t>
      </w:r>
      <w:r>
        <w:rPr>
          <w:rFonts w:hint="eastAsia" w:ascii="仿宋" w:hAnsi="仿宋" w:eastAsia="仿宋" w:cs="仿宋"/>
          <w:kern w:val="0"/>
          <w:sz w:val="28"/>
          <w:szCs w:val="28"/>
          <w:lang w:eastAsia="zh-CN"/>
        </w:rPr>
        <w:t>各项巡逻</w:t>
      </w:r>
      <w:r>
        <w:rPr>
          <w:rFonts w:hint="eastAsia" w:ascii="仿宋" w:hAnsi="仿宋" w:eastAsia="仿宋" w:cs="仿宋"/>
          <w:kern w:val="0"/>
          <w:sz w:val="28"/>
          <w:szCs w:val="28"/>
        </w:rPr>
        <w:t>巡查，并做好记录，发现问题及时报告；劝阻和制止违反消防法规和消防安全管理制度的行为；实施灭火和应急疏散预案，协助灭火救援。</w:t>
      </w:r>
    </w:p>
    <w:p w14:paraId="618D0564">
      <w:pPr>
        <w:widowControl/>
        <w:snapToGrid w:val="0"/>
        <w:spacing w:line="560" w:lineRule="exact"/>
        <w:ind w:firstLine="562" w:firstLineChars="200"/>
        <w:jc w:val="both"/>
        <w:rPr>
          <w:rFonts w:hint="eastAsia" w:ascii="仿宋" w:hAnsi="仿宋" w:eastAsia="仿宋" w:cs="仿宋"/>
          <w:b/>
          <w:bCs/>
          <w:kern w:val="0"/>
          <w:sz w:val="28"/>
          <w:szCs w:val="28"/>
        </w:rPr>
      </w:pPr>
      <w:r>
        <w:rPr>
          <w:rFonts w:hint="eastAsia" w:ascii="仿宋" w:hAnsi="仿宋" w:eastAsia="仿宋" w:cs="仿宋"/>
          <w:b/>
          <w:bCs/>
          <w:kern w:val="0"/>
          <w:sz w:val="28"/>
          <w:szCs w:val="28"/>
        </w:rPr>
        <w:t>二、基本要求</w:t>
      </w:r>
    </w:p>
    <w:p w14:paraId="25EF1FE7">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拥护中华人民共和国宪法，</w:t>
      </w:r>
      <w:r>
        <w:rPr>
          <w:rFonts w:hint="eastAsia" w:ascii="仿宋" w:hAnsi="仿宋" w:eastAsia="仿宋" w:cs="仿宋"/>
          <w:kern w:val="0"/>
          <w:sz w:val="28"/>
          <w:szCs w:val="28"/>
        </w:rPr>
        <w:t>无犯罪记录。男性， 18岁以上，</w:t>
      </w:r>
      <w:r>
        <w:rPr>
          <w:rFonts w:hint="eastAsia" w:ascii="仿宋" w:hAnsi="仿宋" w:eastAsia="仿宋" w:cs="仿宋"/>
          <w:kern w:val="0"/>
          <w:sz w:val="28"/>
          <w:szCs w:val="28"/>
          <w:lang w:val="en-US" w:eastAsia="zh-CN"/>
        </w:rPr>
        <w:t>55</w:t>
      </w:r>
      <w:r>
        <w:rPr>
          <w:rFonts w:hint="eastAsia" w:ascii="仿宋" w:hAnsi="仿宋" w:eastAsia="仿宋" w:cs="仿宋"/>
          <w:kern w:val="0"/>
          <w:sz w:val="28"/>
          <w:szCs w:val="28"/>
        </w:rPr>
        <w:t>岁以下，身高170厘米以上；女性，18岁以上，50岁以下，身高155厘米以上。具有完全民事行为能力，身体健康，无纹身，无口吃，无重听，无色盲，无传染病及精神病史，无酗酒、赌博等不良嗜好。品行良好，无收容教育、强制戒毒、劳动教养、刑事处罚和开除公职、开除军籍的记录。应急机动岗保安员年龄范围在18岁以上，4</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岁以下</w:t>
      </w:r>
      <w:r>
        <w:rPr>
          <w:rFonts w:hint="eastAsia" w:ascii="仿宋" w:hAnsi="仿宋" w:eastAsia="仿宋" w:cs="仿宋"/>
          <w:kern w:val="0"/>
          <w:sz w:val="28"/>
          <w:szCs w:val="28"/>
          <w:lang w:eastAsia="zh-CN"/>
        </w:rPr>
        <w:t>，男性，</w:t>
      </w:r>
      <w:r>
        <w:rPr>
          <w:rFonts w:hint="eastAsia" w:ascii="仿宋" w:hAnsi="仿宋" w:eastAsia="仿宋" w:cs="仿宋"/>
          <w:sz w:val="30"/>
          <w:szCs w:val="30"/>
        </w:rPr>
        <w:t>具有一定法律常识</w:t>
      </w:r>
      <w:r>
        <w:rPr>
          <w:rFonts w:hint="eastAsia" w:ascii="仿宋" w:hAnsi="仿宋" w:eastAsia="仿宋" w:cs="仿宋"/>
          <w:sz w:val="30"/>
          <w:szCs w:val="30"/>
          <w:lang w:eastAsia="zh-CN"/>
        </w:rPr>
        <w:t>、消防</w:t>
      </w:r>
      <w:r>
        <w:rPr>
          <w:rFonts w:hint="eastAsia" w:ascii="仿宋" w:hAnsi="仿宋" w:eastAsia="仿宋" w:cs="仿宋"/>
          <w:sz w:val="30"/>
          <w:szCs w:val="30"/>
        </w:rPr>
        <w:t>和</w:t>
      </w:r>
      <w:r>
        <w:rPr>
          <w:rFonts w:hint="eastAsia" w:ascii="仿宋" w:hAnsi="仿宋" w:eastAsia="仿宋" w:cs="仿宋"/>
          <w:sz w:val="30"/>
          <w:szCs w:val="30"/>
          <w:lang w:eastAsia="zh-CN"/>
        </w:rPr>
        <w:t>反恐防暴</w:t>
      </w:r>
      <w:r>
        <w:rPr>
          <w:rFonts w:hint="eastAsia" w:ascii="仿宋" w:hAnsi="仿宋" w:eastAsia="仿宋" w:cs="仿宋"/>
          <w:sz w:val="30"/>
          <w:szCs w:val="30"/>
        </w:rPr>
        <w:t>技能的</w:t>
      </w:r>
      <w:r>
        <w:rPr>
          <w:rFonts w:hint="eastAsia" w:ascii="仿宋" w:hAnsi="仿宋" w:eastAsia="仿宋" w:cs="仿宋"/>
          <w:kern w:val="0"/>
          <w:sz w:val="28"/>
          <w:szCs w:val="28"/>
          <w:lang w:eastAsia="zh-CN"/>
        </w:rPr>
        <w:t>退伍军人优先</w:t>
      </w:r>
      <w:r>
        <w:rPr>
          <w:rFonts w:hint="eastAsia" w:ascii="仿宋" w:hAnsi="仿宋" w:eastAsia="仿宋" w:cs="仿宋"/>
          <w:kern w:val="0"/>
          <w:sz w:val="28"/>
          <w:szCs w:val="28"/>
        </w:rPr>
        <w:t>。</w:t>
      </w:r>
    </w:p>
    <w:p w14:paraId="26AC66AC">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2.2</w:t>
      </w:r>
      <w:r>
        <w:rPr>
          <w:rFonts w:hint="eastAsia" w:ascii="仿宋" w:hAnsi="仿宋" w:eastAsia="仿宋" w:cs="仿宋"/>
          <w:kern w:val="0"/>
          <w:sz w:val="28"/>
          <w:szCs w:val="28"/>
        </w:rPr>
        <w:t>具有初中以上文化程度，经培训合格后持</w:t>
      </w:r>
      <w:r>
        <w:rPr>
          <w:rFonts w:hint="eastAsia" w:ascii="仿宋" w:hAnsi="仿宋" w:eastAsia="仿宋" w:cs="仿宋"/>
          <w:kern w:val="0"/>
          <w:sz w:val="28"/>
          <w:szCs w:val="28"/>
          <w:lang w:eastAsia="zh-CN"/>
        </w:rPr>
        <w:t>保安</w:t>
      </w:r>
      <w:r>
        <w:rPr>
          <w:rFonts w:hint="eastAsia" w:ascii="仿宋" w:hAnsi="仿宋" w:eastAsia="仿宋" w:cs="仿宋"/>
          <w:kern w:val="0"/>
          <w:sz w:val="28"/>
          <w:szCs w:val="28"/>
        </w:rPr>
        <w:t>证上岗，掌握岗位所需要的法律常识、保安技能，放射源存放场所的保安员还需要掌握剧毒化学品，辐射防护、技术防范的知识技能，能熟练操作防范装备和自卫器具。</w:t>
      </w:r>
    </w:p>
    <w:p w14:paraId="4C858BA8">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2.3</w:t>
      </w:r>
      <w:r>
        <w:rPr>
          <w:rFonts w:hint="eastAsia" w:ascii="仿宋" w:hAnsi="仿宋" w:eastAsia="仿宋" w:cs="仿宋"/>
          <w:kern w:val="0"/>
          <w:sz w:val="28"/>
          <w:szCs w:val="28"/>
        </w:rPr>
        <w:t>按规定</w:t>
      </w:r>
      <w:r>
        <w:rPr>
          <w:rFonts w:hint="eastAsia" w:ascii="仿宋" w:hAnsi="仿宋" w:eastAsia="仿宋" w:cs="仿宋"/>
          <w:kern w:val="0"/>
          <w:sz w:val="28"/>
          <w:szCs w:val="28"/>
          <w:lang w:eastAsia="zh-CN"/>
        </w:rPr>
        <w:t>规范</w:t>
      </w:r>
      <w:r>
        <w:rPr>
          <w:rFonts w:hint="eastAsia" w:ascii="仿宋" w:hAnsi="仿宋" w:eastAsia="仿宋" w:cs="仿宋"/>
          <w:kern w:val="0"/>
          <w:sz w:val="28"/>
          <w:szCs w:val="28"/>
        </w:rPr>
        <w:t>着装，佩戴保安服饰标志和胸卡，按时到岗，做好交接班，不得擅离职守。</w:t>
      </w:r>
    </w:p>
    <w:p w14:paraId="079AD45A">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2.4</w:t>
      </w:r>
      <w:r>
        <w:rPr>
          <w:rFonts w:hint="eastAsia" w:ascii="仿宋" w:hAnsi="仿宋" w:eastAsia="仿宋" w:cs="仿宋"/>
          <w:kern w:val="0"/>
          <w:sz w:val="28"/>
          <w:szCs w:val="28"/>
        </w:rPr>
        <w:t>遵守劳动纪律、坚守工作岗位、认真履行岗位职责、遵守操作规程，做到文明执勤、热情服务，依法依规处理纠纷问题。</w:t>
      </w:r>
    </w:p>
    <w:p w14:paraId="1956B019">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2.5</w:t>
      </w:r>
      <w:r>
        <w:rPr>
          <w:rFonts w:hint="eastAsia" w:ascii="仿宋" w:hAnsi="仿宋" w:eastAsia="仿宋" w:cs="仿宋"/>
          <w:kern w:val="0"/>
          <w:sz w:val="28"/>
          <w:szCs w:val="28"/>
        </w:rPr>
        <w:t>遵守</w:t>
      </w:r>
      <w:r>
        <w:rPr>
          <w:rFonts w:hint="eastAsia" w:ascii="仿宋" w:hAnsi="仿宋" w:eastAsia="仿宋" w:cs="仿宋"/>
          <w:kern w:val="0"/>
          <w:sz w:val="28"/>
          <w:szCs w:val="28"/>
          <w:lang w:val="en-US" w:eastAsia="zh-CN"/>
        </w:rPr>
        <w:t>甲方</w:t>
      </w:r>
      <w:r>
        <w:rPr>
          <w:rFonts w:hint="eastAsia" w:ascii="仿宋" w:hAnsi="仿宋" w:eastAsia="仿宋" w:cs="仿宋"/>
          <w:kern w:val="0"/>
          <w:sz w:val="28"/>
          <w:szCs w:val="28"/>
        </w:rPr>
        <w:t>管理规定，接受</w:t>
      </w:r>
      <w:r>
        <w:rPr>
          <w:rFonts w:hint="eastAsia" w:ascii="仿宋" w:hAnsi="仿宋" w:eastAsia="仿宋" w:cs="仿宋"/>
          <w:kern w:val="0"/>
          <w:sz w:val="28"/>
          <w:szCs w:val="28"/>
          <w:lang w:val="en-US" w:eastAsia="zh-CN"/>
        </w:rPr>
        <w:t>甲方</w:t>
      </w:r>
      <w:r>
        <w:rPr>
          <w:rFonts w:hint="eastAsia" w:ascii="仿宋" w:hAnsi="仿宋" w:eastAsia="仿宋" w:cs="仿宋"/>
          <w:kern w:val="0"/>
          <w:sz w:val="28"/>
          <w:szCs w:val="28"/>
        </w:rPr>
        <w:t>的监督和考核。</w:t>
      </w:r>
      <w:r>
        <w:rPr>
          <w:rFonts w:hint="eastAsia" w:ascii="仿宋" w:hAnsi="仿宋" w:eastAsia="仿宋" w:cs="仿宋"/>
          <w:kern w:val="0"/>
          <w:sz w:val="28"/>
          <w:szCs w:val="28"/>
          <w:lang w:val="en-US" w:eastAsia="zh-CN"/>
        </w:rPr>
        <w:t>甲方</w:t>
      </w:r>
      <w:r>
        <w:rPr>
          <w:rFonts w:hint="eastAsia" w:ascii="仿宋" w:hAnsi="仿宋" w:eastAsia="仿宋" w:cs="仿宋"/>
          <w:kern w:val="0"/>
          <w:sz w:val="28"/>
          <w:szCs w:val="28"/>
        </w:rPr>
        <w:t>有权要求更换工作态度差、工作能力差等不适应本职岗位的保安员，被更换的保安员不能继续在</w:t>
      </w:r>
      <w:r>
        <w:rPr>
          <w:rFonts w:hint="eastAsia" w:ascii="仿宋" w:hAnsi="仿宋" w:eastAsia="仿宋" w:cs="仿宋"/>
          <w:kern w:val="0"/>
          <w:sz w:val="28"/>
          <w:szCs w:val="28"/>
          <w:lang w:val="en-US" w:eastAsia="zh-CN"/>
        </w:rPr>
        <w:t>甲方处</w:t>
      </w:r>
      <w:r>
        <w:rPr>
          <w:rFonts w:hint="eastAsia" w:ascii="仿宋" w:hAnsi="仿宋" w:eastAsia="仿宋" w:cs="仿宋"/>
          <w:kern w:val="0"/>
          <w:sz w:val="28"/>
          <w:szCs w:val="28"/>
        </w:rPr>
        <w:t>工作。</w:t>
      </w:r>
    </w:p>
    <w:p w14:paraId="54E779EE">
      <w:pPr>
        <w:widowControl/>
        <w:snapToGrid w:val="0"/>
        <w:spacing w:line="560" w:lineRule="exact"/>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2.6</w:t>
      </w:r>
      <w:r>
        <w:rPr>
          <w:rFonts w:hint="eastAsia" w:ascii="仿宋" w:hAnsi="仿宋" w:eastAsia="仿宋" w:cs="仿宋"/>
          <w:kern w:val="0"/>
          <w:sz w:val="28"/>
          <w:szCs w:val="28"/>
        </w:rPr>
        <w:t>在岗保安员牢固树立防范意识,对</w:t>
      </w:r>
      <w:r>
        <w:rPr>
          <w:rFonts w:hint="eastAsia" w:ascii="仿宋" w:hAnsi="仿宋" w:eastAsia="仿宋" w:cs="仿宋"/>
          <w:kern w:val="0"/>
          <w:sz w:val="28"/>
          <w:szCs w:val="28"/>
          <w:lang w:val="en-US" w:eastAsia="zh-CN"/>
        </w:rPr>
        <w:t>甲方</w:t>
      </w:r>
      <w:r>
        <w:rPr>
          <w:rFonts w:hint="eastAsia" w:ascii="仿宋" w:hAnsi="仿宋" w:eastAsia="仿宋" w:cs="仿宋"/>
          <w:kern w:val="0"/>
          <w:sz w:val="28"/>
          <w:szCs w:val="28"/>
        </w:rPr>
        <w:t>院内车辆和人员要加强排查,发现可疑人员或情况要采取防范措施，并及时汇报。</w:t>
      </w:r>
      <w:r>
        <w:rPr>
          <w:rFonts w:hint="eastAsia" w:ascii="仿宋" w:hAnsi="仿宋" w:eastAsia="仿宋" w:cs="仿宋"/>
          <w:kern w:val="0"/>
          <w:sz w:val="28"/>
          <w:szCs w:val="28"/>
          <w:lang w:val="en-US" w:eastAsia="zh-CN"/>
        </w:rPr>
        <w:t xml:space="preserve">                           </w:t>
      </w:r>
    </w:p>
    <w:p w14:paraId="34AB8238">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2.7</w:t>
      </w:r>
      <w:r>
        <w:rPr>
          <w:rFonts w:hint="eastAsia" w:ascii="仿宋" w:hAnsi="仿宋" w:eastAsia="仿宋" w:cs="仿宋"/>
          <w:kern w:val="0"/>
          <w:sz w:val="28"/>
          <w:szCs w:val="28"/>
        </w:rPr>
        <w:t>值班地点，要保持良好卫生状况，做到整洁干净。严禁酒后上岗执勤和在岗吸烟、喝酒、打牌等，严禁在工作区域做与工作无关的事情。</w:t>
      </w:r>
    </w:p>
    <w:p w14:paraId="3C2510B3">
      <w:pPr>
        <w:widowControl/>
        <w:snapToGrid w:val="0"/>
        <w:spacing w:line="560" w:lineRule="exact"/>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三、岗位职责</w:t>
      </w:r>
    </w:p>
    <w:p w14:paraId="476E24C7">
      <w:pPr>
        <w:widowControl/>
        <w:snapToGrid w:val="0"/>
        <w:spacing w:line="560" w:lineRule="exact"/>
        <w:ind w:firstLine="560" w:firstLineChars="200"/>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3.1</w:t>
      </w:r>
      <w:r>
        <w:rPr>
          <w:rFonts w:hint="eastAsia" w:ascii="仿宋" w:hAnsi="仿宋" w:eastAsia="仿宋" w:cs="仿宋"/>
          <w:b w:val="0"/>
          <w:bCs/>
          <w:kern w:val="0"/>
          <w:sz w:val="28"/>
          <w:szCs w:val="28"/>
        </w:rPr>
        <w:t>门卫守护岗</w:t>
      </w:r>
    </w:p>
    <w:p w14:paraId="452EA380">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3.1.1</w:t>
      </w:r>
      <w:r>
        <w:rPr>
          <w:rFonts w:hint="eastAsia" w:ascii="仿宋" w:hAnsi="仿宋" w:eastAsia="仿宋" w:cs="仿宋"/>
          <w:kern w:val="0"/>
          <w:sz w:val="28"/>
          <w:szCs w:val="28"/>
        </w:rPr>
        <w:t>主要负责对</w:t>
      </w:r>
      <w:r>
        <w:rPr>
          <w:rFonts w:hint="eastAsia" w:ascii="仿宋" w:hAnsi="仿宋" w:eastAsia="仿宋" w:cs="仿宋"/>
          <w:kern w:val="0"/>
          <w:sz w:val="28"/>
          <w:szCs w:val="28"/>
          <w:lang w:val="en-US" w:eastAsia="zh-CN"/>
        </w:rPr>
        <w:t>甲方</w:t>
      </w:r>
      <w:r>
        <w:rPr>
          <w:rFonts w:hint="eastAsia" w:ascii="仿宋" w:hAnsi="仿宋" w:eastAsia="仿宋" w:cs="仿宋"/>
          <w:kern w:val="0"/>
          <w:sz w:val="28"/>
          <w:szCs w:val="28"/>
        </w:rPr>
        <w:t>院区出入口、楼宇出入口进行管控，负责本工作区域内的安全巡查和安全管理，遇有情况及时汇报，果断处置。</w:t>
      </w:r>
      <w:r>
        <w:rPr>
          <w:rFonts w:hint="eastAsia" w:ascii="仿宋" w:hAnsi="仿宋" w:eastAsia="仿宋" w:cs="仿宋"/>
          <w:kern w:val="0"/>
          <w:sz w:val="28"/>
          <w:szCs w:val="28"/>
          <w:lang w:val="en-US" w:eastAsia="zh-CN"/>
        </w:rPr>
        <w:t xml:space="preserve">                                                                                       </w:t>
      </w:r>
    </w:p>
    <w:p w14:paraId="381F80D9">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3.1.2</w:t>
      </w:r>
      <w:r>
        <w:rPr>
          <w:rFonts w:hint="eastAsia" w:ascii="仿宋" w:hAnsi="仿宋" w:eastAsia="仿宋" w:cs="仿宋"/>
          <w:kern w:val="0"/>
          <w:sz w:val="28"/>
          <w:szCs w:val="28"/>
        </w:rPr>
        <w:t>正确使用并爱护执勤物品和执勤设施，时刻保持良好状态，遇有故障及时报修。</w:t>
      </w:r>
    </w:p>
    <w:p w14:paraId="30567101">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3.1.3保持出入畅通，做好来访人员及车辆的登记和查验工作，符合要求经同意后方可进入。</w:t>
      </w:r>
    </w:p>
    <w:p w14:paraId="3F9432AA">
      <w:pPr>
        <w:widowControl/>
        <w:snapToGrid w:val="0"/>
        <w:spacing w:line="560" w:lineRule="exact"/>
        <w:ind w:firstLine="560" w:firstLineChars="200"/>
        <w:jc w:val="both"/>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3.2</w:t>
      </w:r>
      <w:r>
        <w:rPr>
          <w:rFonts w:hint="eastAsia" w:ascii="仿宋" w:hAnsi="仿宋" w:eastAsia="仿宋" w:cs="仿宋"/>
          <w:b w:val="0"/>
          <w:bCs/>
          <w:kern w:val="0"/>
          <w:sz w:val="28"/>
          <w:szCs w:val="28"/>
        </w:rPr>
        <w:t>交通管理岗</w:t>
      </w:r>
    </w:p>
    <w:p w14:paraId="2A038EBA">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3.2.1</w:t>
      </w:r>
      <w:r>
        <w:rPr>
          <w:rFonts w:hint="eastAsia" w:ascii="仿宋" w:hAnsi="仿宋" w:eastAsia="仿宋" w:cs="仿宋"/>
          <w:kern w:val="0"/>
          <w:sz w:val="28"/>
          <w:szCs w:val="28"/>
        </w:rPr>
        <w:t>主要负责维持好院区的交通及车辆秩序，做到有序进出、按规定区域停放。熟悉急诊急救等特殊车辆管理规定，保证通行顺畅。</w:t>
      </w:r>
    </w:p>
    <w:p w14:paraId="36C47B62">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3.2.2</w:t>
      </w:r>
      <w:r>
        <w:rPr>
          <w:rFonts w:hint="eastAsia" w:ascii="仿宋" w:hAnsi="仿宋" w:eastAsia="仿宋" w:cs="仿宋"/>
          <w:kern w:val="0"/>
          <w:sz w:val="28"/>
          <w:szCs w:val="28"/>
        </w:rPr>
        <w:t>保证</w:t>
      </w:r>
      <w:r>
        <w:rPr>
          <w:rFonts w:hint="eastAsia" w:ascii="仿宋" w:hAnsi="仿宋" w:eastAsia="仿宋" w:cs="仿宋"/>
          <w:kern w:val="0"/>
          <w:sz w:val="28"/>
          <w:szCs w:val="28"/>
          <w:lang w:val="en-US" w:eastAsia="zh-CN"/>
        </w:rPr>
        <w:t>甲方</w:t>
      </w:r>
      <w:r>
        <w:rPr>
          <w:rFonts w:hint="eastAsia" w:ascii="仿宋" w:hAnsi="仿宋" w:eastAsia="仿宋" w:cs="仿宋"/>
          <w:kern w:val="0"/>
          <w:sz w:val="28"/>
          <w:szCs w:val="28"/>
        </w:rPr>
        <w:t>院内消防通道和生命通道畅通，进入院区的车辆做到即停即走。</w:t>
      </w:r>
    </w:p>
    <w:p w14:paraId="5F090A0C">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3.2.3</w:t>
      </w:r>
      <w:r>
        <w:rPr>
          <w:rFonts w:hint="eastAsia" w:ascii="仿宋" w:hAnsi="仿宋" w:eastAsia="仿宋" w:cs="仿宋"/>
          <w:kern w:val="0"/>
          <w:sz w:val="28"/>
          <w:szCs w:val="28"/>
        </w:rPr>
        <w:t>正确指挥车辆通行，保证院内良好交通秩序，告知车辆慢行，避免出现交通事故。</w:t>
      </w:r>
    </w:p>
    <w:p w14:paraId="4A80BA3F">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3.2.4</w:t>
      </w:r>
      <w:r>
        <w:rPr>
          <w:rFonts w:hint="eastAsia" w:ascii="仿宋" w:hAnsi="仿宋" w:eastAsia="仿宋" w:cs="仿宋"/>
          <w:kern w:val="0"/>
          <w:sz w:val="28"/>
          <w:szCs w:val="28"/>
        </w:rPr>
        <w:t>任何车辆一律不能进入楼宇或工作区，职工车辆停放在医院划定的职工停车区域内。</w:t>
      </w:r>
    </w:p>
    <w:p w14:paraId="1C0B5521">
      <w:pPr>
        <w:widowControl/>
        <w:snapToGrid w:val="0"/>
        <w:spacing w:line="560" w:lineRule="exact"/>
        <w:ind w:firstLine="560" w:firstLineChars="200"/>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3.3</w:t>
      </w:r>
      <w:r>
        <w:rPr>
          <w:rFonts w:hint="eastAsia" w:ascii="仿宋" w:hAnsi="仿宋" w:eastAsia="仿宋" w:cs="仿宋"/>
          <w:b w:val="0"/>
          <w:bCs/>
          <w:kern w:val="0"/>
          <w:sz w:val="28"/>
          <w:szCs w:val="28"/>
        </w:rPr>
        <w:t>秩序维护岗</w:t>
      </w:r>
    </w:p>
    <w:p w14:paraId="5A335D13">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3.3.1</w:t>
      </w:r>
      <w:r>
        <w:rPr>
          <w:rFonts w:hint="eastAsia" w:ascii="仿宋" w:hAnsi="仿宋" w:eastAsia="仿宋" w:cs="仿宋"/>
          <w:kern w:val="0"/>
          <w:sz w:val="28"/>
          <w:szCs w:val="28"/>
        </w:rPr>
        <w:t>主要负责本区域内的秩序管理，做好消防和治安巡查，维护良好的工作秩序。发现可疑人员要进行盘查、跟踪，如遇不安定因素，要立即给予警告等措施，并报警处理。</w:t>
      </w:r>
    </w:p>
    <w:p w14:paraId="0FBC6250">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3.3.2</w:t>
      </w:r>
      <w:r>
        <w:rPr>
          <w:rFonts w:hint="eastAsia" w:ascii="仿宋" w:hAnsi="仿宋" w:eastAsia="仿宋" w:cs="仿宋"/>
          <w:kern w:val="0"/>
          <w:sz w:val="28"/>
          <w:szCs w:val="28"/>
        </w:rPr>
        <w:t>制止吸烟、散发小广告等违规行为及不文明行为，对突发事件、医患矛盾、医疗纠纷、医托等要及时妥善处置，保持正常秩序。</w:t>
      </w:r>
    </w:p>
    <w:p w14:paraId="4E4D0D09">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3.3.3</w:t>
      </w:r>
      <w:r>
        <w:rPr>
          <w:rFonts w:hint="eastAsia" w:ascii="仿宋" w:hAnsi="仿宋" w:eastAsia="仿宋" w:cs="仿宋"/>
          <w:kern w:val="0"/>
          <w:sz w:val="28"/>
          <w:szCs w:val="28"/>
        </w:rPr>
        <w:t xml:space="preserve">要检查所属区域各楼层门窗、水、电设备是否及时关闭，确保消防通道畅通，定时清理滞留人员。夜间值班保安员要不间断巡查，发现任何异常情况及时向保卫科值班人员汇报。 </w:t>
      </w:r>
    </w:p>
    <w:p w14:paraId="2928C0B7">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3.3.4</w:t>
      </w:r>
      <w:r>
        <w:rPr>
          <w:rFonts w:hint="eastAsia" w:ascii="仿宋" w:hAnsi="仿宋" w:eastAsia="仿宋" w:cs="仿宋"/>
          <w:kern w:val="0"/>
          <w:sz w:val="28"/>
          <w:szCs w:val="28"/>
        </w:rPr>
        <w:t>负责维持好各区域内就诊病人排队检查、交费、取药等秩序，避免出现拥挤混乱现象。</w:t>
      </w:r>
    </w:p>
    <w:p w14:paraId="7E7F46EB">
      <w:pPr>
        <w:widowControl/>
        <w:snapToGrid w:val="0"/>
        <w:spacing w:line="560" w:lineRule="exact"/>
        <w:ind w:firstLine="560" w:firstLineChars="200"/>
        <w:rPr>
          <w:rFonts w:hint="eastAsia"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3.4</w:t>
      </w:r>
      <w:r>
        <w:rPr>
          <w:rFonts w:hint="eastAsia" w:ascii="仿宋" w:hAnsi="仿宋" w:eastAsia="仿宋" w:cs="仿宋"/>
          <w:b w:val="0"/>
          <w:bCs/>
          <w:kern w:val="0"/>
          <w:sz w:val="28"/>
          <w:szCs w:val="28"/>
        </w:rPr>
        <w:t>应急机动岗</w:t>
      </w:r>
    </w:p>
    <w:p w14:paraId="7C5509B0">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3.4.1</w:t>
      </w:r>
      <w:r>
        <w:rPr>
          <w:rFonts w:hint="eastAsia" w:ascii="仿宋" w:hAnsi="仿宋" w:eastAsia="仿宋" w:cs="仿宋"/>
          <w:kern w:val="0"/>
          <w:sz w:val="28"/>
          <w:szCs w:val="28"/>
        </w:rPr>
        <w:t>主要负责治安、消防巡查和微型消防站值班，定期开展治安、消防安全知识、技能的宣传教育和培训，进行应急预案的实施和演练</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具备应对突发事件的处置能力。</w:t>
      </w:r>
    </w:p>
    <w:p w14:paraId="2961633D">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3.4.2</w:t>
      </w:r>
      <w:r>
        <w:rPr>
          <w:rFonts w:hint="eastAsia" w:ascii="仿宋" w:hAnsi="仿宋" w:eastAsia="仿宋" w:cs="仿宋"/>
          <w:kern w:val="0"/>
          <w:sz w:val="28"/>
          <w:szCs w:val="28"/>
        </w:rPr>
        <w:t>熟悉</w:t>
      </w:r>
      <w:r>
        <w:rPr>
          <w:rFonts w:hint="eastAsia" w:ascii="仿宋" w:hAnsi="仿宋" w:eastAsia="仿宋" w:cs="仿宋"/>
          <w:kern w:val="0"/>
          <w:sz w:val="28"/>
          <w:szCs w:val="28"/>
          <w:lang w:val="en-US" w:eastAsia="zh-CN"/>
        </w:rPr>
        <w:t>甲方</w:t>
      </w:r>
      <w:r>
        <w:rPr>
          <w:rFonts w:hint="eastAsia" w:ascii="仿宋" w:hAnsi="仿宋" w:eastAsia="仿宋" w:cs="仿宋"/>
          <w:kern w:val="0"/>
          <w:sz w:val="28"/>
          <w:szCs w:val="28"/>
        </w:rPr>
        <w:t>地形结构、科室分布和消防灭火和应急疏散预案等，熟练掌握治安、消防装备</w:t>
      </w:r>
      <w:r>
        <w:rPr>
          <w:rFonts w:hint="eastAsia" w:ascii="仿宋" w:hAnsi="仿宋" w:eastAsia="仿宋" w:cs="仿宋"/>
          <w:kern w:val="0"/>
          <w:sz w:val="28"/>
          <w:szCs w:val="28"/>
          <w:lang w:eastAsia="zh-CN"/>
        </w:rPr>
        <w:t>和</w:t>
      </w:r>
      <w:r>
        <w:rPr>
          <w:rFonts w:hint="eastAsia" w:ascii="仿宋" w:hAnsi="仿宋" w:eastAsia="仿宋" w:cs="仿宋"/>
          <w:kern w:val="0"/>
          <w:sz w:val="28"/>
          <w:szCs w:val="28"/>
        </w:rPr>
        <w:t>消防监控等</w:t>
      </w:r>
      <w:r>
        <w:rPr>
          <w:rFonts w:hint="eastAsia" w:ascii="仿宋" w:hAnsi="仿宋" w:eastAsia="仿宋" w:cs="仿宋"/>
          <w:kern w:val="0"/>
          <w:sz w:val="28"/>
          <w:szCs w:val="28"/>
          <w:lang w:eastAsia="zh-CN"/>
        </w:rPr>
        <w:t>设备</w:t>
      </w:r>
      <w:r>
        <w:rPr>
          <w:rFonts w:hint="eastAsia" w:ascii="仿宋" w:hAnsi="仿宋" w:eastAsia="仿宋" w:cs="仿宋"/>
          <w:kern w:val="0"/>
          <w:sz w:val="28"/>
          <w:szCs w:val="28"/>
        </w:rPr>
        <w:t>操作及技能，每日对消防自动报警、一键报警等设施进行自检，保持设备处于正常状态，遇有故障应及时排除，不能排除的应立即上报。</w:t>
      </w:r>
    </w:p>
    <w:p w14:paraId="0D8A798F">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3.4.3</w:t>
      </w:r>
      <w:r>
        <w:rPr>
          <w:rFonts w:hint="eastAsia" w:ascii="仿宋" w:hAnsi="仿宋" w:eastAsia="仿宋" w:cs="仿宋"/>
          <w:kern w:val="0"/>
          <w:sz w:val="28"/>
          <w:szCs w:val="28"/>
        </w:rPr>
        <w:t>按要求开展全院区巡逻巡查，做好巡查登记，主要进行治安巡查、火灾隐患排查、重点区域巡逻等。</w:t>
      </w:r>
    </w:p>
    <w:p w14:paraId="6328BEAD">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3.4.4</w:t>
      </w:r>
      <w:r>
        <w:rPr>
          <w:rFonts w:hint="eastAsia" w:ascii="仿宋" w:hAnsi="仿宋" w:eastAsia="仿宋" w:cs="仿宋"/>
          <w:kern w:val="0"/>
          <w:sz w:val="28"/>
          <w:szCs w:val="28"/>
        </w:rPr>
        <w:t>时刻保持备勤状态，遇有突发紧急情况，携带相应装具按规定时间内到达现场进行有效处置。</w:t>
      </w:r>
    </w:p>
    <w:p w14:paraId="43AB313B">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3.4.5</w:t>
      </w:r>
      <w:r>
        <w:rPr>
          <w:rFonts w:hint="eastAsia" w:ascii="仿宋" w:hAnsi="仿宋" w:eastAsia="仿宋" w:cs="仿宋"/>
          <w:kern w:val="0"/>
          <w:sz w:val="28"/>
          <w:szCs w:val="28"/>
        </w:rPr>
        <w:t>积极服从管理部门统一调度、指挥。</w:t>
      </w:r>
    </w:p>
    <w:p w14:paraId="47C11AF8">
      <w:pPr>
        <w:widowControl/>
        <w:snapToGrid w:val="0"/>
        <w:spacing w:line="560" w:lineRule="exact"/>
        <w:ind w:firstLine="560" w:firstLineChars="200"/>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val="en-US" w:eastAsia="zh-CN"/>
        </w:rPr>
        <w:t>3.5</w:t>
      </w:r>
      <w:r>
        <w:rPr>
          <w:rFonts w:hint="eastAsia" w:ascii="仿宋" w:hAnsi="仿宋" w:eastAsia="仿宋" w:cs="仿宋"/>
          <w:b w:val="0"/>
          <w:bCs/>
          <w:kern w:val="0"/>
          <w:sz w:val="28"/>
          <w:szCs w:val="28"/>
        </w:rPr>
        <w:t>管理岗</w:t>
      </w:r>
      <w:r>
        <w:rPr>
          <w:rFonts w:hint="eastAsia" w:ascii="仿宋" w:hAnsi="仿宋" w:eastAsia="仿宋" w:cs="仿宋"/>
          <w:b w:val="0"/>
          <w:bCs/>
          <w:kern w:val="0"/>
          <w:sz w:val="28"/>
          <w:szCs w:val="28"/>
          <w:lang w:eastAsia="zh-CN"/>
        </w:rPr>
        <w:t>（班长）</w:t>
      </w:r>
    </w:p>
    <w:p w14:paraId="11F8F6E5">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3.5.1</w:t>
      </w:r>
      <w:r>
        <w:rPr>
          <w:rFonts w:hint="eastAsia" w:ascii="仿宋" w:hAnsi="仿宋" w:eastAsia="仿宋" w:cs="仿宋"/>
          <w:kern w:val="0"/>
          <w:sz w:val="28"/>
          <w:szCs w:val="28"/>
        </w:rPr>
        <w:t>主要负责保安员的日常管理和教育培训，传达</w:t>
      </w:r>
      <w:r>
        <w:rPr>
          <w:rFonts w:hint="eastAsia" w:ascii="仿宋" w:hAnsi="仿宋" w:eastAsia="仿宋" w:cs="仿宋"/>
          <w:kern w:val="0"/>
          <w:sz w:val="28"/>
          <w:szCs w:val="28"/>
          <w:lang w:val="en-US" w:eastAsia="zh-CN"/>
        </w:rPr>
        <w:t>甲方</w:t>
      </w:r>
      <w:r>
        <w:rPr>
          <w:rFonts w:hint="eastAsia" w:ascii="仿宋" w:hAnsi="仿宋" w:eastAsia="仿宋" w:cs="仿宋"/>
          <w:kern w:val="0"/>
          <w:sz w:val="28"/>
          <w:szCs w:val="28"/>
        </w:rPr>
        <w:t>精神，安排落实工作，合理排班，掌握保安员思想动态，督促检查保安工作执行和落实情况，带领本区域保安员完成各项任务。</w:t>
      </w:r>
    </w:p>
    <w:p w14:paraId="01912D70">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3.5.2</w:t>
      </w:r>
      <w:r>
        <w:rPr>
          <w:rFonts w:hint="eastAsia" w:ascii="仿宋" w:hAnsi="仿宋" w:eastAsia="仿宋" w:cs="仿宋"/>
          <w:kern w:val="0"/>
          <w:sz w:val="28"/>
          <w:szCs w:val="28"/>
        </w:rPr>
        <w:t>对本区域整体治保安卫工作负责，全面掌握本区域安全保卫工作情况，及时处理发现的问题和不安定因素。</w:t>
      </w:r>
    </w:p>
    <w:p w14:paraId="16D0325D">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3.5.3</w:t>
      </w:r>
      <w:r>
        <w:rPr>
          <w:rFonts w:hint="eastAsia" w:ascii="仿宋" w:hAnsi="仿宋" w:eastAsia="仿宋" w:cs="仿宋"/>
          <w:kern w:val="0"/>
          <w:sz w:val="28"/>
          <w:szCs w:val="28"/>
        </w:rPr>
        <w:t>对本区域发现的安全隐患，要做好安全防范措施并及时汇报跟踪处置。</w:t>
      </w:r>
    </w:p>
    <w:p w14:paraId="0748347D">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3.5.4</w:t>
      </w:r>
      <w:r>
        <w:rPr>
          <w:rFonts w:hint="eastAsia" w:ascii="仿宋" w:hAnsi="仿宋" w:eastAsia="仿宋" w:cs="仿宋"/>
          <w:kern w:val="0"/>
          <w:sz w:val="28"/>
          <w:szCs w:val="28"/>
        </w:rPr>
        <w:t>努力学习业务知识和专业技能，掌握新形势下</w:t>
      </w:r>
      <w:r>
        <w:rPr>
          <w:rFonts w:hint="eastAsia" w:ascii="仿宋" w:hAnsi="仿宋" w:eastAsia="仿宋" w:cs="仿宋"/>
          <w:kern w:val="0"/>
          <w:sz w:val="28"/>
          <w:szCs w:val="28"/>
          <w:lang w:val="en-US" w:eastAsia="zh-CN"/>
        </w:rPr>
        <w:t>甲方</w:t>
      </w:r>
      <w:r>
        <w:rPr>
          <w:rFonts w:hint="eastAsia" w:ascii="仿宋" w:hAnsi="仿宋" w:eastAsia="仿宋" w:cs="仿宋"/>
          <w:kern w:val="0"/>
          <w:sz w:val="28"/>
          <w:szCs w:val="28"/>
        </w:rPr>
        <w:t>保安管理岗位技能，提高业务水平、提升管理能力。</w:t>
      </w:r>
    </w:p>
    <w:p w14:paraId="767E08F9">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3.5.5</w:t>
      </w:r>
      <w:r>
        <w:rPr>
          <w:rFonts w:hint="eastAsia" w:ascii="仿宋" w:hAnsi="仿宋" w:eastAsia="仿宋" w:cs="仿宋"/>
          <w:kern w:val="0"/>
          <w:sz w:val="28"/>
          <w:szCs w:val="28"/>
        </w:rPr>
        <w:t>牢固树立以院为家的思想，我管理、我负责的工作态度，敢管、善管、会管。</w:t>
      </w:r>
    </w:p>
    <w:p w14:paraId="7F1C5FB9">
      <w:pPr>
        <w:widowControl/>
        <w:snapToGrid w:val="0"/>
        <w:spacing w:line="560" w:lineRule="exact"/>
        <w:ind w:firstLine="560" w:firstLineChars="200"/>
        <w:rPr>
          <w:rFonts w:hint="eastAsia" w:ascii="仿宋" w:hAnsi="仿宋" w:eastAsia="仿宋" w:cs="仿宋"/>
          <w:b/>
          <w:bCs/>
          <w:kern w:val="0"/>
          <w:sz w:val="28"/>
          <w:szCs w:val="28"/>
        </w:rPr>
      </w:pPr>
      <w:r>
        <w:rPr>
          <w:rFonts w:hint="eastAsia" w:ascii="仿宋" w:hAnsi="仿宋" w:eastAsia="仿宋" w:cs="仿宋"/>
          <w:b w:val="0"/>
          <w:bCs w:val="0"/>
          <w:kern w:val="0"/>
          <w:sz w:val="28"/>
          <w:szCs w:val="28"/>
          <w:lang w:val="en-US" w:eastAsia="zh-CN"/>
        </w:rPr>
        <w:t>3.6</w:t>
      </w:r>
      <w:r>
        <w:rPr>
          <w:rFonts w:hint="eastAsia" w:ascii="仿宋" w:hAnsi="仿宋" w:eastAsia="仿宋" w:cs="仿宋"/>
          <w:b w:val="0"/>
          <w:bCs w:val="0"/>
          <w:kern w:val="0"/>
          <w:sz w:val="28"/>
          <w:szCs w:val="28"/>
        </w:rPr>
        <w:t>安全检查岗</w:t>
      </w:r>
    </w:p>
    <w:p w14:paraId="2B1F03B5">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3.6.1</w:t>
      </w:r>
      <w:r>
        <w:rPr>
          <w:rFonts w:hint="eastAsia" w:ascii="仿宋" w:hAnsi="仿宋" w:eastAsia="仿宋" w:cs="仿宋"/>
          <w:kern w:val="0"/>
          <w:sz w:val="28"/>
          <w:szCs w:val="28"/>
        </w:rPr>
        <w:t>引导员</w:t>
      </w:r>
    </w:p>
    <w:p w14:paraId="36223292">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提示、引导被检查人员有序开展安检，维持现场秩序；</w:t>
      </w:r>
    </w:p>
    <w:p w14:paraId="5480D1DB">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宣传、解释相关安全规定，解答安检相关询问；</w:t>
      </w:r>
    </w:p>
    <w:p w14:paraId="66D4599B">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观察安检区情况，发现可疑、异常情况及时报告。</w:t>
      </w:r>
    </w:p>
    <w:p w14:paraId="4F0D5B81">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3.6.2</w:t>
      </w:r>
      <w:r>
        <w:rPr>
          <w:rFonts w:hint="eastAsia" w:ascii="仿宋" w:hAnsi="仿宋" w:eastAsia="仿宋" w:cs="仿宋"/>
          <w:kern w:val="0"/>
          <w:sz w:val="28"/>
          <w:szCs w:val="28"/>
        </w:rPr>
        <w:t>值机员</w:t>
      </w:r>
    </w:p>
    <w:p w14:paraId="43053169">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正确使用X射线安检设备，辨别行包X光图像中的禁限制物品或可疑物品；</w:t>
      </w:r>
    </w:p>
    <w:p w14:paraId="0CB4AD8C">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将需要开包检查的行包及重点检查部位通知手检员。</w:t>
      </w:r>
    </w:p>
    <w:p w14:paraId="4B5E2D81">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3.6.3</w:t>
      </w:r>
      <w:r>
        <w:rPr>
          <w:rFonts w:hint="eastAsia" w:ascii="仿宋" w:hAnsi="仿宋" w:eastAsia="仿宋" w:cs="仿宋"/>
          <w:kern w:val="0"/>
          <w:sz w:val="28"/>
          <w:szCs w:val="28"/>
        </w:rPr>
        <w:t>手检员（</w:t>
      </w:r>
      <w:r>
        <w:rPr>
          <w:rFonts w:hint="eastAsia" w:ascii="仿宋" w:hAnsi="仿宋" w:eastAsia="仿宋" w:cs="仿宋"/>
          <w:kern w:val="0"/>
          <w:sz w:val="28"/>
          <w:szCs w:val="28"/>
          <w:lang w:eastAsia="zh-CN"/>
        </w:rPr>
        <w:t>可</w:t>
      </w:r>
      <w:r>
        <w:rPr>
          <w:rFonts w:hint="eastAsia" w:ascii="仿宋" w:hAnsi="仿宋" w:eastAsia="仿宋" w:cs="仿宋"/>
          <w:kern w:val="0"/>
          <w:sz w:val="28"/>
          <w:szCs w:val="28"/>
        </w:rPr>
        <w:t>与引导员为同一人）</w:t>
      </w:r>
    </w:p>
    <w:p w14:paraId="6A23BAC5">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正确使用手持式金属探测仪对通过安检门时报警的人员进一步检查；</w:t>
      </w:r>
    </w:p>
    <w:p w14:paraId="4660B0A9">
      <w:pPr>
        <w:widowControl/>
        <w:snapToGrid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对可疑行包开包人工检查，控制发现的可疑物品，使用液态物品安全检查设备、炸药探测仪对可疑物品进行详细检查；</w:t>
      </w:r>
    </w:p>
    <w:p w14:paraId="1C7C447D">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与其他安检保安员一起对突发事件先期处置并向保卫科值班人员报告。</w:t>
      </w:r>
    </w:p>
    <w:p w14:paraId="66E93634">
      <w:pPr>
        <w:bidi w:val="0"/>
        <w:jc w:val="left"/>
        <w:rPr>
          <w:rFonts w:hint="default"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tbl>
      <w:tblPr>
        <w:tblStyle w:val="9"/>
        <w:tblW w:w="15140" w:type="dxa"/>
        <w:tblInd w:w="93" w:type="dxa"/>
        <w:tblLayout w:type="autofit"/>
        <w:tblCellMar>
          <w:top w:w="0" w:type="dxa"/>
          <w:left w:w="108" w:type="dxa"/>
          <w:bottom w:w="0" w:type="dxa"/>
          <w:right w:w="108" w:type="dxa"/>
        </w:tblCellMar>
      </w:tblPr>
      <w:tblGrid>
        <w:gridCol w:w="772"/>
        <w:gridCol w:w="3340"/>
        <w:gridCol w:w="7756"/>
        <w:gridCol w:w="1635"/>
        <w:gridCol w:w="817"/>
        <w:gridCol w:w="820"/>
      </w:tblGrid>
      <w:tr w14:paraId="6C14AC59">
        <w:tblPrEx>
          <w:tblCellMar>
            <w:top w:w="0" w:type="dxa"/>
            <w:left w:w="108" w:type="dxa"/>
            <w:bottom w:w="0" w:type="dxa"/>
            <w:right w:w="108" w:type="dxa"/>
          </w:tblCellMar>
        </w:tblPrEx>
        <w:trPr>
          <w:trHeight w:val="90" w:hRule="atLeast"/>
        </w:trPr>
        <w:tc>
          <w:tcPr>
            <w:tcW w:w="15140" w:type="dxa"/>
            <w:gridSpan w:val="6"/>
            <w:tcBorders>
              <w:top w:val="nil"/>
              <w:left w:val="nil"/>
              <w:bottom w:val="nil"/>
              <w:right w:val="nil"/>
            </w:tcBorders>
            <w:shd w:val="clear" w:color="auto" w:fill="auto"/>
            <w:noWrap/>
            <w:vAlign w:val="center"/>
          </w:tcPr>
          <w:p w14:paraId="4693C5E8">
            <w:pPr>
              <w:widowControl/>
              <w:jc w:val="center"/>
              <w:rPr>
                <w:rFonts w:ascii="宋体" w:hAnsi="宋体" w:eastAsia="宋体" w:cs="宋体"/>
                <w:color w:val="000000"/>
                <w:kern w:val="0"/>
                <w:sz w:val="40"/>
                <w:szCs w:val="40"/>
              </w:rPr>
            </w:pPr>
            <w:r>
              <w:rPr>
                <w:rFonts w:hint="eastAsia" w:ascii="宋体" w:hAnsi="宋体" w:eastAsia="宋体" w:cs="宋体"/>
                <w:color w:val="000000"/>
                <w:kern w:val="0"/>
                <w:sz w:val="40"/>
                <w:szCs w:val="40"/>
              </w:rPr>
              <w:t>驻马店市第一人民医院服务商考核细则</w:t>
            </w:r>
          </w:p>
        </w:tc>
      </w:tr>
      <w:tr w14:paraId="4A0C09CA">
        <w:tblPrEx>
          <w:tblCellMar>
            <w:top w:w="0" w:type="dxa"/>
            <w:left w:w="108" w:type="dxa"/>
            <w:bottom w:w="0" w:type="dxa"/>
            <w:right w:w="108" w:type="dxa"/>
          </w:tblCellMar>
        </w:tblPrEx>
        <w:trPr>
          <w:trHeight w:val="90" w:hRule="atLeast"/>
        </w:trPr>
        <w:tc>
          <w:tcPr>
            <w:tcW w:w="15140" w:type="dxa"/>
            <w:gridSpan w:val="6"/>
            <w:tcBorders>
              <w:top w:val="nil"/>
              <w:left w:val="nil"/>
              <w:bottom w:val="nil"/>
              <w:right w:val="nil"/>
            </w:tcBorders>
            <w:shd w:val="clear" w:color="auto" w:fill="auto"/>
            <w:noWrap/>
            <w:vAlign w:val="center"/>
          </w:tcPr>
          <w:p w14:paraId="3525CF9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4"/>
                <w:szCs w:val="24"/>
              </w:rPr>
              <w:t>考核月份：</w:t>
            </w:r>
            <w:r>
              <w:rPr>
                <w:rFonts w:hint="eastAsia" w:ascii="宋体" w:hAnsi="宋体" w:eastAsia="宋体" w:cs="宋体"/>
                <w:color w:val="000000"/>
                <w:kern w:val="0"/>
                <w:sz w:val="24"/>
                <w:szCs w:val="24"/>
                <w:u w:val="single"/>
              </w:rPr>
              <w:t xml:space="preserve">         年    月 </w:t>
            </w:r>
            <w:r>
              <w:rPr>
                <w:rFonts w:hint="eastAsia" w:ascii="宋体" w:hAnsi="宋体" w:eastAsia="宋体" w:cs="宋体"/>
                <w:color w:val="000000"/>
                <w:kern w:val="0"/>
                <w:sz w:val="24"/>
                <w:szCs w:val="24"/>
              </w:rPr>
              <w:t xml:space="preserve"> </w:t>
            </w:r>
          </w:p>
          <w:p w14:paraId="0408E06D">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服务公司：</w:t>
            </w:r>
            <w:r>
              <w:rPr>
                <w:rFonts w:hint="eastAsia" w:ascii="宋体" w:hAnsi="宋体" w:eastAsia="宋体" w:cs="宋体"/>
                <w:color w:val="000000"/>
                <w:kern w:val="0"/>
                <w:sz w:val="24"/>
                <w:szCs w:val="24"/>
                <w:u w:val="single"/>
              </w:rPr>
              <w:t xml:space="preserve">                                                       </w:t>
            </w:r>
          </w:p>
          <w:p w14:paraId="18C25D81">
            <w:pPr>
              <w:widowControl/>
              <w:rPr>
                <w:rFonts w:ascii="宋体" w:hAnsi="宋体" w:eastAsia="宋体" w:cs="宋体"/>
                <w:color w:val="000000"/>
                <w:kern w:val="0"/>
                <w:sz w:val="28"/>
                <w:szCs w:val="28"/>
              </w:rPr>
            </w:pPr>
            <w:r>
              <w:rPr>
                <w:rFonts w:hint="eastAsia" w:ascii="宋体" w:hAnsi="宋体" w:eastAsia="宋体" w:cs="宋体"/>
                <w:color w:val="000000"/>
                <w:kern w:val="0"/>
                <w:sz w:val="24"/>
                <w:szCs w:val="24"/>
              </w:rPr>
              <w:t>服务项目：</w:t>
            </w:r>
            <w:r>
              <w:rPr>
                <w:rFonts w:hint="eastAsia" w:ascii="宋体" w:hAnsi="宋体" w:eastAsia="宋体" w:cs="宋体"/>
                <w:color w:val="000000"/>
                <w:kern w:val="0"/>
                <w:sz w:val="24"/>
                <w:szCs w:val="24"/>
                <w:u w:val="single"/>
              </w:rPr>
              <w:t xml:space="preserve">                                                       </w:t>
            </w:r>
          </w:p>
        </w:tc>
      </w:tr>
      <w:tr w14:paraId="39E1F8AF">
        <w:tblPrEx>
          <w:tblCellMar>
            <w:top w:w="0" w:type="dxa"/>
            <w:left w:w="108" w:type="dxa"/>
            <w:bottom w:w="0" w:type="dxa"/>
            <w:right w:w="108" w:type="dxa"/>
          </w:tblCellMar>
        </w:tblPrEx>
        <w:trPr>
          <w:trHeight w:val="90" w:hRule="atLeast"/>
        </w:trPr>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CD6E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3340" w:type="dxa"/>
            <w:tcBorders>
              <w:top w:val="single" w:color="auto" w:sz="4" w:space="0"/>
              <w:left w:val="nil"/>
              <w:bottom w:val="single" w:color="auto" w:sz="4" w:space="0"/>
              <w:right w:val="single" w:color="auto" w:sz="4" w:space="0"/>
            </w:tcBorders>
            <w:shd w:val="clear" w:color="auto" w:fill="auto"/>
            <w:noWrap/>
            <w:vAlign w:val="center"/>
          </w:tcPr>
          <w:p w14:paraId="217C19F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考核内容</w:t>
            </w:r>
          </w:p>
        </w:tc>
        <w:tc>
          <w:tcPr>
            <w:tcW w:w="7756" w:type="dxa"/>
            <w:tcBorders>
              <w:top w:val="single" w:color="auto" w:sz="4" w:space="0"/>
              <w:left w:val="nil"/>
              <w:bottom w:val="single" w:color="auto" w:sz="4" w:space="0"/>
              <w:right w:val="single" w:color="auto" w:sz="4" w:space="0"/>
            </w:tcBorders>
            <w:shd w:val="clear" w:color="auto" w:fill="auto"/>
            <w:noWrap/>
            <w:vAlign w:val="center"/>
          </w:tcPr>
          <w:p w14:paraId="6DBBF94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考核细则</w:t>
            </w:r>
          </w:p>
        </w:tc>
        <w:tc>
          <w:tcPr>
            <w:tcW w:w="1635" w:type="dxa"/>
            <w:tcBorders>
              <w:top w:val="single" w:color="auto" w:sz="4" w:space="0"/>
              <w:left w:val="nil"/>
              <w:bottom w:val="single" w:color="auto" w:sz="4" w:space="0"/>
              <w:right w:val="single" w:color="auto" w:sz="4" w:space="0"/>
            </w:tcBorders>
            <w:shd w:val="clear" w:color="auto" w:fill="auto"/>
            <w:noWrap/>
            <w:vAlign w:val="center"/>
          </w:tcPr>
          <w:p w14:paraId="3B3F2AE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满分值</w:t>
            </w:r>
          </w:p>
        </w:tc>
        <w:tc>
          <w:tcPr>
            <w:tcW w:w="817" w:type="dxa"/>
            <w:tcBorders>
              <w:top w:val="single" w:color="auto" w:sz="4" w:space="0"/>
              <w:left w:val="nil"/>
              <w:bottom w:val="single" w:color="auto" w:sz="4" w:space="0"/>
              <w:right w:val="single" w:color="auto" w:sz="4" w:space="0"/>
            </w:tcBorders>
            <w:shd w:val="clear" w:color="auto" w:fill="auto"/>
            <w:noWrap/>
            <w:vAlign w:val="center"/>
          </w:tcPr>
          <w:p w14:paraId="1BE5C55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得分</w:t>
            </w:r>
          </w:p>
        </w:tc>
        <w:tc>
          <w:tcPr>
            <w:tcW w:w="820" w:type="dxa"/>
            <w:tcBorders>
              <w:top w:val="single" w:color="auto" w:sz="4" w:space="0"/>
              <w:left w:val="nil"/>
              <w:bottom w:val="single" w:color="auto" w:sz="4" w:space="0"/>
              <w:right w:val="single" w:color="auto" w:sz="4" w:space="0"/>
            </w:tcBorders>
            <w:shd w:val="clear" w:color="auto" w:fill="auto"/>
            <w:noWrap/>
            <w:vAlign w:val="center"/>
          </w:tcPr>
          <w:p w14:paraId="1ED697A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备注</w:t>
            </w:r>
          </w:p>
        </w:tc>
      </w:tr>
      <w:tr w14:paraId="53D69C0B">
        <w:tblPrEx>
          <w:tblCellMar>
            <w:top w:w="0" w:type="dxa"/>
            <w:left w:w="108" w:type="dxa"/>
            <w:bottom w:w="0" w:type="dxa"/>
            <w:right w:w="108" w:type="dxa"/>
          </w:tblCellMar>
        </w:tblPrEx>
        <w:trPr>
          <w:trHeight w:val="90" w:hRule="atLeast"/>
        </w:trPr>
        <w:tc>
          <w:tcPr>
            <w:tcW w:w="772" w:type="dxa"/>
            <w:vMerge w:val="restart"/>
            <w:tcBorders>
              <w:top w:val="nil"/>
              <w:left w:val="single" w:color="auto" w:sz="4" w:space="0"/>
              <w:bottom w:val="single" w:color="auto" w:sz="4" w:space="0"/>
              <w:right w:val="single" w:color="auto" w:sz="4" w:space="0"/>
            </w:tcBorders>
            <w:shd w:val="clear" w:color="auto" w:fill="auto"/>
            <w:noWrap/>
            <w:vAlign w:val="center"/>
          </w:tcPr>
          <w:p w14:paraId="69812D7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3340" w:type="dxa"/>
            <w:vMerge w:val="restart"/>
            <w:tcBorders>
              <w:top w:val="nil"/>
              <w:left w:val="single" w:color="auto" w:sz="4" w:space="0"/>
              <w:bottom w:val="single" w:color="auto" w:sz="4" w:space="0"/>
              <w:right w:val="single" w:color="auto" w:sz="4" w:space="0"/>
            </w:tcBorders>
            <w:shd w:val="clear" w:color="auto" w:fill="auto"/>
            <w:noWrap/>
            <w:vAlign w:val="center"/>
          </w:tcPr>
          <w:p w14:paraId="3F7AD6A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服务质量</w:t>
            </w:r>
          </w:p>
        </w:tc>
        <w:tc>
          <w:tcPr>
            <w:tcW w:w="7756" w:type="dxa"/>
            <w:tcBorders>
              <w:top w:val="nil"/>
              <w:left w:val="nil"/>
              <w:bottom w:val="single" w:color="auto" w:sz="4" w:space="0"/>
              <w:right w:val="single" w:color="auto" w:sz="4" w:space="0"/>
            </w:tcBorders>
            <w:shd w:val="clear" w:color="auto" w:fill="auto"/>
            <w:vAlign w:val="center"/>
          </w:tcPr>
          <w:p w14:paraId="522A0AD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问题解决能力</w:t>
            </w:r>
          </w:p>
        </w:tc>
        <w:tc>
          <w:tcPr>
            <w:tcW w:w="1635" w:type="dxa"/>
            <w:tcBorders>
              <w:top w:val="nil"/>
              <w:left w:val="nil"/>
              <w:bottom w:val="single" w:color="auto" w:sz="4" w:space="0"/>
              <w:right w:val="single" w:color="auto" w:sz="4" w:space="0"/>
            </w:tcBorders>
            <w:shd w:val="clear" w:color="auto" w:fill="auto"/>
            <w:noWrap/>
            <w:vAlign w:val="center"/>
          </w:tcPr>
          <w:p w14:paraId="18C09A0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5</w:t>
            </w:r>
          </w:p>
        </w:tc>
        <w:tc>
          <w:tcPr>
            <w:tcW w:w="817" w:type="dxa"/>
            <w:tcBorders>
              <w:top w:val="nil"/>
              <w:left w:val="nil"/>
              <w:bottom w:val="single" w:color="auto" w:sz="4" w:space="0"/>
              <w:right w:val="single" w:color="auto" w:sz="4" w:space="0"/>
            </w:tcBorders>
            <w:shd w:val="clear" w:color="auto" w:fill="auto"/>
            <w:noWrap/>
            <w:vAlign w:val="center"/>
          </w:tcPr>
          <w:p w14:paraId="250D9AF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536B42E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1C24E1EA">
        <w:tblPrEx>
          <w:tblCellMar>
            <w:top w:w="0" w:type="dxa"/>
            <w:left w:w="108" w:type="dxa"/>
            <w:bottom w:w="0" w:type="dxa"/>
            <w:right w:w="108" w:type="dxa"/>
          </w:tblCellMar>
        </w:tblPrEx>
        <w:trPr>
          <w:trHeight w:val="90" w:hRule="atLeast"/>
        </w:trPr>
        <w:tc>
          <w:tcPr>
            <w:tcW w:w="772" w:type="dxa"/>
            <w:vMerge w:val="continue"/>
            <w:tcBorders>
              <w:top w:val="nil"/>
              <w:left w:val="single" w:color="auto" w:sz="4" w:space="0"/>
              <w:bottom w:val="single" w:color="auto" w:sz="4" w:space="0"/>
              <w:right w:val="single" w:color="auto" w:sz="4" w:space="0"/>
            </w:tcBorders>
            <w:vAlign w:val="center"/>
          </w:tcPr>
          <w:p w14:paraId="5E198023">
            <w:pPr>
              <w:widowControl/>
              <w:jc w:val="left"/>
              <w:rPr>
                <w:rFonts w:ascii="仿宋" w:hAnsi="仿宋" w:eastAsia="仿宋" w:cs="宋体"/>
                <w:color w:val="000000"/>
                <w:kern w:val="0"/>
                <w:sz w:val="24"/>
                <w:szCs w:val="24"/>
              </w:rPr>
            </w:pPr>
          </w:p>
        </w:tc>
        <w:tc>
          <w:tcPr>
            <w:tcW w:w="3340" w:type="dxa"/>
            <w:vMerge w:val="continue"/>
            <w:tcBorders>
              <w:top w:val="nil"/>
              <w:left w:val="single" w:color="auto" w:sz="4" w:space="0"/>
              <w:bottom w:val="single" w:color="auto" w:sz="4" w:space="0"/>
              <w:right w:val="single" w:color="auto" w:sz="4" w:space="0"/>
            </w:tcBorders>
            <w:vAlign w:val="center"/>
          </w:tcPr>
          <w:p w14:paraId="6E818F5F">
            <w:pPr>
              <w:widowControl/>
              <w:jc w:val="left"/>
              <w:rPr>
                <w:rFonts w:ascii="仿宋" w:hAnsi="仿宋" w:eastAsia="仿宋" w:cs="宋体"/>
                <w:color w:val="000000"/>
                <w:kern w:val="0"/>
                <w:sz w:val="24"/>
                <w:szCs w:val="24"/>
              </w:rPr>
            </w:pPr>
          </w:p>
        </w:tc>
        <w:tc>
          <w:tcPr>
            <w:tcW w:w="7756" w:type="dxa"/>
            <w:tcBorders>
              <w:top w:val="nil"/>
              <w:left w:val="nil"/>
              <w:bottom w:val="single" w:color="auto" w:sz="4" w:space="0"/>
              <w:right w:val="single" w:color="auto" w:sz="4" w:space="0"/>
            </w:tcBorders>
            <w:shd w:val="clear" w:color="auto" w:fill="auto"/>
            <w:vAlign w:val="center"/>
          </w:tcPr>
          <w:p w14:paraId="3CF895E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沟通能力</w:t>
            </w:r>
          </w:p>
        </w:tc>
        <w:tc>
          <w:tcPr>
            <w:tcW w:w="1635" w:type="dxa"/>
            <w:tcBorders>
              <w:top w:val="nil"/>
              <w:left w:val="nil"/>
              <w:bottom w:val="single" w:color="auto" w:sz="4" w:space="0"/>
              <w:right w:val="single" w:color="auto" w:sz="4" w:space="0"/>
            </w:tcBorders>
            <w:shd w:val="clear" w:color="auto" w:fill="auto"/>
            <w:noWrap/>
            <w:vAlign w:val="center"/>
          </w:tcPr>
          <w:p w14:paraId="302C64C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5</w:t>
            </w:r>
          </w:p>
        </w:tc>
        <w:tc>
          <w:tcPr>
            <w:tcW w:w="817" w:type="dxa"/>
            <w:tcBorders>
              <w:top w:val="nil"/>
              <w:left w:val="nil"/>
              <w:bottom w:val="single" w:color="auto" w:sz="4" w:space="0"/>
              <w:right w:val="single" w:color="auto" w:sz="4" w:space="0"/>
            </w:tcBorders>
            <w:shd w:val="clear" w:color="auto" w:fill="auto"/>
            <w:noWrap/>
            <w:vAlign w:val="center"/>
          </w:tcPr>
          <w:p w14:paraId="3178FD8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431A161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18701706">
        <w:tblPrEx>
          <w:tblCellMar>
            <w:top w:w="0" w:type="dxa"/>
            <w:left w:w="108" w:type="dxa"/>
            <w:bottom w:w="0" w:type="dxa"/>
            <w:right w:w="108" w:type="dxa"/>
          </w:tblCellMar>
        </w:tblPrEx>
        <w:trPr>
          <w:trHeight w:val="90" w:hRule="atLeast"/>
        </w:trPr>
        <w:tc>
          <w:tcPr>
            <w:tcW w:w="772" w:type="dxa"/>
            <w:vMerge w:val="continue"/>
            <w:tcBorders>
              <w:top w:val="nil"/>
              <w:left w:val="single" w:color="auto" w:sz="4" w:space="0"/>
              <w:bottom w:val="single" w:color="auto" w:sz="4" w:space="0"/>
              <w:right w:val="single" w:color="auto" w:sz="4" w:space="0"/>
            </w:tcBorders>
            <w:vAlign w:val="center"/>
          </w:tcPr>
          <w:p w14:paraId="1629948B">
            <w:pPr>
              <w:widowControl/>
              <w:jc w:val="left"/>
              <w:rPr>
                <w:rFonts w:ascii="仿宋" w:hAnsi="仿宋" w:eastAsia="仿宋" w:cs="宋体"/>
                <w:color w:val="000000"/>
                <w:kern w:val="0"/>
                <w:sz w:val="24"/>
                <w:szCs w:val="24"/>
              </w:rPr>
            </w:pPr>
          </w:p>
        </w:tc>
        <w:tc>
          <w:tcPr>
            <w:tcW w:w="3340" w:type="dxa"/>
            <w:vMerge w:val="continue"/>
            <w:tcBorders>
              <w:top w:val="nil"/>
              <w:left w:val="single" w:color="auto" w:sz="4" w:space="0"/>
              <w:bottom w:val="single" w:color="auto" w:sz="4" w:space="0"/>
              <w:right w:val="single" w:color="auto" w:sz="4" w:space="0"/>
            </w:tcBorders>
            <w:vAlign w:val="center"/>
          </w:tcPr>
          <w:p w14:paraId="47259139">
            <w:pPr>
              <w:widowControl/>
              <w:jc w:val="left"/>
              <w:rPr>
                <w:rFonts w:ascii="仿宋" w:hAnsi="仿宋" w:eastAsia="仿宋" w:cs="宋体"/>
                <w:color w:val="000000"/>
                <w:kern w:val="0"/>
                <w:sz w:val="24"/>
                <w:szCs w:val="24"/>
              </w:rPr>
            </w:pPr>
          </w:p>
        </w:tc>
        <w:tc>
          <w:tcPr>
            <w:tcW w:w="7756" w:type="dxa"/>
            <w:tcBorders>
              <w:top w:val="nil"/>
              <w:left w:val="nil"/>
              <w:bottom w:val="single" w:color="auto" w:sz="4" w:space="0"/>
              <w:right w:val="single" w:color="auto" w:sz="4" w:space="0"/>
            </w:tcBorders>
            <w:shd w:val="clear" w:color="auto" w:fill="auto"/>
            <w:vAlign w:val="center"/>
          </w:tcPr>
          <w:p w14:paraId="0FB61BB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服务态度</w:t>
            </w:r>
          </w:p>
        </w:tc>
        <w:tc>
          <w:tcPr>
            <w:tcW w:w="1635" w:type="dxa"/>
            <w:tcBorders>
              <w:top w:val="nil"/>
              <w:left w:val="nil"/>
              <w:bottom w:val="single" w:color="auto" w:sz="4" w:space="0"/>
              <w:right w:val="single" w:color="auto" w:sz="4" w:space="0"/>
            </w:tcBorders>
            <w:shd w:val="clear" w:color="auto" w:fill="auto"/>
            <w:noWrap/>
            <w:vAlign w:val="center"/>
          </w:tcPr>
          <w:p w14:paraId="52F1001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10</w:t>
            </w:r>
          </w:p>
        </w:tc>
        <w:tc>
          <w:tcPr>
            <w:tcW w:w="817" w:type="dxa"/>
            <w:tcBorders>
              <w:top w:val="nil"/>
              <w:left w:val="nil"/>
              <w:bottom w:val="single" w:color="auto" w:sz="4" w:space="0"/>
              <w:right w:val="single" w:color="auto" w:sz="4" w:space="0"/>
            </w:tcBorders>
            <w:shd w:val="clear" w:color="auto" w:fill="auto"/>
            <w:noWrap/>
            <w:vAlign w:val="center"/>
          </w:tcPr>
          <w:p w14:paraId="48CF4A5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715A424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710E4615">
        <w:tblPrEx>
          <w:tblCellMar>
            <w:top w:w="0" w:type="dxa"/>
            <w:left w:w="108" w:type="dxa"/>
            <w:bottom w:w="0" w:type="dxa"/>
            <w:right w:w="108" w:type="dxa"/>
          </w:tblCellMar>
        </w:tblPrEx>
        <w:trPr>
          <w:trHeight w:val="90" w:hRule="atLeast"/>
        </w:trPr>
        <w:tc>
          <w:tcPr>
            <w:tcW w:w="772" w:type="dxa"/>
            <w:vMerge w:val="continue"/>
            <w:tcBorders>
              <w:top w:val="nil"/>
              <w:left w:val="single" w:color="auto" w:sz="4" w:space="0"/>
              <w:bottom w:val="single" w:color="auto" w:sz="4" w:space="0"/>
              <w:right w:val="single" w:color="auto" w:sz="4" w:space="0"/>
            </w:tcBorders>
            <w:vAlign w:val="center"/>
          </w:tcPr>
          <w:p w14:paraId="6DF321E4">
            <w:pPr>
              <w:widowControl/>
              <w:jc w:val="left"/>
              <w:rPr>
                <w:rFonts w:ascii="仿宋" w:hAnsi="仿宋" w:eastAsia="仿宋" w:cs="宋体"/>
                <w:color w:val="000000"/>
                <w:kern w:val="0"/>
                <w:sz w:val="24"/>
                <w:szCs w:val="24"/>
              </w:rPr>
            </w:pPr>
          </w:p>
        </w:tc>
        <w:tc>
          <w:tcPr>
            <w:tcW w:w="3340" w:type="dxa"/>
            <w:vMerge w:val="continue"/>
            <w:tcBorders>
              <w:top w:val="nil"/>
              <w:left w:val="single" w:color="auto" w:sz="4" w:space="0"/>
              <w:bottom w:val="single" w:color="auto" w:sz="4" w:space="0"/>
              <w:right w:val="single" w:color="auto" w:sz="4" w:space="0"/>
            </w:tcBorders>
            <w:vAlign w:val="center"/>
          </w:tcPr>
          <w:p w14:paraId="42727B9C">
            <w:pPr>
              <w:widowControl/>
              <w:jc w:val="left"/>
              <w:rPr>
                <w:rFonts w:ascii="仿宋" w:hAnsi="仿宋" w:eastAsia="仿宋" w:cs="宋体"/>
                <w:color w:val="000000"/>
                <w:kern w:val="0"/>
                <w:sz w:val="24"/>
                <w:szCs w:val="24"/>
              </w:rPr>
            </w:pPr>
          </w:p>
        </w:tc>
        <w:tc>
          <w:tcPr>
            <w:tcW w:w="7756" w:type="dxa"/>
            <w:tcBorders>
              <w:top w:val="nil"/>
              <w:left w:val="nil"/>
              <w:bottom w:val="single" w:color="auto" w:sz="4" w:space="0"/>
              <w:right w:val="single" w:color="auto" w:sz="4" w:space="0"/>
            </w:tcBorders>
            <w:shd w:val="clear" w:color="auto" w:fill="auto"/>
            <w:vAlign w:val="center"/>
          </w:tcPr>
          <w:p w14:paraId="0DE313F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投诉次数</w:t>
            </w:r>
          </w:p>
        </w:tc>
        <w:tc>
          <w:tcPr>
            <w:tcW w:w="1635" w:type="dxa"/>
            <w:tcBorders>
              <w:top w:val="nil"/>
              <w:left w:val="nil"/>
              <w:bottom w:val="single" w:color="auto" w:sz="4" w:space="0"/>
              <w:right w:val="single" w:color="auto" w:sz="4" w:space="0"/>
            </w:tcBorders>
            <w:shd w:val="clear" w:color="auto" w:fill="auto"/>
            <w:noWrap/>
            <w:vAlign w:val="center"/>
          </w:tcPr>
          <w:p w14:paraId="117F35B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5</w:t>
            </w:r>
          </w:p>
        </w:tc>
        <w:tc>
          <w:tcPr>
            <w:tcW w:w="817" w:type="dxa"/>
            <w:tcBorders>
              <w:top w:val="nil"/>
              <w:left w:val="nil"/>
              <w:bottom w:val="single" w:color="auto" w:sz="4" w:space="0"/>
              <w:right w:val="single" w:color="auto" w:sz="4" w:space="0"/>
            </w:tcBorders>
            <w:shd w:val="clear" w:color="auto" w:fill="auto"/>
            <w:noWrap/>
            <w:vAlign w:val="center"/>
          </w:tcPr>
          <w:p w14:paraId="214701B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7157A8A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79E8EF57">
        <w:tblPrEx>
          <w:tblCellMar>
            <w:top w:w="0" w:type="dxa"/>
            <w:left w:w="108" w:type="dxa"/>
            <w:bottom w:w="0" w:type="dxa"/>
            <w:right w:w="108" w:type="dxa"/>
          </w:tblCellMar>
        </w:tblPrEx>
        <w:trPr>
          <w:trHeight w:val="90" w:hRule="atLeast"/>
        </w:trPr>
        <w:tc>
          <w:tcPr>
            <w:tcW w:w="772" w:type="dxa"/>
            <w:vMerge w:val="continue"/>
            <w:tcBorders>
              <w:top w:val="nil"/>
              <w:left w:val="single" w:color="auto" w:sz="4" w:space="0"/>
              <w:bottom w:val="single" w:color="auto" w:sz="4" w:space="0"/>
              <w:right w:val="single" w:color="auto" w:sz="4" w:space="0"/>
            </w:tcBorders>
            <w:vAlign w:val="center"/>
          </w:tcPr>
          <w:p w14:paraId="4D290662">
            <w:pPr>
              <w:widowControl/>
              <w:jc w:val="left"/>
              <w:rPr>
                <w:rFonts w:ascii="仿宋" w:hAnsi="仿宋" w:eastAsia="仿宋" w:cs="宋体"/>
                <w:color w:val="000000"/>
                <w:kern w:val="0"/>
                <w:sz w:val="24"/>
                <w:szCs w:val="24"/>
              </w:rPr>
            </w:pPr>
          </w:p>
        </w:tc>
        <w:tc>
          <w:tcPr>
            <w:tcW w:w="3340" w:type="dxa"/>
            <w:vMerge w:val="continue"/>
            <w:tcBorders>
              <w:top w:val="nil"/>
              <w:left w:val="single" w:color="auto" w:sz="4" w:space="0"/>
              <w:bottom w:val="single" w:color="auto" w:sz="4" w:space="0"/>
              <w:right w:val="single" w:color="auto" w:sz="4" w:space="0"/>
            </w:tcBorders>
            <w:vAlign w:val="center"/>
          </w:tcPr>
          <w:p w14:paraId="34BDFE85">
            <w:pPr>
              <w:widowControl/>
              <w:jc w:val="left"/>
              <w:rPr>
                <w:rFonts w:ascii="仿宋" w:hAnsi="仿宋" w:eastAsia="仿宋" w:cs="宋体"/>
                <w:color w:val="000000"/>
                <w:kern w:val="0"/>
                <w:sz w:val="24"/>
                <w:szCs w:val="24"/>
              </w:rPr>
            </w:pPr>
          </w:p>
        </w:tc>
        <w:tc>
          <w:tcPr>
            <w:tcW w:w="7756" w:type="dxa"/>
            <w:tcBorders>
              <w:top w:val="nil"/>
              <w:left w:val="nil"/>
              <w:bottom w:val="single" w:color="auto" w:sz="4" w:space="0"/>
              <w:right w:val="single" w:color="auto" w:sz="4" w:space="0"/>
            </w:tcBorders>
            <w:shd w:val="clear" w:color="auto" w:fill="auto"/>
            <w:vAlign w:val="center"/>
          </w:tcPr>
          <w:p w14:paraId="0C92A8E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科室满意度调查</w:t>
            </w:r>
          </w:p>
        </w:tc>
        <w:tc>
          <w:tcPr>
            <w:tcW w:w="1635" w:type="dxa"/>
            <w:tcBorders>
              <w:top w:val="nil"/>
              <w:left w:val="nil"/>
              <w:bottom w:val="single" w:color="auto" w:sz="4" w:space="0"/>
              <w:right w:val="single" w:color="auto" w:sz="4" w:space="0"/>
            </w:tcBorders>
            <w:shd w:val="clear" w:color="auto" w:fill="auto"/>
            <w:noWrap/>
            <w:vAlign w:val="center"/>
          </w:tcPr>
          <w:p w14:paraId="5AA3271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5</w:t>
            </w:r>
          </w:p>
        </w:tc>
        <w:tc>
          <w:tcPr>
            <w:tcW w:w="817" w:type="dxa"/>
            <w:tcBorders>
              <w:top w:val="nil"/>
              <w:left w:val="nil"/>
              <w:bottom w:val="single" w:color="auto" w:sz="4" w:space="0"/>
              <w:right w:val="single" w:color="auto" w:sz="4" w:space="0"/>
            </w:tcBorders>
            <w:shd w:val="clear" w:color="auto" w:fill="auto"/>
            <w:noWrap/>
            <w:vAlign w:val="center"/>
          </w:tcPr>
          <w:p w14:paraId="11271FD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757A668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7CA7F080">
        <w:tblPrEx>
          <w:tblCellMar>
            <w:top w:w="0" w:type="dxa"/>
            <w:left w:w="108" w:type="dxa"/>
            <w:bottom w:w="0" w:type="dxa"/>
            <w:right w:w="108" w:type="dxa"/>
          </w:tblCellMar>
        </w:tblPrEx>
        <w:trPr>
          <w:trHeight w:val="90" w:hRule="atLeast"/>
        </w:trPr>
        <w:tc>
          <w:tcPr>
            <w:tcW w:w="772" w:type="dxa"/>
            <w:vMerge w:val="restart"/>
            <w:tcBorders>
              <w:top w:val="nil"/>
              <w:left w:val="single" w:color="auto" w:sz="4" w:space="0"/>
              <w:bottom w:val="single" w:color="000000" w:sz="4" w:space="0"/>
              <w:right w:val="single" w:color="auto" w:sz="4" w:space="0"/>
            </w:tcBorders>
            <w:shd w:val="clear" w:color="auto" w:fill="auto"/>
            <w:noWrap/>
            <w:vAlign w:val="center"/>
          </w:tcPr>
          <w:p w14:paraId="4F1F6E1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3340" w:type="dxa"/>
            <w:vMerge w:val="restart"/>
            <w:tcBorders>
              <w:top w:val="nil"/>
              <w:left w:val="single" w:color="auto" w:sz="4" w:space="0"/>
              <w:bottom w:val="single" w:color="000000" w:sz="4" w:space="0"/>
              <w:right w:val="single" w:color="auto" w:sz="4" w:space="0"/>
            </w:tcBorders>
            <w:shd w:val="clear" w:color="auto" w:fill="auto"/>
            <w:noWrap/>
            <w:vAlign w:val="center"/>
          </w:tcPr>
          <w:p w14:paraId="271A455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技术与管理能力</w:t>
            </w:r>
          </w:p>
        </w:tc>
        <w:tc>
          <w:tcPr>
            <w:tcW w:w="7756" w:type="dxa"/>
            <w:tcBorders>
              <w:top w:val="nil"/>
              <w:left w:val="nil"/>
              <w:bottom w:val="single" w:color="auto" w:sz="4" w:space="0"/>
              <w:right w:val="single" w:color="auto" w:sz="4" w:space="0"/>
            </w:tcBorders>
            <w:shd w:val="clear" w:color="auto" w:fill="auto"/>
            <w:vAlign w:val="center"/>
          </w:tcPr>
          <w:p w14:paraId="68FD44C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服务商具有管理项目能力</w:t>
            </w:r>
          </w:p>
        </w:tc>
        <w:tc>
          <w:tcPr>
            <w:tcW w:w="1635" w:type="dxa"/>
            <w:tcBorders>
              <w:top w:val="nil"/>
              <w:left w:val="nil"/>
              <w:bottom w:val="single" w:color="auto" w:sz="4" w:space="0"/>
              <w:right w:val="single" w:color="auto" w:sz="4" w:space="0"/>
            </w:tcBorders>
            <w:shd w:val="clear" w:color="auto" w:fill="auto"/>
            <w:noWrap/>
            <w:vAlign w:val="center"/>
          </w:tcPr>
          <w:p w14:paraId="7FD8935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5</w:t>
            </w:r>
          </w:p>
        </w:tc>
        <w:tc>
          <w:tcPr>
            <w:tcW w:w="817" w:type="dxa"/>
            <w:tcBorders>
              <w:top w:val="nil"/>
              <w:left w:val="nil"/>
              <w:bottom w:val="single" w:color="auto" w:sz="4" w:space="0"/>
              <w:right w:val="single" w:color="auto" w:sz="4" w:space="0"/>
            </w:tcBorders>
            <w:shd w:val="clear" w:color="auto" w:fill="auto"/>
            <w:noWrap/>
            <w:vAlign w:val="center"/>
          </w:tcPr>
          <w:p w14:paraId="413F9B2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1BC8FF6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565E7CDC">
        <w:tblPrEx>
          <w:tblCellMar>
            <w:top w:w="0" w:type="dxa"/>
            <w:left w:w="108" w:type="dxa"/>
            <w:bottom w:w="0" w:type="dxa"/>
            <w:right w:w="108" w:type="dxa"/>
          </w:tblCellMar>
        </w:tblPrEx>
        <w:trPr>
          <w:trHeight w:val="90" w:hRule="atLeast"/>
        </w:trPr>
        <w:tc>
          <w:tcPr>
            <w:tcW w:w="772" w:type="dxa"/>
            <w:vMerge w:val="continue"/>
            <w:tcBorders>
              <w:top w:val="nil"/>
              <w:left w:val="single" w:color="auto" w:sz="4" w:space="0"/>
              <w:bottom w:val="single" w:color="000000" w:sz="4" w:space="0"/>
              <w:right w:val="single" w:color="auto" w:sz="4" w:space="0"/>
            </w:tcBorders>
            <w:vAlign w:val="center"/>
          </w:tcPr>
          <w:p w14:paraId="6C65CB15">
            <w:pPr>
              <w:widowControl/>
              <w:jc w:val="left"/>
              <w:rPr>
                <w:rFonts w:ascii="仿宋" w:hAnsi="仿宋" w:eastAsia="仿宋" w:cs="宋体"/>
                <w:color w:val="000000"/>
                <w:kern w:val="0"/>
                <w:sz w:val="24"/>
                <w:szCs w:val="24"/>
              </w:rPr>
            </w:pPr>
          </w:p>
        </w:tc>
        <w:tc>
          <w:tcPr>
            <w:tcW w:w="3340" w:type="dxa"/>
            <w:vMerge w:val="continue"/>
            <w:tcBorders>
              <w:top w:val="nil"/>
              <w:left w:val="single" w:color="auto" w:sz="4" w:space="0"/>
              <w:bottom w:val="single" w:color="000000" w:sz="4" w:space="0"/>
              <w:right w:val="single" w:color="auto" w:sz="4" w:space="0"/>
            </w:tcBorders>
            <w:vAlign w:val="center"/>
          </w:tcPr>
          <w:p w14:paraId="3837F8A7">
            <w:pPr>
              <w:widowControl/>
              <w:jc w:val="left"/>
              <w:rPr>
                <w:rFonts w:ascii="仿宋" w:hAnsi="仿宋" w:eastAsia="仿宋" w:cs="宋体"/>
                <w:color w:val="000000"/>
                <w:kern w:val="0"/>
                <w:sz w:val="24"/>
                <w:szCs w:val="24"/>
              </w:rPr>
            </w:pPr>
          </w:p>
        </w:tc>
        <w:tc>
          <w:tcPr>
            <w:tcW w:w="7756" w:type="dxa"/>
            <w:tcBorders>
              <w:top w:val="nil"/>
              <w:left w:val="nil"/>
              <w:bottom w:val="single" w:color="auto" w:sz="4" w:space="0"/>
              <w:right w:val="single" w:color="auto" w:sz="4" w:space="0"/>
            </w:tcBorders>
            <w:shd w:val="clear" w:color="auto" w:fill="auto"/>
            <w:vAlign w:val="center"/>
          </w:tcPr>
          <w:p w14:paraId="0660A7A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服务商技术能力评估</w:t>
            </w:r>
          </w:p>
        </w:tc>
        <w:tc>
          <w:tcPr>
            <w:tcW w:w="1635" w:type="dxa"/>
            <w:tcBorders>
              <w:top w:val="nil"/>
              <w:left w:val="nil"/>
              <w:bottom w:val="single" w:color="auto" w:sz="4" w:space="0"/>
              <w:right w:val="single" w:color="auto" w:sz="4" w:space="0"/>
            </w:tcBorders>
            <w:shd w:val="clear" w:color="auto" w:fill="auto"/>
            <w:noWrap/>
            <w:vAlign w:val="center"/>
          </w:tcPr>
          <w:p w14:paraId="216A8B5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5</w:t>
            </w:r>
          </w:p>
        </w:tc>
        <w:tc>
          <w:tcPr>
            <w:tcW w:w="817" w:type="dxa"/>
            <w:tcBorders>
              <w:top w:val="nil"/>
              <w:left w:val="nil"/>
              <w:bottom w:val="single" w:color="auto" w:sz="4" w:space="0"/>
              <w:right w:val="single" w:color="auto" w:sz="4" w:space="0"/>
            </w:tcBorders>
            <w:shd w:val="clear" w:color="auto" w:fill="auto"/>
            <w:noWrap/>
            <w:vAlign w:val="center"/>
          </w:tcPr>
          <w:p w14:paraId="5C8A35D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0DDA28C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203A0C24">
        <w:tblPrEx>
          <w:tblCellMar>
            <w:top w:w="0" w:type="dxa"/>
            <w:left w:w="108" w:type="dxa"/>
            <w:bottom w:w="0" w:type="dxa"/>
            <w:right w:w="108" w:type="dxa"/>
          </w:tblCellMar>
        </w:tblPrEx>
        <w:trPr>
          <w:trHeight w:val="90" w:hRule="atLeast"/>
        </w:trPr>
        <w:tc>
          <w:tcPr>
            <w:tcW w:w="772" w:type="dxa"/>
            <w:vMerge w:val="restart"/>
            <w:tcBorders>
              <w:top w:val="nil"/>
              <w:left w:val="single" w:color="auto" w:sz="4" w:space="0"/>
              <w:bottom w:val="single" w:color="000000" w:sz="4" w:space="0"/>
              <w:right w:val="single" w:color="auto" w:sz="4" w:space="0"/>
            </w:tcBorders>
            <w:shd w:val="clear" w:color="auto" w:fill="auto"/>
            <w:noWrap/>
            <w:vAlign w:val="center"/>
          </w:tcPr>
          <w:p w14:paraId="03AA02F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3340" w:type="dxa"/>
            <w:vMerge w:val="restart"/>
            <w:tcBorders>
              <w:top w:val="nil"/>
              <w:left w:val="single" w:color="auto" w:sz="4" w:space="0"/>
              <w:bottom w:val="single" w:color="000000" w:sz="4" w:space="0"/>
              <w:right w:val="single" w:color="auto" w:sz="4" w:space="0"/>
            </w:tcBorders>
            <w:shd w:val="clear" w:color="auto" w:fill="auto"/>
            <w:noWrap/>
            <w:vAlign w:val="center"/>
          </w:tcPr>
          <w:p w14:paraId="3DA13F6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服务质量保证能力</w:t>
            </w:r>
          </w:p>
        </w:tc>
        <w:tc>
          <w:tcPr>
            <w:tcW w:w="7756" w:type="dxa"/>
            <w:tcBorders>
              <w:top w:val="nil"/>
              <w:left w:val="nil"/>
              <w:bottom w:val="single" w:color="auto" w:sz="4" w:space="0"/>
              <w:right w:val="single" w:color="auto" w:sz="4" w:space="0"/>
            </w:tcBorders>
            <w:shd w:val="clear" w:color="auto" w:fill="auto"/>
            <w:vAlign w:val="center"/>
          </w:tcPr>
          <w:p w14:paraId="6251D8B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服务质量能力</w:t>
            </w:r>
          </w:p>
        </w:tc>
        <w:tc>
          <w:tcPr>
            <w:tcW w:w="1635" w:type="dxa"/>
            <w:tcBorders>
              <w:top w:val="nil"/>
              <w:left w:val="nil"/>
              <w:bottom w:val="single" w:color="auto" w:sz="4" w:space="0"/>
              <w:right w:val="single" w:color="auto" w:sz="4" w:space="0"/>
            </w:tcBorders>
            <w:shd w:val="clear" w:color="auto" w:fill="auto"/>
            <w:noWrap/>
            <w:vAlign w:val="center"/>
          </w:tcPr>
          <w:p w14:paraId="6D8CD89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10</w:t>
            </w:r>
          </w:p>
        </w:tc>
        <w:tc>
          <w:tcPr>
            <w:tcW w:w="817" w:type="dxa"/>
            <w:tcBorders>
              <w:top w:val="nil"/>
              <w:left w:val="nil"/>
              <w:bottom w:val="single" w:color="auto" w:sz="4" w:space="0"/>
              <w:right w:val="single" w:color="auto" w:sz="4" w:space="0"/>
            </w:tcBorders>
            <w:shd w:val="clear" w:color="auto" w:fill="auto"/>
            <w:noWrap/>
            <w:vAlign w:val="center"/>
          </w:tcPr>
          <w:p w14:paraId="3E67230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7B7742B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73BC7468">
        <w:tblPrEx>
          <w:tblCellMar>
            <w:top w:w="0" w:type="dxa"/>
            <w:left w:w="108" w:type="dxa"/>
            <w:bottom w:w="0" w:type="dxa"/>
            <w:right w:w="108" w:type="dxa"/>
          </w:tblCellMar>
        </w:tblPrEx>
        <w:trPr>
          <w:trHeight w:val="90" w:hRule="atLeast"/>
        </w:trPr>
        <w:tc>
          <w:tcPr>
            <w:tcW w:w="772" w:type="dxa"/>
            <w:vMerge w:val="continue"/>
            <w:tcBorders>
              <w:top w:val="nil"/>
              <w:left w:val="single" w:color="auto" w:sz="4" w:space="0"/>
              <w:bottom w:val="single" w:color="000000" w:sz="4" w:space="0"/>
              <w:right w:val="single" w:color="auto" w:sz="4" w:space="0"/>
            </w:tcBorders>
            <w:vAlign w:val="center"/>
          </w:tcPr>
          <w:p w14:paraId="7308DC70">
            <w:pPr>
              <w:widowControl/>
              <w:jc w:val="left"/>
              <w:rPr>
                <w:rFonts w:ascii="仿宋" w:hAnsi="仿宋" w:eastAsia="仿宋" w:cs="宋体"/>
                <w:color w:val="000000"/>
                <w:kern w:val="0"/>
                <w:sz w:val="24"/>
                <w:szCs w:val="24"/>
              </w:rPr>
            </w:pPr>
          </w:p>
        </w:tc>
        <w:tc>
          <w:tcPr>
            <w:tcW w:w="3340" w:type="dxa"/>
            <w:vMerge w:val="continue"/>
            <w:tcBorders>
              <w:top w:val="nil"/>
              <w:left w:val="single" w:color="auto" w:sz="4" w:space="0"/>
              <w:bottom w:val="single" w:color="000000" w:sz="4" w:space="0"/>
              <w:right w:val="single" w:color="auto" w:sz="4" w:space="0"/>
            </w:tcBorders>
            <w:vAlign w:val="center"/>
          </w:tcPr>
          <w:p w14:paraId="3CDD176D">
            <w:pPr>
              <w:widowControl/>
              <w:jc w:val="left"/>
              <w:rPr>
                <w:rFonts w:ascii="仿宋" w:hAnsi="仿宋" w:eastAsia="仿宋" w:cs="宋体"/>
                <w:color w:val="000000"/>
                <w:kern w:val="0"/>
                <w:sz w:val="24"/>
                <w:szCs w:val="24"/>
              </w:rPr>
            </w:pPr>
          </w:p>
        </w:tc>
        <w:tc>
          <w:tcPr>
            <w:tcW w:w="7756" w:type="dxa"/>
            <w:tcBorders>
              <w:top w:val="nil"/>
              <w:left w:val="nil"/>
              <w:bottom w:val="single" w:color="auto" w:sz="4" w:space="0"/>
              <w:right w:val="single" w:color="auto" w:sz="4" w:space="0"/>
            </w:tcBorders>
            <w:shd w:val="clear" w:color="auto" w:fill="auto"/>
            <w:vAlign w:val="center"/>
          </w:tcPr>
          <w:p w14:paraId="0751FD7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保证持续服务质量能力</w:t>
            </w:r>
          </w:p>
        </w:tc>
        <w:tc>
          <w:tcPr>
            <w:tcW w:w="1635" w:type="dxa"/>
            <w:tcBorders>
              <w:top w:val="nil"/>
              <w:left w:val="nil"/>
              <w:bottom w:val="single" w:color="auto" w:sz="4" w:space="0"/>
              <w:right w:val="single" w:color="auto" w:sz="4" w:space="0"/>
            </w:tcBorders>
            <w:shd w:val="clear" w:color="auto" w:fill="auto"/>
            <w:noWrap/>
            <w:vAlign w:val="center"/>
          </w:tcPr>
          <w:p w14:paraId="54652EC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10</w:t>
            </w:r>
          </w:p>
        </w:tc>
        <w:tc>
          <w:tcPr>
            <w:tcW w:w="817" w:type="dxa"/>
            <w:tcBorders>
              <w:top w:val="nil"/>
              <w:left w:val="nil"/>
              <w:bottom w:val="single" w:color="auto" w:sz="4" w:space="0"/>
              <w:right w:val="single" w:color="auto" w:sz="4" w:space="0"/>
            </w:tcBorders>
            <w:shd w:val="clear" w:color="auto" w:fill="auto"/>
            <w:noWrap/>
            <w:vAlign w:val="center"/>
          </w:tcPr>
          <w:p w14:paraId="791EA2D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0EE7A0B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67BE4135">
        <w:tblPrEx>
          <w:tblCellMar>
            <w:top w:w="0" w:type="dxa"/>
            <w:left w:w="108" w:type="dxa"/>
            <w:bottom w:w="0" w:type="dxa"/>
            <w:right w:w="108" w:type="dxa"/>
          </w:tblCellMar>
        </w:tblPrEx>
        <w:trPr>
          <w:trHeight w:val="9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016E0EF3">
            <w:pPr>
              <w:widowControl/>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3340" w:type="dxa"/>
            <w:tcBorders>
              <w:top w:val="nil"/>
              <w:left w:val="nil"/>
              <w:bottom w:val="single" w:color="auto" w:sz="4" w:space="0"/>
              <w:right w:val="single" w:color="auto" w:sz="4" w:space="0"/>
            </w:tcBorders>
            <w:shd w:val="clear" w:color="auto" w:fill="auto"/>
            <w:noWrap/>
            <w:vAlign w:val="center"/>
          </w:tcPr>
          <w:p w14:paraId="18FBAE3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设备与设施提升能力</w:t>
            </w:r>
          </w:p>
        </w:tc>
        <w:tc>
          <w:tcPr>
            <w:tcW w:w="7756" w:type="dxa"/>
            <w:tcBorders>
              <w:top w:val="nil"/>
              <w:left w:val="nil"/>
              <w:bottom w:val="single" w:color="auto" w:sz="4" w:space="0"/>
              <w:right w:val="single" w:color="auto" w:sz="4" w:space="0"/>
            </w:tcBorders>
            <w:shd w:val="clear" w:color="auto" w:fill="auto"/>
            <w:noWrap/>
            <w:vAlign w:val="center"/>
          </w:tcPr>
          <w:p w14:paraId="0E049D9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持续的服务设备提升能力</w:t>
            </w:r>
          </w:p>
        </w:tc>
        <w:tc>
          <w:tcPr>
            <w:tcW w:w="1635" w:type="dxa"/>
            <w:tcBorders>
              <w:top w:val="nil"/>
              <w:left w:val="nil"/>
              <w:bottom w:val="single" w:color="auto" w:sz="4" w:space="0"/>
              <w:right w:val="single" w:color="auto" w:sz="4" w:space="0"/>
            </w:tcBorders>
            <w:shd w:val="clear" w:color="auto" w:fill="auto"/>
            <w:noWrap/>
            <w:vAlign w:val="center"/>
          </w:tcPr>
          <w:p w14:paraId="3FB3FD8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10</w:t>
            </w:r>
          </w:p>
        </w:tc>
        <w:tc>
          <w:tcPr>
            <w:tcW w:w="817" w:type="dxa"/>
            <w:tcBorders>
              <w:top w:val="nil"/>
              <w:left w:val="nil"/>
              <w:bottom w:val="single" w:color="auto" w:sz="4" w:space="0"/>
              <w:right w:val="single" w:color="auto" w:sz="4" w:space="0"/>
            </w:tcBorders>
            <w:shd w:val="clear" w:color="auto" w:fill="auto"/>
            <w:noWrap/>
            <w:vAlign w:val="center"/>
          </w:tcPr>
          <w:p w14:paraId="163B2DE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2534218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2274C3E3">
        <w:tblPrEx>
          <w:tblCellMar>
            <w:top w:w="0" w:type="dxa"/>
            <w:left w:w="108" w:type="dxa"/>
            <w:bottom w:w="0" w:type="dxa"/>
            <w:right w:w="108" w:type="dxa"/>
          </w:tblCellMar>
        </w:tblPrEx>
        <w:trPr>
          <w:trHeight w:val="9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019CF032">
            <w:pPr>
              <w:widowControl/>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3340" w:type="dxa"/>
            <w:tcBorders>
              <w:top w:val="nil"/>
              <w:left w:val="nil"/>
              <w:bottom w:val="single" w:color="auto" w:sz="4" w:space="0"/>
              <w:right w:val="single" w:color="auto" w:sz="4" w:space="0"/>
            </w:tcBorders>
            <w:shd w:val="clear" w:color="auto" w:fill="auto"/>
            <w:noWrap/>
            <w:vAlign w:val="center"/>
          </w:tcPr>
          <w:p w14:paraId="3F6F1C3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安全保障能力</w:t>
            </w:r>
          </w:p>
        </w:tc>
        <w:tc>
          <w:tcPr>
            <w:tcW w:w="7756" w:type="dxa"/>
            <w:tcBorders>
              <w:top w:val="nil"/>
              <w:left w:val="nil"/>
              <w:bottom w:val="single" w:color="auto" w:sz="4" w:space="0"/>
              <w:right w:val="single" w:color="auto" w:sz="4" w:space="0"/>
            </w:tcBorders>
            <w:shd w:val="clear" w:color="auto" w:fill="auto"/>
            <w:noWrap/>
            <w:vAlign w:val="center"/>
          </w:tcPr>
          <w:p w14:paraId="1007784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服务公司对服务人员工作场所、设施安全保障能力</w:t>
            </w:r>
          </w:p>
        </w:tc>
        <w:tc>
          <w:tcPr>
            <w:tcW w:w="1635" w:type="dxa"/>
            <w:tcBorders>
              <w:top w:val="nil"/>
              <w:left w:val="nil"/>
              <w:bottom w:val="single" w:color="auto" w:sz="4" w:space="0"/>
              <w:right w:val="single" w:color="auto" w:sz="4" w:space="0"/>
            </w:tcBorders>
            <w:shd w:val="clear" w:color="auto" w:fill="auto"/>
            <w:noWrap/>
            <w:vAlign w:val="center"/>
          </w:tcPr>
          <w:p w14:paraId="3A8D602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10</w:t>
            </w:r>
          </w:p>
        </w:tc>
        <w:tc>
          <w:tcPr>
            <w:tcW w:w="817" w:type="dxa"/>
            <w:tcBorders>
              <w:top w:val="nil"/>
              <w:left w:val="nil"/>
              <w:bottom w:val="single" w:color="auto" w:sz="4" w:space="0"/>
              <w:right w:val="single" w:color="auto" w:sz="4" w:space="0"/>
            </w:tcBorders>
            <w:shd w:val="clear" w:color="auto" w:fill="auto"/>
            <w:noWrap/>
            <w:vAlign w:val="center"/>
          </w:tcPr>
          <w:p w14:paraId="1D35762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43C8855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675D05B0">
        <w:tblPrEx>
          <w:tblCellMar>
            <w:top w:w="0" w:type="dxa"/>
            <w:left w:w="108" w:type="dxa"/>
            <w:bottom w:w="0" w:type="dxa"/>
            <w:right w:w="108" w:type="dxa"/>
          </w:tblCellMar>
        </w:tblPrEx>
        <w:trPr>
          <w:trHeight w:val="9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708B8C4B">
            <w:pPr>
              <w:widowControl/>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3340" w:type="dxa"/>
            <w:tcBorders>
              <w:top w:val="nil"/>
              <w:left w:val="nil"/>
              <w:bottom w:val="single" w:color="auto" w:sz="4" w:space="0"/>
              <w:right w:val="single" w:color="auto" w:sz="4" w:space="0"/>
            </w:tcBorders>
            <w:shd w:val="clear" w:color="auto" w:fill="auto"/>
            <w:noWrap/>
            <w:vAlign w:val="center"/>
          </w:tcPr>
          <w:p w14:paraId="5A5C0B7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响应速度</w:t>
            </w:r>
          </w:p>
        </w:tc>
        <w:tc>
          <w:tcPr>
            <w:tcW w:w="7756" w:type="dxa"/>
            <w:tcBorders>
              <w:top w:val="nil"/>
              <w:left w:val="nil"/>
              <w:bottom w:val="single" w:color="auto" w:sz="4" w:space="0"/>
              <w:right w:val="single" w:color="auto" w:sz="4" w:space="0"/>
            </w:tcBorders>
            <w:shd w:val="clear" w:color="auto" w:fill="auto"/>
            <w:noWrap/>
            <w:vAlign w:val="center"/>
          </w:tcPr>
          <w:p w14:paraId="77290B3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响应速度是否及时准确</w:t>
            </w:r>
          </w:p>
        </w:tc>
        <w:tc>
          <w:tcPr>
            <w:tcW w:w="1635" w:type="dxa"/>
            <w:tcBorders>
              <w:top w:val="nil"/>
              <w:left w:val="nil"/>
              <w:bottom w:val="single" w:color="auto" w:sz="4" w:space="0"/>
              <w:right w:val="single" w:color="auto" w:sz="4" w:space="0"/>
            </w:tcBorders>
            <w:shd w:val="clear" w:color="auto" w:fill="auto"/>
            <w:noWrap/>
            <w:vAlign w:val="center"/>
          </w:tcPr>
          <w:p w14:paraId="7E6230E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10</w:t>
            </w:r>
          </w:p>
        </w:tc>
        <w:tc>
          <w:tcPr>
            <w:tcW w:w="817" w:type="dxa"/>
            <w:tcBorders>
              <w:top w:val="nil"/>
              <w:left w:val="nil"/>
              <w:bottom w:val="single" w:color="auto" w:sz="4" w:space="0"/>
              <w:right w:val="single" w:color="auto" w:sz="4" w:space="0"/>
            </w:tcBorders>
            <w:shd w:val="clear" w:color="auto" w:fill="auto"/>
            <w:noWrap/>
            <w:vAlign w:val="center"/>
          </w:tcPr>
          <w:p w14:paraId="081F780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17E7824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15072089">
        <w:tblPrEx>
          <w:tblCellMar>
            <w:top w:w="0" w:type="dxa"/>
            <w:left w:w="108" w:type="dxa"/>
            <w:bottom w:w="0" w:type="dxa"/>
            <w:right w:w="108" w:type="dxa"/>
          </w:tblCellMar>
        </w:tblPrEx>
        <w:trPr>
          <w:trHeight w:val="9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337C24C0">
            <w:pPr>
              <w:widowControl/>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3340" w:type="dxa"/>
            <w:tcBorders>
              <w:top w:val="nil"/>
              <w:left w:val="nil"/>
              <w:bottom w:val="single" w:color="auto" w:sz="4" w:space="0"/>
              <w:right w:val="single" w:color="auto" w:sz="4" w:space="0"/>
            </w:tcBorders>
            <w:shd w:val="clear" w:color="auto" w:fill="auto"/>
            <w:noWrap/>
            <w:vAlign w:val="center"/>
          </w:tcPr>
          <w:p w14:paraId="11286B5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与医院合作能力</w:t>
            </w:r>
          </w:p>
        </w:tc>
        <w:tc>
          <w:tcPr>
            <w:tcW w:w="7756" w:type="dxa"/>
            <w:tcBorders>
              <w:top w:val="nil"/>
              <w:left w:val="nil"/>
              <w:bottom w:val="single" w:color="auto" w:sz="4" w:space="0"/>
              <w:right w:val="single" w:color="auto" w:sz="4" w:space="0"/>
            </w:tcBorders>
            <w:shd w:val="clear" w:color="auto" w:fill="auto"/>
            <w:vAlign w:val="center"/>
          </w:tcPr>
          <w:p w14:paraId="0AACB9B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服务商能积极主动与医院合作，与相关部门或科室进行良好的沟通与协调，可以通过考核合作项目情况、沟通协作情况来评估</w:t>
            </w:r>
          </w:p>
        </w:tc>
        <w:tc>
          <w:tcPr>
            <w:tcW w:w="1635" w:type="dxa"/>
            <w:tcBorders>
              <w:top w:val="nil"/>
              <w:left w:val="nil"/>
              <w:bottom w:val="single" w:color="auto" w:sz="4" w:space="0"/>
              <w:right w:val="single" w:color="auto" w:sz="4" w:space="0"/>
            </w:tcBorders>
            <w:shd w:val="clear" w:color="auto" w:fill="auto"/>
            <w:noWrap/>
            <w:vAlign w:val="center"/>
          </w:tcPr>
          <w:p w14:paraId="604C58D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10</w:t>
            </w:r>
          </w:p>
        </w:tc>
        <w:tc>
          <w:tcPr>
            <w:tcW w:w="817" w:type="dxa"/>
            <w:tcBorders>
              <w:top w:val="nil"/>
              <w:left w:val="nil"/>
              <w:bottom w:val="single" w:color="auto" w:sz="4" w:space="0"/>
              <w:right w:val="single" w:color="auto" w:sz="4" w:space="0"/>
            </w:tcBorders>
            <w:shd w:val="clear" w:color="auto" w:fill="auto"/>
            <w:noWrap/>
            <w:vAlign w:val="center"/>
          </w:tcPr>
          <w:p w14:paraId="4FD177B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6ACE361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518C4197">
        <w:tblPrEx>
          <w:tblCellMar>
            <w:top w:w="0" w:type="dxa"/>
            <w:left w:w="108" w:type="dxa"/>
            <w:bottom w:w="0" w:type="dxa"/>
            <w:right w:w="108" w:type="dxa"/>
          </w:tblCellMar>
        </w:tblPrEx>
        <w:trPr>
          <w:trHeight w:val="9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793C00F1">
            <w:pPr>
              <w:widowControl/>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3340" w:type="dxa"/>
            <w:tcBorders>
              <w:top w:val="nil"/>
              <w:left w:val="nil"/>
              <w:bottom w:val="single" w:color="auto" w:sz="4" w:space="0"/>
              <w:right w:val="single" w:color="auto" w:sz="4" w:space="0"/>
            </w:tcBorders>
            <w:shd w:val="clear" w:color="auto" w:fill="auto"/>
            <w:noWrap/>
            <w:vAlign w:val="center"/>
          </w:tcPr>
          <w:p w14:paraId="5FA0497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w:t>
            </w:r>
          </w:p>
        </w:tc>
        <w:tc>
          <w:tcPr>
            <w:tcW w:w="7756" w:type="dxa"/>
            <w:tcBorders>
              <w:top w:val="nil"/>
              <w:left w:val="nil"/>
              <w:bottom w:val="single" w:color="auto" w:sz="4" w:space="0"/>
              <w:right w:val="single" w:color="auto" w:sz="4" w:space="0"/>
            </w:tcBorders>
            <w:shd w:val="clear" w:color="auto" w:fill="auto"/>
            <w:noWrap/>
            <w:vAlign w:val="center"/>
          </w:tcPr>
          <w:p w14:paraId="233C5EB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14:paraId="57AB4A6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17" w:type="dxa"/>
            <w:tcBorders>
              <w:top w:val="nil"/>
              <w:left w:val="nil"/>
              <w:bottom w:val="single" w:color="auto" w:sz="4" w:space="0"/>
              <w:right w:val="single" w:color="auto" w:sz="4" w:space="0"/>
            </w:tcBorders>
            <w:shd w:val="clear" w:color="auto" w:fill="auto"/>
            <w:noWrap/>
            <w:vAlign w:val="center"/>
          </w:tcPr>
          <w:p w14:paraId="1B17660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34C5F3A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608A43AF">
        <w:tblPrEx>
          <w:tblCellMar>
            <w:top w:w="0" w:type="dxa"/>
            <w:left w:w="108" w:type="dxa"/>
            <w:bottom w:w="0" w:type="dxa"/>
            <w:right w:w="108" w:type="dxa"/>
          </w:tblCellMar>
        </w:tblPrEx>
        <w:trPr>
          <w:trHeight w:val="90" w:hRule="atLeast"/>
        </w:trPr>
        <w:tc>
          <w:tcPr>
            <w:tcW w:w="772" w:type="dxa"/>
            <w:tcBorders>
              <w:top w:val="nil"/>
              <w:left w:val="single" w:color="auto" w:sz="4" w:space="0"/>
              <w:bottom w:val="single" w:color="auto" w:sz="4" w:space="0"/>
              <w:right w:val="single" w:color="auto" w:sz="4" w:space="0"/>
            </w:tcBorders>
            <w:shd w:val="clear" w:color="auto" w:fill="auto"/>
            <w:noWrap/>
            <w:vAlign w:val="center"/>
          </w:tcPr>
          <w:p w14:paraId="1E76F79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总分</w:t>
            </w:r>
          </w:p>
        </w:tc>
        <w:tc>
          <w:tcPr>
            <w:tcW w:w="3340" w:type="dxa"/>
            <w:tcBorders>
              <w:top w:val="nil"/>
              <w:left w:val="nil"/>
              <w:bottom w:val="single" w:color="auto" w:sz="4" w:space="0"/>
              <w:right w:val="single" w:color="auto" w:sz="4" w:space="0"/>
            </w:tcBorders>
            <w:shd w:val="clear" w:color="auto" w:fill="auto"/>
            <w:noWrap/>
            <w:vAlign w:val="center"/>
          </w:tcPr>
          <w:p w14:paraId="4FEBD58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756" w:type="dxa"/>
            <w:tcBorders>
              <w:top w:val="nil"/>
              <w:left w:val="nil"/>
              <w:bottom w:val="single" w:color="auto" w:sz="4" w:space="0"/>
              <w:right w:val="single" w:color="auto" w:sz="4" w:space="0"/>
            </w:tcBorders>
            <w:shd w:val="clear" w:color="auto" w:fill="auto"/>
            <w:noWrap/>
            <w:vAlign w:val="center"/>
          </w:tcPr>
          <w:p w14:paraId="0D3E9F9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635" w:type="dxa"/>
            <w:tcBorders>
              <w:top w:val="nil"/>
              <w:left w:val="nil"/>
              <w:bottom w:val="single" w:color="auto" w:sz="4" w:space="0"/>
              <w:right w:val="single" w:color="auto" w:sz="4" w:space="0"/>
            </w:tcBorders>
            <w:shd w:val="clear" w:color="auto" w:fill="auto"/>
            <w:noWrap/>
            <w:vAlign w:val="center"/>
          </w:tcPr>
          <w:p w14:paraId="4EF6C19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100</w:t>
            </w:r>
          </w:p>
        </w:tc>
        <w:tc>
          <w:tcPr>
            <w:tcW w:w="817" w:type="dxa"/>
            <w:tcBorders>
              <w:top w:val="nil"/>
              <w:left w:val="nil"/>
              <w:bottom w:val="single" w:color="auto" w:sz="4" w:space="0"/>
              <w:right w:val="single" w:color="auto" w:sz="4" w:space="0"/>
            </w:tcBorders>
            <w:shd w:val="clear" w:color="auto" w:fill="auto"/>
            <w:noWrap/>
            <w:vAlign w:val="center"/>
          </w:tcPr>
          <w:p w14:paraId="41157D3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820" w:type="dxa"/>
            <w:tcBorders>
              <w:top w:val="nil"/>
              <w:left w:val="nil"/>
              <w:bottom w:val="single" w:color="auto" w:sz="4" w:space="0"/>
              <w:right w:val="single" w:color="auto" w:sz="4" w:space="0"/>
            </w:tcBorders>
            <w:shd w:val="clear" w:color="auto" w:fill="auto"/>
            <w:noWrap/>
            <w:vAlign w:val="center"/>
          </w:tcPr>
          <w:p w14:paraId="33E83462">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r>
      <w:tr w14:paraId="328B44A0">
        <w:tblPrEx>
          <w:tblCellMar>
            <w:top w:w="0" w:type="dxa"/>
            <w:left w:w="108" w:type="dxa"/>
            <w:bottom w:w="0" w:type="dxa"/>
            <w:right w:w="108" w:type="dxa"/>
          </w:tblCellMar>
        </w:tblPrEx>
        <w:trPr>
          <w:trHeight w:val="90" w:hRule="atLeast"/>
        </w:trPr>
        <w:tc>
          <w:tcPr>
            <w:tcW w:w="11868"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1EA472E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结论：</w:t>
            </w:r>
          </w:p>
        </w:tc>
        <w:tc>
          <w:tcPr>
            <w:tcW w:w="3272" w:type="dxa"/>
            <w:gridSpan w:val="3"/>
            <w:tcBorders>
              <w:top w:val="single" w:color="auto" w:sz="4" w:space="0"/>
              <w:left w:val="nil"/>
              <w:bottom w:val="single" w:color="auto" w:sz="4" w:space="0"/>
              <w:right w:val="single" w:color="000000" w:sz="4" w:space="0"/>
            </w:tcBorders>
            <w:shd w:val="clear" w:color="auto" w:fill="auto"/>
            <w:noWrap/>
            <w:vAlign w:val="center"/>
          </w:tcPr>
          <w:p w14:paraId="6305F27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优/良</w:t>
            </w:r>
          </w:p>
        </w:tc>
      </w:tr>
    </w:tbl>
    <w:p w14:paraId="22345FA5">
      <w:pPr>
        <w:rPr>
          <w:sz w:val="28"/>
          <w:szCs w:val="28"/>
          <w:u w:val="single"/>
        </w:rPr>
      </w:pPr>
      <w:r>
        <w:rPr>
          <w:rFonts w:hint="eastAsia"/>
          <w:sz w:val="28"/>
          <w:szCs w:val="28"/>
        </w:rPr>
        <w:t>考核科室</w:t>
      </w:r>
      <w:r>
        <w:rPr>
          <w:rFonts w:hint="eastAsia"/>
          <w:sz w:val="28"/>
          <w:szCs w:val="28"/>
          <w:u w:val="single"/>
        </w:rPr>
        <w:t xml:space="preserve">：                                    </w:t>
      </w:r>
      <w:r>
        <w:rPr>
          <w:rFonts w:hint="eastAsia"/>
          <w:sz w:val="28"/>
          <w:szCs w:val="28"/>
        </w:rPr>
        <w:t xml:space="preserve">                           考核人员：</w:t>
      </w:r>
      <w:r>
        <w:rPr>
          <w:rFonts w:hint="eastAsia"/>
          <w:sz w:val="28"/>
          <w:szCs w:val="28"/>
          <w:u w:val="single"/>
        </w:rPr>
        <w:t xml:space="preserve">                       </w:t>
      </w:r>
    </w:p>
    <w:p w14:paraId="1E0BD1AC">
      <w:pPr>
        <w:rPr>
          <w:sz w:val="28"/>
          <w:szCs w:val="28"/>
          <w:u w:val="single"/>
        </w:rPr>
      </w:pPr>
      <w:r>
        <w:rPr>
          <w:rFonts w:hint="eastAsia"/>
          <w:sz w:val="28"/>
          <w:szCs w:val="28"/>
        </w:rPr>
        <w:t>分管领导</w:t>
      </w:r>
      <w:r>
        <w:rPr>
          <w:rFonts w:hint="eastAsia"/>
          <w:sz w:val="28"/>
          <w:szCs w:val="28"/>
          <w:u w:val="single"/>
        </w:rPr>
        <w:t xml:space="preserve">：                                    </w:t>
      </w:r>
    </w:p>
    <w:p w14:paraId="35A72F8A">
      <w:pPr>
        <w:rPr>
          <w:rFonts w:hint="eastAsia" w:ascii="仿宋" w:hAnsi="仿宋" w:eastAsia="仿宋" w:cs="仿宋"/>
          <w:sz w:val="18"/>
          <w:szCs w:val="18"/>
        </w:rPr>
      </w:pPr>
      <w:r>
        <w:rPr>
          <w:rFonts w:hint="eastAsia" w:ascii="仿宋" w:hAnsi="仿宋" w:eastAsia="仿宋" w:cs="仿宋"/>
          <w:sz w:val="18"/>
          <w:szCs w:val="18"/>
        </w:rPr>
        <w:t>备注：1、90分以上为优，90分以下为良。</w:t>
      </w:r>
    </w:p>
    <w:p w14:paraId="04EC851C">
      <w:pPr>
        <w:rPr>
          <w:rFonts w:hint="eastAsia" w:ascii="仿宋" w:hAnsi="仿宋" w:eastAsia="仿宋" w:cs="仿宋"/>
          <w:sz w:val="18"/>
          <w:szCs w:val="18"/>
        </w:rPr>
      </w:pPr>
      <w:r>
        <w:rPr>
          <w:rFonts w:hint="eastAsia" w:ascii="仿宋" w:hAnsi="仿宋" w:eastAsia="仿宋" w:cs="仿宋"/>
          <w:sz w:val="18"/>
          <w:szCs w:val="18"/>
        </w:rPr>
        <w:t xml:space="preserve">      2、以上内容作为服务商月度考核作为付款依据，80分以下为不合格。按照每降低5分，扣除服务款1%，以此类推。</w:t>
      </w:r>
    </w:p>
    <w:p w14:paraId="7D687A41">
      <w:pPr>
        <w:rPr>
          <w:rFonts w:hint="eastAsia" w:ascii="仿宋" w:hAnsi="仿宋" w:eastAsia="仿宋" w:cs="仿宋"/>
          <w:sz w:val="18"/>
          <w:szCs w:val="18"/>
        </w:rPr>
      </w:pPr>
      <w:r>
        <w:rPr>
          <w:rFonts w:hint="eastAsia" w:ascii="仿宋" w:hAnsi="仿宋" w:eastAsia="仿宋" w:cs="仿宋"/>
          <w:sz w:val="18"/>
          <w:szCs w:val="18"/>
        </w:rPr>
        <w:t xml:space="preserve">      3、请管理科室认真针对以上考核内容打分评定。</w:t>
      </w:r>
    </w:p>
    <w:p w14:paraId="5DDF2E98">
      <w:pPr>
        <w:bidi w:val="0"/>
        <w:ind w:firstLine="495" w:firstLineChars="0"/>
        <w:jc w:val="left"/>
        <w:rPr>
          <w:rFonts w:hint="default"/>
          <w:lang w:val="en-US" w:eastAsia="zh-CN"/>
        </w:rPr>
      </w:pPr>
      <w:r>
        <w:rPr>
          <w:rFonts w:hint="eastAsia" w:ascii="仿宋" w:hAnsi="仿宋" w:eastAsia="仿宋" w:cs="仿宋"/>
          <w:sz w:val="18"/>
          <w:szCs w:val="18"/>
        </w:rPr>
        <w:t>4、依据月度考核得分，汇总年度考核结果，作为下一年度续签或招标参考条件。</w:t>
      </w:r>
    </w:p>
    <w:sectPr>
      <w:pgSz w:w="16838" w:h="11906" w:orient="landscape"/>
      <w:pgMar w:top="215" w:right="204" w:bottom="21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FA06D"/>
    <w:multiLevelType w:val="singleLevel"/>
    <w:tmpl w:val="EDCFA06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41C2A"/>
    <w:rsid w:val="2E1B7A55"/>
    <w:rsid w:val="35B64EAB"/>
    <w:rsid w:val="46375232"/>
    <w:rsid w:val="48C2599A"/>
    <w:rsid w:val="5FD95CEE"/>
    <w:rsid w:val="74245A1D"/>
    <w:rsid w:val="7F897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tabs>
        <w:tab w:val="left" w:pos="840"/>
      </w:tabs>
      <w:spacing w:before="260" w:after="260" w:line="416" w:lineRule="auto"/>
      <w:ind w:left="840" w:hanging="420"/>
      <w:jc w:val="center"/>
      <w:outlineLvl w:val="1"/>
    </w:pPr>
    <w:rPr>
      <w:rFonts w:ascii="Arial" w:hAnsi="Arial" w:eastAsia="黑体"/>
      <w:b/>
      <w:sz w:val="32"/>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qFormat/>
    <w:uiPriority w:val="0"/>
    <w:pPr>
      <w:spacing w:line="360" w:lineRule="auto"/>
    </w:pPr>
    <w:rPr>
      <w:sz w:val="24"/>
      <w:szCs w:val="20"/>
    </w:rPr>
  </w:style>
  <w:style w:type="paragraph" w:styleId="5">
    <w:name w:val="Body Text Indent"/>
    <w:basedOn w:val="1"/>
    <w:qFormat/>
    <w:uiPriority w:val="0"/>
    <w:pPr>
      <w:adjustRightInd w:val="0"/>
      <w:ind w:left="960"/>
      <w:jc w:val="left"/>
      <w:textAlignment w:val="baseline"/>
    </w:pPr>
    <w:rPr>
      <w:rFonts w:ascii="楷体_GB2312" w:eastAsia="楷体_GB2312"/>
      <w:kern w:val="0"/>
      <w:sz w:val="28"/>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next w:val="8"/>
    <w:qFormat/>
    <w:uiPriority w:val="0"/>
    <w:pPr>
      <w:ind w:firstLine="420"/>
    </w:pPr>
    <w:rPr>
      <w:rFonts w:eastAsia="楷体_GB2312"/>
      <w:sz w:val="32"/>
      <w:szCs w:val="20"/>
    </w:rPr>
  </w:style>
  <w:style w:type="paragraph" w:styleId="8">
    <w:name w:val="Body Text First Indent 2"/>
    <w:basedOn w:val="5"/>
    <w:qFormat/>
    <w:uiPriority w:val="0"/>
    <w:pPr>
      <w:ind w:firstLine="420" w:firstLineChars="200"/>
    </w:pPr>
    <w:rPr>
      <w:rFonts w:ascii="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4765</Words>
  <Characters>5053</Characters>
  <Lines>0</Lines>
  <Paragraphs>0</Paragraphs>
  <TotalTime>8</TotalTime>
  <ScaleCrop>false</ScaleCrop>
  <LinksUpToDate>false</LinksUpToDate>
  <CharactersWithSpaces>5640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2025-05-12T00:47:00Z</dcterms:created>
  <dc:creator>Administrator</dc:creator>
  <cp:lastModifiedBy>Administrator</cp:lastModifiedBy>
  <dcterms:modified xsi:type="dcterms:W3CDTF">2025-05-12T07:53:14Z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eyJoZGlkIjoiMjdkNDE1NGE5ZjdiMjU3NmYwN2U5MzRjOGE5ODY4NjAifQ==</vt:lpwstr>
  </property>
  <property fmtid="{D5CDD505-2E9C-101B-9397-08002B2CF9AE}" pid="4" name="ICV">
    <vt:lpwstr>B36F69BE5A794ADEA38324478A8681E8_12</vt:lpwstr>
  </property>
</Properties>
</file>