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A2AB9">
      <w:pPr>
        <w:rPr>
          <w:rFonts w:hint="eastAsia"/>
          <w:color w:val="auto"/>
          <w:highlight w:val="none"/>
        </w:rPr>
      </w:pPr>
    </w:p>
    <w:p w14:paraId="600DF700">
      <w:pPr>
        <w:pStyle w:val="38"/>
        <w:rPr>
          <w:rFonts w:hint="eastAsia"/>
          <w:color w:val="auto"/>
          <w:highlight w:val="none"/>
        </w:rPr>
      </w:pPr>
    </w:p>
    <w:p w14:paraId="5D3AF99F">
      <w:pPr>
        <w:keepNext w:val="0"/>
        <w:keepLines w:val="0"/>
        <w:pageBreakBefore w:val="0"/>
        <w:widowControl w:val="0"/>
        <w:kinsoku/>
        <w:wordWrap/>
        <w:overflowPunct/>
        <w:topLinePunct w:val="0"/>
        <w:autoSpaceDE/>
        <w:autoSpaceDN/>
        <w:bidi w:val="0"/>
        <w:adjustRightInd/>
        <w:snapToGrid w:val="0"/>
        <w:spacing w:line="360" w:lineRule="auto"/>
        <w:ind w:left="-1" w:leftChars="-95" w:right="-281" w:rightChars="-134" w:hanging="198" w:hangingChars="41"/>
        <w:jc w:val="center"/>
        <w:textAlignment w:val="auto"/>
        <w:rPr>
          <w:rFonts w:hint="eastAsia" w:eastAsia="宋体"/>
          <w:b/>
          <w:bCs/>
          <w:color w:val="auto"/>
          <w:sz w:val="52"/>
          <w:szCs w:val="52"/>
          <w:highlight w:val="none"/>
          <w:lang w:eastAsia="zh-CN"/>
        </w:rPr>
      </w:pPr>
      <w:r>
        <w:rPr>
          <w:rFonts w:hint="eastAsia"/>
          <w:b/>
          <w:bCs/>
          <w:color w:val="auto"/>
          <w:sz w:val="48"/>
          <w:szCs w:val="48"/>
          <w:highlight w:val="none"/>
          <w:lang w:eastAsia="zh-CN"/>
        </w:rPr>
        <w:t>驻马店市中心医院模拟定位机采购项目（</w:t>
      </w:r>
      <w:r>
        <w:rPr>
          <w:rFonts w:hint="eastAsia"/>
          <w:b/>
          <w:bCs/>
          <w:color w:val="auto"/>
          <w:sz w:val="48"/>
          <w:szCs w:val="48"/>
          <w:highlight w:val="none"/>
          <w:lang w:val="en-US" w:eastAsia="zh-CN"/>
        </w:rPr>
        <w:t>四次</w:t>
      </w:r>
      <w:r>
        <w:rPr>
          <w:rFonts w:hint="eastAsia"/>
          <w:b/>
          <w:bCs/>
          <w:color w:val="auto"/>
          <w:sz w:val="48"/>
          <w:szCs w:val="48"/>
          <w:highlight w:val="none"/>
          <w:lang w:eastAsia="zh-CN"/>
        </w:rPr>
        <w:t>）</w:t>
      </w:r>
    </w:p>
    <w:p w14:paraId="10E2F0C7">
      <w:pPr>
        <w:jc w:val="center"/>
        <w:rPr>
          <w:rFonts w:hint="eastAsia"/>
          <w:b/>
          <w:color w:val="auto"/>
          <w:sz w:val="40"/>
          <w:szCs w:val="40"/>
          <w:highlight w:val="none"/>
        </w:rPr>
      </w:pPr>
    </w:p>
    <w:p w14:paraId="5BAFE249">
      <w:pPr>
        <w:pStyle w:val="12"/>
        <w:rPr>
          <w:rFonts w:hint="eastAsia" w:hAnsi="宋体"/>
          <w:b/>
          <w:color w:val="auto"/>
          <w:sz w:val="40"/>
          <w:szCs w:val="40"/>
          <w:highlight w:val="none"/>
        </w:rPr>
      </w:pPr>
    </w:p>
    <w:p w14:paraId="0CE480B0">
      <w:pPr>
        <w:pStyle w:val="12"/>
        <w:rPr>
          <w:rFonts w:hint="eastAsia" w:hAnsi="宋体"/>
          <w:b/>
          <w:color w:val="auto"/>
          <w:sz w:val="40"/>
          <w:szCs w:val="40"/>
          <w:highlight w:val="none"/>
        </w:rPr>
      </w:pPr>
    </w:p>
    <w:p w14:paraId="633C9942">
      <w:pPr>
        <w:pStyle w:val="12"/>
        <w:rPr>
          <w:rFonts w:hint="eastAsia" w:hAnsi="宋体"/>
          <w:b/>
          <w:color w:val="auto"/>
          <w:sz w:val="40"/>
          <w:szCs w:val="40"/>
          <w:highlight w:val="none"/>
        </w:rPr>
      </w:pPr>
    </w:p>
    <w:p w14:paraId="60891268">
      <w:pPr>
        <w:bidi w:val="0"/>
        <w:rPr>
          <w:rFonts w:hint="eastAsia"/>
          <w:color w:val="auto"/>
          <w:highlight w:val="none"/>
        </w:rPr>
      </w:pPr>
    </w:p>
    <w:p w14:paraId="525A1BA8">
      <w:pPr>
        <w:jc w:val="center"/>
        <w:rPr>
          <w:rFonts w:hint="eastAsia" w:eastAsia="宋体"/>
          <w:b/>
          <w:color w:val="auto"/>
          <w:sz w:val="52"/>
          <w:szCs w:val="52"/>
          <w:highlight w:val="none"/>
          <w:lang w:eastAsia="zh-CN"/>
        </w:rPr>
      </w:pPr>
      <w:r>
        <w:rPr>
          <w:rFonts w:hint="eastAsia"/>
          <w:b/>
          <w:color w:val="auto"/>
          <w:sz w:val="72"/>
          <w:szCs w:val="72"/>
          <w:highlight w:val="none"/>
        </w:rPr>
        <w:t>竞争性磋商</w:t>
      </w:r>
      <w:bookmarkStart w:id="44" w:name="_GoBack"/>
      <w:bookmarkEnd w:id="44"/>
      <w:r>
        <w:rPr>
          <w:rFonts w:hint="eastAsia"/>
          <w:b/>
          <w:color w:val="auto"/>
          <w:sz w:val="72"/>
          <w:szCs w:val="72"/>
          <w:highlight w:val="none"/>
        </w:rPr>
        <w:t>文件</w:t>
      </w:r>
    </w:p>
    <w:p w14:paraId="7BB70054">
      <w:pPr>
        <w:spacing w:line="360" w:lineRule="auto"/>
        <w:jc w:val="center"/>
        <w:rPr>
          <w:rFonts w:hint="default" w:eastAsia="宋体" w:cs="黑体"/>
          <w:b/>
          <w:bCs/>
          <w:color w:val="auto"/>
          <w:sz w:val="28"/>
          <w:szCs w:val="28"/>
          <w:highlight w:val="none"/>
          <w:lang w:val="en-US" w:eastAsia="zh-CN"/>
        </w:rPr>
      </w:pPr>
      <w:r>
        <w:rPr>
          <w:rFonts w:hint="eastAsia" w:asciiTheme="minorEastAsia" w:hAnsiTheme="minorEastAsia" w:eastAsiaTheme="minorEastAsia" w:cstheme="minorEastAsia"/>
          <w:b/>
          <w:bCs/>
          <w:color w:val="auto"/>
          <w:sz w:val="24"/>
          <w:szCs w:val="24"/>
          <w:highlight w:val="none"/>
        </w:rPr>
        <w:t>采购编号：</w:t>
      </w:r>
      <w:r>
        <w:rPr>
          <w:rFonts w:hint="eastAsia" w:asciiTheme="minorEastAsia" w:hAnsiTheme="minorEastAsia" w:eastAsiaTheme="minorEastAsia" w:cstheme="minorEastAsia"/>
          <w:b/>
          <w:bCs/>
          <w:color w:val="auto"/>
          <w:sz w:val="24"/>
          <w:szCs w:val="24"/>
          <w:highlight w:val="none"/>
          <w:lang w:eastAsia="zh-CN"/>
        </w:rPr>
        <w:t>驻政采购-2025-09-11</w:t>
      </w:r>
    </w:p>
    <w:p w14:paraId="2F9D433C">
      <w:pPr>
        <w:pStyle w:val="139"/>
        <w:rPr>
          <w:rFonts w:hint="eastAsia" w:cs="黑体"/>
          <w:b/>
          <w:bCs/>
          <w:color w:val="auto"/>
          <w:sz w:val="28"/>
          <w:szCs w:val="28"/>
          <w:highlight w:val="none"/>
        </w:rPr>
      </w:pPr>
    </w:p>
    <w:p w14:paraId="53240DA0">
      <w:pPr>
        <w:pStyle w:val="139"/>
        <w:rPr>
          <w:rFonts w:hint="eastAsia" w:cs="黑体"/>
          <w:b/>
          <w:bCs/>
          <w:color w:val="auto"/>
          <w:sz w:val="28"/>
          <w:szCs w:val="28"/>
          <w:highlight w:val="none"/>
        </w:rPr>
      </w:pPr>
    </w:p>
    <w:p w14:paraId="0F8CFFC6">
      <w:pPr>
        <w:spacing w:line="360" w:lineRule="auto"/>
        <w:jc w:val="center"/>
        <w:rPr>
          <w:rFonts w:hint="eastAsia" w:cs="黑体"/>
          <w:b/>
          <w:bCs/>
          <w:color w:val="auto"/>
          <w:sz w:val="32"/>
          <w:szCs w:val="32"/>
          <w:highlight w:val="none"/>
        </w:rPr>
      </w:pPr>
    </w:p>
    <w:p w14:paraId="3CCA0EBC">
      <w:pPr>
        <w:snapToGrid w:val="0"/>
        <w:spacing w:line="380" w:lineRule="exact"/>
        <w:jc w:val="center"/>
        <w:rPr>
          <w:rFonts w:hint="eastAsia"/>
          <w:b/>
          <w:color w:val="auto"/>
          <w:sz w:val="32"/>
          <w:szCs w:val="32"/>
          <w:highlight w:val="none"/>
        </w:rPr>
      </w:pPr>
    </w:p>
    <w:p w14:paraId="7D1DBCA8">
      <w:pPr>
        <w:pStyle w:val="12"/>
        <w:rPr>
          <w:rFonts w:hint="eastAsia"/>
          <w:color w:val="auto"/>
          <w:highlight w:val="none"/>
        </w:rPr>
      </w:pPr>
    </w:p>
    <w:p w14:paraId="62AF38DA">
      <w:pPr>
        <w:snapToGrid w:val="0"/>
        <w:spacing w:line="380" w:lineRule="exact"/>
        <w:jc w:val="center"/>
        <w:rPr>
          <w:rFonts w:hint="eastAsia"/>
          <w:b/>
          <w:color w:val="auto"/>
          <w:sz w:val="32"/>
          <w:szCs w:val="32"/>
          <w:highlight w:val="none"/>
        </w:rPr>
      </w:pPr>
    </w:p>
    <w:p w14:paraId="55D15C43">
      <w:pPr>
        <w:rPr>
          <w:rFonts w:hint="eastAsia"/>
          <w:bCs/>
          <w:color w:val="auto"/>
          <w:sz w:val="2"/>
          <w:szCs w:val="2"/>
          <w:highlight w:val="none"/>
        </w:rPr>
      </w:pPr>
    </w:p>
    <w:p w14:paraId="15B376A6">
      <w:pPr>
        <w:rPr>
          <w:rFonts w:hint="eastAsia" w:ascii="黑体" w:eastAsia="黑体"/>
          <w:color w:val="auto"/>
          <w:sz w:val="28"/>
          <w:szCs w:val="28"/>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4845"/>
      </w:tblGrid>
      <w:tr w14:paraId="6390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13" w:type="dxa"/>
            <w:tcBorders>
              <w:top w:val="single" w:color="FFFFFF" w:sz="4" w:space="0"/>
              <w:left w:val="single" w:color="FFFFFF" w:sz="4" w:space="0"/>
              <w:bottom w:val="single" w:color="FFFFFF" w:sz="4" w:space="0"/>
              <w:right w:val="single" w:color="FFFFFF" w:sz="4" w:space="0"/>
            </w:tcBorders>
            <w:noWrap w:val="0"/>
            <w:vAlign w:val="top"/>
          </w:tcPr>
          <w:p w14:paraId="7E970E5B">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采购人：</w:t>
            </w:r>
          </w:p>
        </w:tc>
        <w:tc>
          <w:tcPr>
            <w:tcW w:w="4845" w:type="dxa"/>
            <w:tcBorders>
              <w:top w:val="single" w:color="FFFFFF" w:sz="4" w:space="0"/>
              <w:left w:val="single" w:color="FFFFFF" w:sz="4" w:space="0"/>
              <w:bottom w:val="single" w:color="FFFFFF" w:sz="4" w:space="0"/>
              <w:right w:val="single" w:color="FFFFFF" w:sz="4" w:space="0"/>
            </w:tcBorders>
            <w:noWrap w:val="0"/>
            <w:vAlign w:val="top"/>
          </w:tcPr>
          <w:p w14:paraId="0F9BACD5">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驻马店市中心医院</w:t>
            </w:r>
          </w:p>
        </w:tc>
      </w:tr>
      <w:tr w14:paraId="12AC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513" w:type="dxa"/>
            <w:tcBorders>
              <w:top w:val="single" w:color="FFFFFF" w:sz="4" w:space="0"/>
              <w:left w:val="single" w:color="FFFFFF" w:sz="4" w:space="0"/>
              <w:bottom w:val="single" w:color="FFFFFF" w:sz="4" w:space="0"/>
              <w:right w:val="single" w:color="FFFFFF" w:sz="4" w:space="0"/>
            </w:tcBorders>
            <w:noWrap w:val="0"/>
            <w:vAlign w:val="top"/>
          </w:tcPr>
          <w:p w14:paraId="5CA7F4FE">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采购代理机构：</w:t>
            </w:r>
          </w:p>
        </w:tc>
        <w:tc>
          <w:tcPr>
            <w:tcW w:w="4845" w:type="dxa"/>
            <w:tcBorders>
              <w:top w:val="single" w:color="FFFFFF" w:sz="4" w:space="0"/>
              <w:left w:val="single" w:color="FFFFFF" w:sz="4" w:space="0"/>
              <w:bottom w:val="single" w:color="FFFFFF" w:sz="4" w:space="0"/>
              <w:right w:val="single" w:color="FFFFFF" w:sz="4" w:space="0"/>
            </w:tcBorders>
            <w:noWrap w:val="0"/>
            <w:vAlign w:val="top"/>
          </w:tcPr>
          <w:p w14:paraId="2C327892">
            <w:pPr>
              <w:spacing w:line="800" w:lineRule="exact"/>
              <w:jc w:val="distribute"/>
              <w:rPr>
                <w:rFonts w:hint="eastAsia" w:ascii="黑体" w:eastAsia="黑体"/>
                <w:b/>
                <w:color w:val="auto"/>
                <w:sz w:val="32"/>
                <w:szCs w:val="32"/>
                <w:highlight w:val="none"/>
                <w:lang w:eastAsia="zh-CN"/>
              </w:rPr>
            </w:pPr>
            <w:r>
              <w:rPr>
                <w:rFonts w:hint="eastAsia" w:ascii="黑体" w:eastAsia="黑体"/>
                <w:b/>
                <w:color w:val="auto"/>
                <w:sz w:val="32"/>
                <w:szCs w:val="32"/>
                <w:highlight w:val="none"/>
                <w:lang w:eastAsia="zh-CN"/>
              </w:rPr>
              <w:t>恒信咨询管理有限公司</w:t>
            </w:r>
          </w:p>
        </w:tc>
      </w:tr>
      <w:tr w14:paraId="305C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513" w:type="dxa"/>
            <w:tcBorders>
              <w:top w:val="single" w:color="FFFFFF" w:sz="4" w:space="0"/>
              <w:left w:val="single" w:color="FFFFFF" w:sz="4" w:space="0"/>
              <w:bottom w:val="single" w:color="FFFFFF" w:sz="4" w:space="0"/>
              <w:right w:val="single" w:color="FFFFFF" w:sz="4" w:space="0"/>
            </w:tcBorders>
            <w:noWrap w:val="0"/>
            <w:vAlign w:val="top"/>
          </w:tcPr>
          <w:p w14:paraId="2C8DB531">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日期：</w:t>
            </w:r>
          </w:p>
        </w:tc>
        <w:tc>
          <w:tcPr>
            <w:tcW w:w="4845" w:type="dxa"/>
            <w:tcBorders>
              <w:top w:val="single" w:color="FFFFFF" w:sz="4" w:space="0"/>
              <w:left w:val="single" w:color="FFFFFF" w:sz="4" w:space="0"/>
              <w:bottom w:val="single" w:color="FFFFFF" w:sz="4" w:space="0"/>
              <w:right w:val="single" w:color="FFFFFF" w:sz="4" w:space="0"/>
            </w:tcBorders>
            <w:noWrap w:val="0"/>
            <w:vAlign w:val="top"/>
          </w:tcPr>
          <w:p w14:paraId="67830BF6">
            <w:pPr>
              <w:spacing w:line="800" w:lineRule="exact"/>
              <w:jc w:val="distribute"/>
              <w:rPr>
                <w:rFonts w:hint="eastAsia" w:ascii="黑体" w:eastAsia="黑体"/>
                <w:b/>
                <w:color w:val="auto"/>
                <w:sz w:val="32"/>
                <w:szCs w:val="32"/>
                <w:highlight w:val="none"/>
              </w:rPr>
            </w:pPr>
            <w:r>
              <w:rPr>
                <w:rFonts w:hint="eastAsia" w:ascii="黑体" w:eastAsia="黑体"/>
                <w:b/>
                <w:color w:val="auto"/>
                <w:sz w:val="32"/>
                <w:szCs w:val="32"/>
                <w:highlight w:val="none"/>
              </w:rPr>
              <w:t>二零二</w:t>
            </w:r>
            <w:r>
              <w:rPr>
                <w:rFonts w:hint="eastAsia" w:ascii="黑体" w:eastAsia="黑体"/>
                <w:b/>
                <w:color w:val="auto"/>
                <w:sz w:val="32"/>
                <w:szCs w:val="32"/>
                <w:highlight w:val="none"/>
                <w:lang w:val="en-US" w:eastAsia="zh-CN"/>
              </w:rPr>
              <w:t>五</w:t>
            </w:r>
            <w:r>
              <w:rPr>
                <w:rFonts w:hint="eastAsia" w:ascii="黑体" w:eastAsia="黑体"/>
                <w:b/>
                <w:color w:val="auto"/>
                <w:sz w:val="32"/>
                <w:szCs w:val="32"/>
                <w:highlight w:val="none"/>
              </w:rPr>
              <w:t>年</w:t>
            </w:r>
            <w:r>
              <w:rPr>
                <w:rFonts w:hint="eastAsia" w:ascii="黑体" w:eastAsia="黑体"/>
                <w:b/>
                <w:color w:val="auto"/>
                <w:sz w:val="32"/>
                <w:szCs w:val="32"/>
                <w:highlight w:val="none"/>
                <w:lang w:val="en-US" w:eastAsia="zh-CN"/>
              </w:rPr>
              <w:t>十二</w:t>
            </w:r>
            <w:r>
              <w:rPr>
                <w:rFonts w:hint="eastAsia" w:ascii="黑体" w:eastAsia="黑体"/>
                <w:b/>
                <w:color w:val="auto"/>
                <w:sz w:val="32"/>
                <w:szCs w:val="32"/>
                <w:highlight w:val="none"/>
              </w:rPr>
              <w:t>月</w:t>
            </w:r>
          </w:p>
        </w:tc>
      </w:tr>
    </w:tbl>
    <w:p w14:paraId="625C5DAE">
      <w:pPr>
        <w:widowControl/>
        <w:shd w:val="clear" w:color="auto" w:fill="FFFFFF"/>
        <w:spacing w:line="360" w:lineRule="auto"/>
        <w:rPr>
          <w:rFonts w:ascii="宋体" w:hAnsi="宋体" w:cs="宋体"/>
          <w:color w:val="auto"/>
          <w:kern w:val="0"/>
          <w:sz w:val="24"/>
          <w:highlight w:val="none"/>
          <w:u w:val="single"/>
        </w:rPr>
      </w:pPr>
    </w:p>
    <w:p w14:paraId="49BB2ABF">
      <w:pPr>
        <w:widowControl/>
        <w:shd w:val="clear" w:color="auto" w:fill="FFFFFF"/>
        <w:spacing w:line="360" w:lineRule="auto"/>
        <w:jc w:val="center"/>
        <w:rPr>
          <w:rFonts w:hint="eastAsia" w:ascii="宋体" w:hAnsi="宋体" w:cs="宋体"/>
          <w:b/>
          <w:bCs/>
          <w:color w:val="auto"/>
          <w:kern w:val="0"/>
          <w:sz w:val="30"/>
          <w:szCs w:val="30"/>
          <w:highlight w:val="none"/>
        </w:rPr>
        <w:sectPr>
          <w:footerReference r:id="rId6" w:type="first"/>
          <w:headerReference r:id="rId3" w:type="default"/>
          <w:footerReference r:id="rId4" w:type="default"/>
          <w:footerReference r:id="rId5" w:type="even"/>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AB316F5">
      <w:pPr>
        <w:widowControl/>
        <w:shd w:val="clear" w:color="auto" w:fill="FFFFFF"/>
        <w:spacing w:line="360" w:lineRule="auto"/>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 xml:space="preserve"> </w:t>
      </w:r>
    </w:p>
    <w:p w14:paraId="553FD529">
      <w:pPr>
        <w:widowControl/>
        <w:shd w:val="clear" w:color="auto" w:fill="FFFFFF"/>
        <w:spacing w:line="360" w:lineRule="auto"/>
        <w:jc w:val="center"/>
        <w:rPr>
          <w:rFonts w:ascii="宋体" w:hAnsi="宋体" w:cs="宋体"/>
          <w:color w:val="auto"/>
          <w:kern w:val="0"/>
          <w:sz w:val="24"/>
          <w:highlight w:val="none"/>
        </w:rPr>
      </w:pPr>
      <w:r>
        <w:rPr>
          <w:rFonts w:hint="eastAsia" w:ascii="宋体" w:hAnsi="宋体" w:cs="宋体"/>
          <w:b/>
          <w:bCs/>
          <w:color w:val="auto"/>
          <w:kern w:val="0"/>
          <w:sz w:val="30"/>
          <w:szCs w:val="30"/>
          <w:highlight w:val="none"/>
        </w:rPr>
        <w:t xml:space="preserve"> </w:t>
      </w:r>
      <w:r>
        <w:rPr>
          <w:rFonts w:hint="eastAsia" w:ascii="黑体" w:hAnsi="宋体" w:eastAsia="黑体" w:cs="宋体"/>
          <w:b/>
          <w:bCs/>
          <w:color w:val="auto"/>
          <w:kern w:val="0"/>
          <w:sz w:val="32"/>
          <w:szCs w:val="32"/>
          <w:highlight w:val="none"/>
        </w:rPr>
        <w:t>目</w:t>
      </w:r>
      <w:r>
        <w:rPr>
          <w:rFonts w:hint="eastAsia" w:ascii="宋体" w:hAnsi="宋体" w:cs="宋体"/>
          <w:b/>
          <w:bCs/>
          <w:color w:val="auto"/>
          <w:kern w:val="0"/>
          <w:sz w:val="32"/>
          <w:szCs w:val="32"/>
          <w:highlight w:val="none"/>
        </w:rPr>
        <w:t xml:space="preserve">         </w:t>
      </w:r>
      <w:r>
        <w:rPr>
          <w:rFonts w:hint="eastAsia" w:ascii="黑体" w:hAnsi="宋体" w:eastAsia="黑体" w:cs="宋体"/>
          <w:b/>
          <w:bCs/>
          <w:color w:val="auto"/>
          <w:kern w:val="0"/>
          <w:sz w:val="32"/>
          <w:szCs w:val="32"/>
          <w:highlight w:val="none"/>
        </w:rPr>
        <w:t xml:space="preserve"> 录</w:t>
      </w:r>
    </w:p>
    <w:p w14:paraId="6392E387">
      <w:pPr>
        <w:widowControl/>
        <w:shd w:val="clear" w:color="auto" w:fill="FFFFFF"/>
        <w:spacing w:line="600" w:lineRule="exact"/>
        <w:ind w:firstLine="1440"/>
        <w:jc w:val="left"/>
        <w:rPr>
          <w:rFonts w:ascii="宋体" w:hAnsi="宋体" w:cs="宋体"/>
          <w:color w:val="auto"/>
          <w:kern w:val="0"/>
          <w:sz w:val="24"/>
          <w:highlight w:val="none"/>
        </w:rPr>
      </w:pPr>
    </w:p>
    <w:p w14:paraId="4B972D41">
      <w:pPr>
        <w:widowControl/>
        <w:shd w:val="clear" w:color="auto" w:fill="FFFFFF"/>
        <w:spacing w:line="600" w:lineRule="exact"/>
        <w:ind w:firstLine="1440"/>
        <w:jc w:val="left"/>
        <w:rPr>
          <w:rFonts w:ascii="宋体" w:hAnsi="宋体" w:cs="宋体"/>
          <w:color w:val="auto"/>
          <w:kern w:val="0"/>
          <w:sz w:val="28"/>
          <w:szCs w:val="28"/>
          <w:highlight w:val="none"/>
        </w:rPr>
      </w:pPr>
      <w:r>
        <w:rPr>
          <w:rFonts w:hint="eastAsia" w:ascii="宋体" w:hAnsi="宋体" w:cs="宋体"/>
          <w:color w:val="auto"/>
          <w:kern w:val="0"/>
          <w:sz w:val="24"/>
          <w:highlight w:val="none"/>
        </w:rPr>
        <w:t>第一章    竞争性磋商公告</w:t>
      </w:r>
    </w:p>
    <w:p w14:paraId="229FB1BD">
      <w:pPr>
        <w:widowControl/>
        <w:shd w:val="clear" w:color="auto" w:fill="FFFFFF"/>
        <w:spacing w:line="600" w:lineRule="exact"/>
        <w:ind w:left="1440"/>
        <w:jc w:val="left"/>
        <w:rPr>
          <w:color w:val="auto"/>
          <w:kern w:val="0"/>
          <w:sz w:val="28"/>
          <w:szCs w:val="28"/>
          <w:highlight w:val="none"/>
        </w:rPr>
      </w:pPr>
      <w:r>
        <w:rPr>
          <w:rFonts w:hint="eastAsia" w:ascii="宋体" w:hAnsi="宋体" w:cs="宋体"/>
          <w:color w:val="auto"/>
          <w:kern w:val="0"/>
          <w:sz w:val="24"/>
          <w:highlight w:val="none"/>
        </w:rPr>
        <w:t>第二章    采购需求</w:t>
      </w:r>
    </w:p>
    <w:p w14:paraId="2AD123FE">
      <w:pPr>
        <w:widowControl/>
        <w:shd w:val="clear" w:color="auto" w:fill="FFFFFF"/>
        <w:spacing w:line="600" w:lineRule="exact"/>
        <w:ind w:left="1440"/>
        <w:jc w:val="left"/>
        <w:rPr>
          <w:color w:val="auto"/>
          <w:kern w:val="0"/>
          <w:sz w:val="28"/>
          <w:szCs w:val="28"/>
          <w:highlight w:val="none"/>
        </w:rPr>
      </w:pPr>
      <w:r>
        <w:rPr>
          <w:rFonts w:hint="eastAsia" w:ascii="宋体" w:hAnsi="宋体" w:cs="宋体"/>
          <w:color w:val="auto"/>
          <w:kern w:val="0"/>
          <w:sz w:val="24"/>
          <w:highlight w:val="none"/>
        </w:rPr>
        <w:t>第三章    供应商须知</w:t>
      </w:r>
    </w:p>
    <w:p w14:paraId="78A0EDFC">
      <w:pPr>
        <w:widowControl/>
        <w:shd w:val="clear" w:color="auto" w:fill="FFFFFF"/>
        <w:spacing w:line="600" w:lineRule="exact"/>
        <w:ind w:left="1439" w:firstLine="1200"/>
        <w:jc w:val="left"/>
        <w:rPr>
          <w:color w:val="auto"/>
          <w:kern w:val="0"/>
          <w:sz w:val="28"/>
          <w:szCs w:val="28"/>
          <w:highlight w:val="none"/>
        </w:rPr>
      </w:pPr>
      <w:r>
        <w:rPr>
          <w:rFonts w:hint="eastAsia" w:ascii="宋体" w:hAnsi="宋体" w:cs="宋体"/>
          <w:color w:val="auto"/>
          <w:kern w:val="0"/>
          <w:sz w:val="24"/>
          <w:highlight w:val="none"/>
        </w:rPr>
        <w:t>供应商须知前附表</w:t>
      </w:r>
    </w:p>
    <w:p w14:paraId="30CF8063">
      <w:pPr>
        <w:widowControl/>
        <w:shd w:val="clear" w:color="auto" w:fill="FFFFFF"/>
        <w:spacing w:line="600" w:lineRule="exact"/>
        <w:ind w:left="2159" w:firstLine="480"/>
        <w:jc w:val="left"/>
        <w:rPr>
          <w:color w:val="auto"/>
          <w:kern w:val="0"/>
          <w:sz w:val="28"/>
          <w:szCs w:val="28"/>
          <w:highlight w:val="none"/>
        </w:rPr>
      </w:pPr>
      <w:r>
        <w:rPr>
          <w:rFonts w:hint="eastAsia" w:ascii="宋体" w:hAnsi="宋体" w:cs="宋体"/>
          <w:color w:val="auto"/>
          <w:kern w:val="0"/>
          <w:sz w:val="24"/>
          <w:highlight w:val="none"/>
        </w:rPr>
        <w:t>一、说明</w:t>
      </w:r>
    </w:p>
    <w:p w14:paraId="14053EB9">
      <w:pPr>
        <w:widowControl/>
        <w:shd w:val="clear" w:color="auto" w:fill="FFFFFF"/>
        <w:spacing w:line="600" w:lineRule="exact"/>
        <w:ind w:left="2159" w:firstLine="480"/>
        <w:jc w:val="left"/>
        <w:rPr>
          <w:color w:val="auto"/>
          <w:kern w:val="0"/>
          <w:sz w:val="28"/>
          <w:szCs w:val="28"/>
          <w:highlight w:val="none"/>
        </w:rPr>
      </w:pPr>
      <w:r>
        <w:rPr>
          <w:rFonts w:hint="eastAsia" w:ascii="宋体" w:hAnsi="宋体" w:cs="宋体"/>
          <w:color w:val="auto"/>
          <w:kern w:val="0"/>
          <w:sz w:val="24"/>
          <w:highlight w:val="none"/>
        </w:rPr>
        <w:t>二、竞争性磋商文件</w:t>
      </w:r>
    </w:p>
    <w:p w14:paraId="3BB9E8CD">
      <w:pPr>
        <w:widowControl/>
        <w:shd w:val="clear" w:color="auto" w:fill="FFFFFF"/>
        <w:spacing w:line="600" w:lineRule="exact"/>
        <w:ind w:left="2159" w:firstLine="480"/>
        <w:jc w:val="left"/>
        <w:rPr>
          <w:color w:val="auto"/>
          <w:kern w:val="0"/>
          <w:sz w:val="28"/>
          <w:szCs w:val="28"/>
          <w:highlight w:val="none"/>
        </w:rPr>
      </w:pPr>
      <w:r>
        <w:rPr>
          <w:rFonts w:hint="eastAsia" w:ascii="宋体" w:hAnsi="宋体" w:cs="宋体"/>
          <w:color w:val="auto"/>
          <w:kern w:val="0"/>
          <w:sz w:val="24"/>
          <w:highlight w:val="none"/>
        </w:rPr>
        <w:t>三、响应文件的编制</w:t>
      </w:r>
    </w:p>
    <w:p w14:paraId="25B2B20A">
      <w:pPr>
        <w:widowControl/>
        <w:shd w:val="clear" w:color="auto" w:fill="FFFFFF"/>
        <w:spacing w:line="600" w:lineRule="exact"/>
        <w:ind w:left="2159" w:firstLine="480"/>
        <w:jc w:val="left"/>
        <w:rPr>
          <w:color w:val="auto"/>
          <w:kern w:val="0"/>
          <w:sz w:val="28"/>
          <w:szCs w:val="28"/>
          <w:highlight w:val="none"/>
        </w:rPr>
      </w:pPr>
      <w:r>
        <w:rPr>
          <w:rFonts w:hint="eastAsia" w:ascii="宋体" w:hAnsi="宋体" w:cs="宋体"/>
          <w:color w:val="auto"/>
          <w:kern w:val="0"/>
          <w:sz w:val="24"/>
          <w:highlight w:val="none"/>
        </w:rPr>
        <w:t>四、响应文件的上传、提交</w:t>
      </w:r>
    </w:p>
    <w:p w14:paraId="5D737921">
      <w:pPr>
        <w:widowControl/>
        <w:shd w:val="clear" w:color="auto" w:fill="FFFFFF"/>
        <w:spacing w:line="600" w:lineRule="exact"/>
        <w:ind w:left="2159" w:firstLine="480"/>
        <w:jc w:val="left"/>
        <w:rPr>
          <w:rFonts w:ascii="宋体" w:hAnsi="宋体" w:cs="宋体"/>
          <w:color w:val="auto"/>
          <w:kern w:val="0"/>
          <w:sz w:val="24"/>
          <w:highlight w:val="none"/>
        </w:rPr>
      </w:pPr>
      <w:r>
        <w:rPr>
          <w:rFonts w:hint="eastAsia" w:ascii="宋体" w:hAnsi="宋体" w:cs="宋体"/>
          <w:color w:val="auto"/>
          <w:kern w:val="0"/>
          <w:sz w:val="24"/>
          <w:highlight w:val="none"/>
        </w:rPr>
        <w:t>五、</w:t>
      </w:r>
      <w:r>
        <w:rPr>
          <w:rFonts w:hint="eastAsia" w:ascii="宋体" w:hAnsi="宋体"/>
          <w:color w:val="auto"/>
          <w:kern w:val="0"/>
          <w:sz w:val="24"/>
          <w:highlight w:val="none"/>
        </w:rPr>
        <w:t>响应文件的开启（解密）</w:t>
      </w:r>
    </w:p>
    <w:p w14:paraId="20979CE4">
      <w:pPr>
        <w:widowControl/>
        <w:shd w:val="clear" w:color="auto" w:fill="FFFFFF"/>
        <w:spacing w:line="600" w:lineRule="exact"/>
        <w:ind w:left="2159" w:firstLine="480"/>
        <w:jc w:val="left"/>
        <w:rPr>
          <w:color w:val="auto"/>
          <w:kern w:val="0"/>
          <w:sz w:val="28"/>
          <w:szCs w:val="28"/>
          <w:highlight w:val="none"/>
        </w:rPr>
      </w:pPr>
      <w:r>
        <w:rPr>
          <w:rFonts w:hint="eastAsia" w:ascii="宋体" w:hAnsi="宋体" w:cs="宋体"/>
          <w:color w:val="auto"/>
          <w:kern w:val="0"/>
          <w:sz w:val="24"/>
          <w:highlight w:val="none"/>
        </w:rPr>
        <w:t>六、磋商</w:t>
      </w:r>
    </w:p>
    <w:p w14:paraId="243B01B6">
      <w:pPr>
        <w:widowControl/>
        <w:shd w:val="clear" w:color="auto" w:fill="FFFFFF"/>
        <w:spacing w:line="600" w:lineRule="exact"/>
        <w:ind w:left="2159" w:firstLine="480"/>
        <w:jc w:val="left"/>
        <w:rPr>
          <w:rFonts w:ascii="宋体" w:hAnsi="宋体" w:cs="宋体"/>
          <w:color w:val="auto"/>
          <w:kern w:val="0"/>
          <w:sz w:val="24"/>
          <w:highlight w:val="none"/>
        </w:rPr>
      </w:pPr>
      <w:r>
        <w:rPr>
          <w:rFonts w:hint="eastAsia" w:ascii="宋体" w:hAnsi="宋体" w:cs="宋体"/>
          <w:color w:val="auto"/>
          <w:kern w:val="0"/>
          <w:sz w:val="24"/>
          <w:highlight w:val="none"/>
        </w:rPr>
        <w:t>七、确定成交供应商</w:t>
      </w:r>
    </w:p>
    <w:p w14:paraId="00B4D19A">
      <w:pPr>
        <w:widowControl/>
        <w:shd w:val="clear" w:color="auto" w:fill="FFFFFF"/>
        <w:spacing w:line="600" w:lineRule="exact"/>
        <w:ind w:left="2159" w:firstLine="480"/>
        <w:jc w:val="left"/>
        <w:rPr>
          <w:color w:val="auto"/>
          <w:kern w:val="0"/>
          <w:sz w:val="28"/>
          <w:szCs w:val="28"/>
          <w:highlight w:val="none"/>
        </w:rPr>
      </w:pPr>
      <w:r>
        <w:rPr>
          <w:rFonts w:hint="eastAsia" w:ascii="宋体" w:hAnsi="宋体" w:cs="宋体"/>
          <w:color w:val="auto"/>
          <w:kern w:val="0"/>
          <w:sz w:val="24"/>
          <w:highlight w:val="none"/>
        </w:rPr>
        <w:t>八、磋商办法及评分标准</w:t>
      </w:r>
    </w:p>
    <w:p w14:paraId="299F3631">
      <w:pPr>
        <w:widowControl/>
        <w:shd w:val="clear" w:color="auto" w:fill="FFFFFF"/>
        <w:spacing w:line="600" w:lineRule="exact"/>
        <w:ind w:firstLine="2640"/>
        <w:jc w:val="left"/>
        <w:rPr>
          <w:color w:val="auto"/>
          <w:kern w:val="0"/>
          <w:sz w:val="28"/>
          <w:szCs w:val="28"/>
          <w:highlight w:val="none"/>
        </w:rPr>
      </w:pPr>
      <w:r>
        <w:rPr>
          <w:rFonts w:hint="eastAsia" w:ascii="宋体" w:hAnsi="宋体" w:cs="宋体"/>
          <w:color w:val="auto"/>
          <w:kern w:val="0"/>
          <w:sz w:val="24"/>
          <w:highlight w:val="none"/>
        </w:rPr>
        <w:t>九、合同授予</w:t>
      </w:r>
    </w:p>
    <w:p w14:paraId="1C9A490D">
      <w:pPr>
        <w:widowControl/>
        <w:shd w:val="clear" w:color="auto" w:fill="FFFFFF"/>
        <w:spacing w:line="600" w:lineRule="exact"/>
        <w:ind w:left="1440"/>
        <w:jc w:val="left"/>
        <w:rPr>
          <w:color w:val="auto"/>
          <w:kern w:val="0"/>
          <w:sz w:val="28"/>
          <w:szCs w:val="28"/>
          <w:highlight w:val="none"/>
        </w:rPr>
      </w:pPr>
      <w:r>
        <w:rPr>
          <w:rFonts w:hint="eastAsia" w:ascii="宋体" w:hAnsi="宋体" w:cs="宋体"/>
          <w:color w:val="auto"/>
          <w:kern w:val="0"/>
          <w:sz w:val="24"/>
          <w:highlight w:val="none"/>
        </w:rPr>
        <w:t>第四章   政府采购合同主要条款</w:t>
      </w:r>
    </w:p>
    <w:p w14:paraId="21EAFF13">
      <w:pPr>
        <w:widowControl/>
        <w:shd w:val="clear" w:color="auto" w:fill="FFFFFF"/>
        <w:spacing w:line="600" w:lineRule="exact"/>
        <w:ind w:left="1440"/>
        <w:jc w:val="left"/>
        <w:rPr>
          <w:color w:val="auto"/>
          <w:kern w:val="0"/>
          <w:sz w:val="28"/>
          <w:szCs w:val="28"/>
          <w:highlight w:val="none"/>
        </w:rPr>
      </w:pPr>
      <w:r>
        <w:rPr>
          <w:rFonts w:hint="eastAsia" w:ascii="宋体" w:hAnsi="宋体" w:cs="宋体"/>
          <w:color w:val="auto"/>
          <w:kern w:val="0"/>
          <w:sz w:val="24"/>
          <w:highlight w:val="none"/>
        </w:rPr>
        <w:t>第五章   响应文件格式</w:t>
      </w:r>
    </w:p>
    <w:p w14:paraId="03284A64">
      <w:pPr>
        <w:widowControl/>
        <w:shd w:val="clear" w:color="auto" w:fill="FFFFFF"/>
        <w:spacing w:line="600" w:lineRule="exact"/>
        <w:ind w:firstLine="2233"/>
        <w:jc w:val="left"/>
        <w:rPr>
          <w:rFonts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 xml:space="preserve"> </w:t>
      </w:r>
    </w:p>
    <w:p w14:paraId="38A52199">
      <w:pPr>
        <w:widowControl/>
        <w:shd w:val="clear" w:color="auto" w:fill="FFFFFF"/>
        <w:spacing w:line="360" w:lineRule="auto"/>
        <w:ind w:firstLine="2233"/>
        <w:jc w:val="left"/>
        <w:rPr>
          <w:rFonts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 xml:space="preserve"> </w:t>
      </w:r>
    </w:p>
    <w:p w14:paraId="707A5FF1">
      <w:pPr>
        <w:widowControl/>
        <w:shd w:val="clear" w:color="auto" w:fill="FFFFFF"/>
        <w:spacing w:line="360" w:lineRule="auto"/>
        <w:ind w:firstLine="2233"/>
        <w:jc w:val="left"/>
        <w:rPr>
          <w:rFonts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 xml:space="preserve"> </w:t>
      </w:r>
    </w:p>
    <w:p w14:paraId="3CAE8042">
      <w:pPr>
        <w:rPr>
          <w:rFonts w:ascii="黑体" w:hAnsi="宋体" w:eastAsia="黑体" w:cs="宋体"/>
          <w:b/>
          <w:bCs/>
          <w:color w:val="auto"/>
          <w:kern w:val="0"/>
          <w:sz w:val="32"/>
          <w:szCs w:val="32"/>
          <w:highlight w:val="none"/>
        </w:rPr>
      </w:pPr>
      <w:r>
        <w:rPr>
          <w:rFonts w:ascii="黑体" w:hAnsi="宋体" w:eastAsia="黑体" w:cs="宋体"/>
          <w:b/>
          <w:bCs/>
          <w:color w:val="auto"/>
          <w:kern w:val="0"/>
          <w:sz w:val="32"/>
          <w:szCs w:val="32"/>
          <w:highlight w:val="none"/>
        </w:rPr>
        <w:br w:type="page"/>
      </w:r>
    </w:p>
    <w:p w14:paraId="1016464A">
      <w:pPr>
        <w:bidi w:val="0"/>
        <w:rPr>
          <w:color w:val="auto"/>
          <w:highlight w:val="none"/>
        </w:rPr>
      </w:pPr>
    </w:p>
    <w:p w14:paraId="5FB4EB55">
      <w:pPr>
        <w:pStyle w:val="65"/>
        <w:numPr>
          <w:ilvl w:val="0"/>
          <w:numId w:val="2"/>
        </w:numPr>
        <w:spacing w:line="360" w:lineRule="auto"/>
        <w:ind w:firstLineChars="0"/>
        <w:rPr>
          <w:rFonts w:ascii="宋体" w:hAnsi="宋体"/>
          <w:b/>
          <w:color w:val="auto"/>
          <w:sz w:val="28"/>
          <w:szCs w:val="28"/>
          <w:highlight w:val="none"/>
        </w:rPr>
      </w:pPr>
      <w:r>
        <w:rPr>
          <w:rFonts w:hint="eastAsia" w:ascii="宋体" w:hAnsi="宋体"/>
          <w:b/>
          <w:color w:val="auto"/>
          <w:sz w:val="28"/>
          <w:szCs w:val="28"/>
          <w:highlight w:val="none"/>
        </w:rPr>
        <w:t>竞争性磋商公告</w:t>
      </w:r>
    </w:p>
    <w:p w14:paraId="2EDC0495">
      <w:pPr>
        <w:pStyle w:val="6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left"/>
        <w:textAlignment w:val="auto"/>
        <w:rPr>
          <w:rFonts w:hint="default" w:ascii="宋体" w:hAnsi="宋体"/>
          <w:b w:val="0"/>
          <w:bCs/>
          <w:color w:val="auto"/>
          <w:sz w:val="21"/>
          <w:szCs w:val="21"/>
          <w:highlight w:val="none"/>
          <w:lang w:val="en-US" w:eastAsia="zh-CN"/>
        </w:rPr>
      </w:pPr>
      <w:bookmarkStart w:id="0" w:name="OLE_LINK1"/>
      <w:bookmarkStart w:id="1" w:name="OLE_LINK4"/>
      <w:r>
        <w:rPr>
          <w:rFonts w:hint="default" w:ascii="宋体" w:hAnsi="宋体"/>
          <w:b/>
          <w:bCs w:val="0"/>
          <w:color w:val="auto"/>
          <w:sz w:val="21"/>
          <w:szCs w:val="21"/>
          <w:highlight w:val="none"/>
          <w:lang w:val="en-US" w:eastAsia="zh-CN"/>
        </w:rPr>
        <w:t>项目概况</w:t>
      </w:r>
    </w:p>
    <w:p w14:paraId="55492AAC">
      <w:pPr>
        <w:pStyle w:val="6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default" w:ascii="宋体" w:hAnsi="宋体"/>
          <w:b w:val="0"/>
          <w:bCs/>
          <w:color w:val="auto"/>
          <w:sz w:val="21"/>
          <w:szCs w:val="21"/>
          <w:highlight w:val="none"/>
          <w:lang w:val="en-US" w:eastAsia="zh-CN"/>
        </w:rPr>
      </w:pPr>
      <w:r>
        <w:rPr>
          <w:rFonts w:hint="default" w:ascii="宋体" w:hAnsi="宋体"/>
          <w:b w:val="0"/>
          <w:bCs/>
          <w:color w:val="auto"/>
          <w:sz w:val="21"/>
          <w:szCs w:val="21"/>
          <w:highlight w:val="none"/>
          <w:lang w:val="en-US" w:eastAsia="zh-CN"/>
        </w:rPr>
        <w:t>驻马店市中心医院</w:t>
      </w:r>
      <w:r>
        <w:rPr>
          <w:rFonts w:hint="eastAsia" w:ascii="宋体" w:hAnsi="宋体"/>
          <w:b w:val="0"/>
          <w:bCs/>
          <w:color w:val="auto"/>
          <w:sz w:val="21"/>
          <w:szCs w:val="21"/>
          <w:highlight w:val="none"/>
          <w:lang w:val="en-US" w:eastAsia="zh-CN"/>
        </w:rPr>
        <w:t>模拟定位机采购项目</w:t>
      </w:r>
      <w:r>
        <w:rPr>
          <w:rFonts w:hint="default" w:ascii="宋体" w:hAnsi="宋体"/>
          <w:b w:val="0"/>
          <w:bCs/>
          <w:color w:val="auto"/>
          <w:sz w:val="21"/>
          <w:szCs w:val="21"/>
          <w:highlight w:val="none"/>
          <w:lang w:val="en-US" w:eastAsia="zh-CN"/>
        </w:rPr>
        <w:t>招标项目的潜在投标人应在驻马店市公共资源交易中心电子交易平台（https://ggzy.zhumadian.gov.cn/tpfront）获取招标文件，并于</w:t>
      </w:r>
      <w:r>
        <w:rPr>
          <w:rFonts w:hint="eastAsia" w:ascii="宋体" w:hAnsi="宋体" w:eastAsia="宋体" w:cs="宋体"/>
          <w:color w:val="auto"/>
          <w:sz w:val="21"/>
          <w:szCs w:val="21"/>
          <w:highlight w:val="none"/>
          <w:lang w:val="en-US" w:eastAsia="zh-CN"/>
        </w:rPr>
        <w:t>2025年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9时00分</w:t>
      </w:r>
      <w:r>
        <w:rPr>
          <w:rFonts w:hint="default" w:ascii="宋体" w:hAnsi="宋体"/>
          <w:b w:val="0"/>
          <w:bCs/>
          <w:color w:val="auto"/>
          <w:sz w:val="21"/>
          <w:szCs w:val="21"/>
          <w:highlight w:val="none"/>
          <w:lang w:val="en-US" w:eastAsia="zh-CN"/>
        </w:rPr>
        <w:t>（北京时间）前递交响应文件。</w:t>
      </w:r>
    </w:p>
    <w:p w14:paraId="0DBF7AFB">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0BEA2838">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1、项目编号：</w:t>
      </w:r>
      <w:r>
        <w:rPr>
          <w:rFonts w:hint="eastAsia" w:ascii="宋体" w:hAnsi="宋体" w:cs="宋体"/>
          <w:b w:val="0"/>
          <w:bCs w:val="0"/>
          <w:color w:val="auto"/>
          <w:sz w:val="21"/>
          <w:szCs w:val="21"/>
          <w:highlight w:val="none"/>
          <w:lang w:eastAsia="zh-CN"/>
        </w:rPr>
        <w:t>驻政采购-2025-09-11</w:t>
      </w:r>
    </w:p>
    <w:p w14:paraId="13204D0F">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2、项目名称：驻马店市中心医院</w:t>
      </w:r>
      <w:r>
        <w:rPr>
          <w:rFonts w:hint="eastAsia" w:ascii="宋体" w:hAnsi="宋体" w:cs="宋体"/>
          <w:b w:val="0"/>
          <w:bCs w:val="0"/>
          <w:color w:val="auto"/>
          <w:sz w:val="21"/>
          <w:szCs w:val="21"/>
          <w:highlight w:val="none"/>
          <w:lang w:eastAsia="zh-CN"/>
        </w:rPr>
        <w:t>模拟定位机采购项目</w:t>
      </w:r>
    </w:p>
    <w:p w14:paraId="01FD7A28">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3、采购方式：竞争性磋商</w:t>
      </w:r>
    </w:p>
    <w:p w14:paraId="5D8B14F9">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4、预算金额</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185</w:t>
      </w:r>
      <w:r>
        <w:rPr>
          <w:rFonts w:hint="eastAsia" w:ascii="宋体" w:hAnsi="宋体" w:eastAsia="宋体" w:cs="宋体"/>
          <w:b w:val="0"/>
          <w:bCs w:val="0"/>
          <w:color w:val="auto"/>
          <w:sz w:val="21"/>
          <w:szCs w:val="21"/>
          <w:highlight w:val="none"/>
          <w:lang w:val="en-US" w:eastAsia="zh-CN"/>
        </w:rPr>
        <w:t>0000.00</w:t>
      </w:r>
      <w:r>
        <w:rPr>
          <w:rFonts w:hint="eastAsia" w:ascii="宋体" w:hAnsi="宋体" w:eastAsia="宋体" w:cs="宋体"/>
          <w:b w:val="0"/>
          <w:bCs w:val="0"/>
          <w:color w:val="auto"/>
          <w:sz w:val="21"/>
          <w:szCs w:val="21"/>
          <w:highlight w:val="none"/>
        </w:rPr>
        <w:t>元</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最高限价：</w:t>
      </w:r>
      <w:r>
        <w:rPr>
          <w:rFonts w:hint="eastAsia" w:ascii="宋体" w:hAnsi="宋体" w:cs="宋体"/>
          <w:b w:val="0"/>
          <w:bCs w:val="0"/>
          <w:color w:val="auto"/>
          <w:sz w:val="21"/>
          <w:szCs w:val="21"/>
          <w:highlight w:val="none"/>
          <w:lang w:val="en-US" w:eastAsia="zh-CN"/>
        </w:rPr>
        <w:t>185</w:t>
      </w:r>
      <w:r>
        <w:rPr>
          <w:rFonts w:hint="eastAsia" w:ascii="宋体" w:hAnsi="宋体" w:eastAsia="宋体" w:cs="宋体"/>
          <w:b w:val="0"/>
          <w:bCs w:val="0"/>
          <w:color w:val="auto"/>
          <w:sz w:val="21"/>
          <w:szCs w:val="21"/>
          <w:highlight w:val="none"/>
          <w:lang w:val="en-US" w:eastAsia="zh-CN"/>
        </w:rPr>
        <w:t>0000.00</w:t>
      </w:r>
      <w:r>
        <w:rPr>
          <w:rFonts w:hint="eastAsia" w:ascii="宋体" w:hAnsi="宋体" w:eastAsia="宋体" w:cs="宋体"/>
          <w:b w:val="0"/>
          <w:bCs w:val="0"/>
          <w:color w:val="auto"/>
          <w:sz w:val="21"/>
          <w:szCs w:val="21"/>
          <w:highlight w:val="none"/>
        </w:rPr>
        <w:t>元</w:t>
      </w:r>
    </w:p>
    <w:tbl>
      <w:tblPr>
        <w:tblStyle w:val="40"/>
        <w:tblW w:w="8814" w:type="dxa"/>
        <w:tblCellSpacing w:w="0" w:type="dxa"/>
        <w:tblInd w:w="-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79"/>
        <w:gridCol w:w="1521"/>
        <w:gridCol w:w="2958"/>
        <w:gridCol w:w="1730"/>
        <w:gridCol w:w="1926"/>
      </w:tblGrid>
      <w:tr w14:paraId="68D79E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3" w:hRule="atLeast"/>
          <w:tblCellSpacing w:w="0" w:type="dxa"/>
        </w:trPr>
        <w:tc>
          <w:tcPr>
            <w:tcW w:w="679" w:type="dxa"/>
            <w:tcBorders>
              <w:top w:val="single" w:color="auto" w:sz="4" w:space="0"/>
              <w:left w:val="single" w:color="auto" w:sz="6" w:space="0"/>
              <w:bottom w:val="single" w:color="auto" w:sz="4" w:space="0"/>
              <w:right w:val="single" w:color="auto" w:sz="4" w:space="0"/>
            </w:tcBorders>
            <w:shd w:val="clear" w:color="auto" w:fill="FFFFFF"/>
            <w:noWrap w:val="0"/>
            <w:vAlign w:val="center"/>
          </w:tcPr>
          <w:p w14:paraId="593E3E5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
              </w:rPr>
              <w:t>序号</w:t>
            </w:r>
          </w:p>
        </w:tc>
        <w:tc>
          <w:tcPr>
            <w:tcW w:w="15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95B0D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
              </w:rPr>
              <w:t>包号</w:t>
            </w:r>
          </w:p>
        </w:tc>
        <w:tc>
          <w:tcPr>
            <w:tcW w:w="29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2EE61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
              </w:rPr>
              <w:t>包名称</w:t>
            </w:r>
          </w:p>
        </w:tc>
        <w:tc>
          <w:tcPr>
            <w:tcW w:w="1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B7615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
              </w:rPr>
              <w:t>包预算（元）</w:t>
            </w:r>
          </w:p>
        </w:tc>
        <w:tc>
          <w:tcPr>
            <w:tcW w:w="19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0A963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
              </w:rPr>
              <w:t>包最高限价（元）</w:t>
            </w:r>
          </w:p>
        </w:tc>
      </w:tr>
      <w:tr w14:paraId="4EF9D5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blCellSpacing w:w="0" w:type="dxa"/>
        </w:trPr>
        <w:tc>
          <w:tcPr>
            <w:tcW w:w="6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566D0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
              </w:rPr>
              <w:t>1</w:t>
            </w:r>
          </w:p>
        </w:tc>
        <w:tc>
          <w:tcPr>
            <w:tcW w:w="15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866AB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cs="宋体"/>
                <w:b w:val="0"/>
                <w:bCs w:val="0"/>
                <w:color w:val="auto"/>
                <w:sz w:val="21"/>
                <w:szCs w:val="21"/>
                <w:highlight w:val="none"/>
                <w:lang w:eastAsia="zh-CN"/>
              </w:rPr>
              <w:t>驻政采购-2025-09-11</w:t>
            </w:r>
            <w:r>
              <w:rPr>
                <w:rFonts w:hint="eastAsia" w:ascii="宋体" w:hAnsi="宋体" w:eastAsia="宋体" w:cs="宋体"/>
                <w:b w:val="0"/>
                <w:bCs w:val="0"/>
                <w:i w:val="0"/>
                <w:iCs w:val="0"/>
                <w:caps w:val="0"/>
                <w:color w:val="auto"/>
                <w:spacing w:val="0"/>
                <w:kern w:val="0"/>
                <w:sz w:val="21"/>
                <w:szCs w:val="21"/>
                <w:highlight w:val="none"/>
                <w:lang w:val="en-US" w:eastAsia="zh-CN" w:bidi="ar"/>
              </w:rPr>
              <w:t xml:space="preserve"> A</w:t>
            </w:r>
          </w:p>
        </w:tc>
        <w:tc>
          <w:tcPr>
            <w:tcW w:w="29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8CDD4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b w:val="0"/>
                <w:bCs w:val="0"/>
                <w:i w:val="0"/>
                <w:iCs w:val="0"/>
                <w:caps w:val="0"/>
                <w:color w:val="auto"/>
                <w:spacing w:val="0"/>
                <w:sz w:val="21"/>
                <w:szCs w:val="21"/>
                <w:highlight w:val="none"/>
                <w:lang w:val="en-US" w:eastAsia="zh-CN"/>
              </w:rPr>
            </w:pPr>
            <w:r>
              <w:rPr>
                <w:rFonts w:hint="eastAsia" w:ascii="宋体" w:hAnsi="宋体" w:eastAsia="宋体" w:cs="宋体"/>
                <w:b w:val="0"/>
                <w:bCs w:val="0"/>
                <w:color w:val="auto"/>
                <w:sz w:val="21"/>
                <w:szCs w:val="21"/>
                <w:highlight w:val="none"/>
              </w:rPr>
              <w:t>驻马店市中心医院</w:t>
            </w:r>
            <w:r>
              <w:rPr>
                <w:rFonts w:hint="eastAsia" w:ascii="宋体" w:hAnsi="宋体" w:cs="宋体"/>
                <w:b w:val="0"/>
                <w:bCs w:val="0"/>
                <w:color w:val="auto"/>
                <w:sz w:val="21"/>
                <w:szCs w:val="21"/>
                <w:highlight w:val="none"/>
                <w:lang w:eastAsia="zh-CN"/>
              </w:rPr>
              <w:t>模拟定位机采购项目</w:t>
            </w:r>
            <w:r>
              <w:rPr>
                <w:rFonts w:hint="eastAsia" w:ascii="宋体" w:hAnsi="宋体" w:cs="宋体"/>
                <w:b w:val="0"/>
                <w:bCs w:val="0"/>
                <w:color w:val="auto"/>
                <w:sz w:val="21"/>
                <w:szCs w:val="21"/>
                <w:highlight w:val="none"/>
                <w:lang w:val="en-US" w:eastAsia="zh-CN"/>
              </w:rPr>
              <w:t>A包</w:t>
            </w:r>
          </w:p>
        </w:tc>
        <w:tc>
          <w:tcPr>
            <w:tcW w:w="17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C9BDE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cs="宋体"/>
                <w:b w:val="0"/>
                <w:bCs w:val="0"/>
                <w:color w:val="auto"/>
                <w:sz w:val="21"/>
                <w:szCs w:val="21"/>
                <w:highlight w:val="none"/>
                <w:lang w:val="en-US" w:eastAsia="zh-CN"/>
              </w:rPr>
              <w:t>1850000</w:t>
            </w:r>
            <w:r>
              <w:rPr>
                <w:rFonts w:hint="eastAsia" w:ascii="宋体" w:hAnsi="宋体" w:eastAsia="宋体" w:cs="宋体"/>
                <w:b w:val="0"/>
                <w:bCs w:val="0"/>
                <w:color w:val="auto"/>
                <w:sz w:val="21"/>
                <w:szCs w:val="21"/>
                <w:highlight w:val="none"/>
                <w:lang w:val="en-US" w:eastAsia="zh-CN"/>
              </w:rPr>
              <w:t>.00</w:t>
            </w:r>
          </w:p>
        </w:tc>
        <w:tc>
          <w:tcPr>
            <w:tcW w:w="19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5D92E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cs="宋体"/>
                <w:b w:val="0"/>
                <w:bCs w:val="0"/>
                <w:color w:val="auto"/>
                <w:sz w:val="21"/>
                <w:szCs w:val="21"/>
                <w:highlight w:val="none"/>
                <w:lang w:val="en-US" w:eastAsia="zh-CN"/>
              </w:rPr>
              <w:t>1850000</w:t>
            </w:r>
            <w:r>
              <w:rPr>
                <w:rFonts w:hint="eastAsia" w:ascii="宋体" w:hAnsi="宋体" w:eastAsia="宋体" w:cs="宋体"/>
                <w:b w:val="0"/>
                <w:bCs w:val="0"/>
                <w:color w:val="auto"/>
                <w:sz w:val="21"/>
                <w:szCs w:val="21"/>
                <w:highlight w:val="none"/>
                <w:lang w:val="en-US" w:eastAsia="zh-CN"/>
              </w:rPr>
              <w:t>.00</w:t>
            </w:r>
          </w:p>
        </w:tc>
      </w:tr>
    </w:tbl>
    <w:p w14:paraId="434F2E23">
      <w:pPr>
        <w:bidi w:val="0"/>
        <w:rPr>
          <w:rFonts w:hint="eastAsia"/>
        </w:rPr>
      </w:pPr>
    </w:p>
    <w:p w14:paraId="4F29972E">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5、采购需求（包括但不限于标的的名称、数量、简要技术需求或服务要求等）：</w:t>
      </w:r>
    </w:p>
    <w:p w14:paraId="0D48ECAA">
      <w:pPr>
        <w:keepNext w:val="0"/>
        <w:keepLines w:val="0"/>
        <w:pageBreakBefore w:val="0"/>
        <w:widowControl w:val="0"/>
        <w:kinsoku/>
        <w:wordWrap/>
        <w:overflowPunct/>
        <w:topLinePunct w:val="0"/>
        <w:autoSpaceDE/>
        <w:autoSpaceDN/>
        <w:bidi w:val="0"/>
        <w:adjustRightInd/>
        <w:snapToGrid w:val="0"/>
        <w:spacing w:line="360" w:lineRule="auto"/>
        <w:ind w:left="0" w:leftChars="0" w:firstLine="739" w:firstLineChars="352"/>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5.1 采购内容：模拟定位机1套。</w:t>
      </w:r>
    </w:p>
    <w:p w14:paraId="3441CAA0">
      <w:pPr>
        <w:keepNext w:val="0"/>
        <w:keepLines w:val="0"/>
        <w:pageBreakBefore w:val="0"/>
        <w:widowControl w:val="0"/>
        <w:kinsoku/>
        <w:wordWrap/>
        <w:overflowPunct/>
        <w:topLinePunct w:val="0"/>
        <w:autoSpaceDE/>
        <w:autoSpaceDN/>
        <w:bidi w:val="0"/>
        <w:adjustRightInd/>
        <w:snapToGrid w:val="0"/>
        <w:spacing w:line="360" w:lineRule="auto"/>
        <w:ind w:left="0" w:leftChars="0" w:firstLine="739" w:firstLineChars="352"/>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5.2 交货地点：采购人指定地点。                             </w:t>
      </w:r>
    </w:p>
    <w:p w14:paraId="25B408D0">
      <w:pPr>
        <w:keepNext w:val="0"/>
        <w:keepLines w:val="0"/>
        <w:pageBreakBefore w:val="0"/>
        <w:widowControl w:val="0"/>
        <w:kinsoku/>
        <w:wordWrap/>
        <w:overflowPunct/>
        <w:topLinePunct w:val="0"/>
        <w:autoSpaceDE/>
        <w:autoSpaceDN/>
        <w:bidi w:val="0"/>
        <w:adjustRightInd/>
        <w:snapToGrid w:val="0"/>
        <w:spacing w:line="360" w:lineRule="auto"/>
        <w:ind w:left="0" w:leftChars="0" w:firstLine="739" w:firstLineChars="352"/>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5.3 交货期：合同签订后30日内交货，最终以合同约定内容为准。</w:t>
      </w:r>
    </w:p>
    <w:p w14:paraId="49BC9596">
      <w:pPr>
        <w:keepNext w:val="0"/>
        <w:keepLines w:val="0"/>
        <w:pageBreakBefore w:val="0"/>
        <w:widowControl w:val="0"/>
        <w:kinsoku/>
        <w:wordWrap/>
        <w:overflowPunct/>
        <w:topLinePunct w:val="0"/>
        <w:autoSpaceDE/>
        <w:autoSpaceDN/>
        <w:bidi w:val="0"/>
        <w:adjustRightInd/>
        <w:snapToGrid w:val="0"/>
        <w:spacing w:line="360" w:lineRule="auto"/>
        <w:ind w:left="0" w:leftChars="0" w:firstLine="739" w:firstLineChars="352"/>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5.4 质保期：从产品入库之日起，整机保修三年，出具相关服务承诺书。</w:t>
      </w:r>
    </w:p>
    <w:p w14:paraId="4527AF6A">
      <w:pPr>
        <w:keepNext w:val="0"/>
        <w:keepLines w:val="0"/>
        <w:pageBreakBefore w:val="0"/>
        <w:widowControl w:val="0"/>
        <w:kinsoku/>
        <w:wordWrap/>
        <w:overflowPunct/>
        <w:topLinePunct w:val="0"/>
        <w:autoSpaceDE/>
        <w:autoSpaceDN/>
        <w:bidi w:val="0"/>
        <w:adjustRightInd/>
        <w:snapToGrid w:val="0"/>
        <w:spacing w:line="360" w:lineRule="auto"/>
        <w:ind w:left="0" w:leftChars="0" w:firstLine="739" w:firstLineChars="352"/>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5.5 质量要求：</w:t>
      </w:r>
      <w:r>
        <w:rPr>
          <w:rFonts w:hint="eastAsia" w:ascii="宋体" w:hAnsi="宋体" w:cs="宋体"/>
          <w:sz w:val="21"/>
          <w:szCs w:val="21"/>
          <w:highlight w:val="none"/>
          <w:lang w:val="en-US" w:eastAsia="zh-CN"/>
        </w:rPr>
        <w:t>符合国家质量标准、部颁标准、行业标准</w:t>
      </w:r>
      <w:r>
        <w:rPr>
          <w:rFonts w:hint="eastAsia" w:ascii="宋体" w:hAnsi="宋体" w:cs="宋体"/>
          <w:sz w:val="21"/>
          <w:szCs w:val="21"/>
          <w:highlight w:val="none"/>
        </w:rPr>
        <w:t>，</w:t>
      </w:r>
      <w:r>
        <w:rPr>
          <w:rFonts w:hint="eastAsia" w:ascii="宋体" w:hAnsi="宋体" w:cs="宋体"/>
          <w:sz w:val="21"/>
          <w:szCs w:val="21"/>
          <w:highlight w:val="none"/>
          <w:lang w:val="en-US" w:eastAsia="zh-CN"/>
        </w:rPr>
        <w:t>且</w:t>
      </w:r>
      <w:r>
        <w:rPr>
          <w:rFonts w:hint="eastAsia" w:ascii="宋体" w:hAnsi="宋体" w:cs="宋体"/>
          <w:sz w:val="21"/>
          <w:szCs w:val="21"/>
          <w:highlight w:val="none"/>
        </w:rPr>
        <w:t>满足</w:t>
      </w:r>
      <w:r>
        <w:rPr>
          <w:rFonts w:hint="eastAsia" w:ascii="宋体" w:hAnsi="宋体" w:cs="宋体"/>
          <w:sz w:val="21"/>
          <w:szCs w:val="21"/>
          <w:highlight w:val="none"/>
          <w:lang w:val="en-US" w:eastAsia="zh-CN"/>
        </w:rPr>
        <w:t>磋商文件要求</w:t>
      </w:r>
      <w:r>
        <w:rPr>
          <w:rFonts w:hint="eastAsia" w:ascii="宋体" w:hAnsi="宋体" w:cs="宋体"/>
          <w:sz w:val="21"/>
          <w:szCs w:val="21"/>
          <w:highlight w:val="none"/>
          <w:lang w:eastAsia="zh-CN"/>
        </w:rPr>
        <w:t>。</w:t>
      </w:r>
      <w:r>
        <w:rPr>
          <w:rFonts w:hint="eastAsia" w:ascii="宋体" w:hAnsi="宋体" w:cs="宋体"/>
          <w:sz w:val="21"/>
          <w:szCs w:val="21"/>
          <w:highlight w:val="none"/>
        </w:rPr>
        <w:t xml:space="preserve"> </w:t>
      </w:r>
    </w:p>
    <w:p w14:paraId="4AB2D644">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合同履行期限：</w:t>
      </w:r>
      <w:r>
        <w:rPr>
          <w:rFonts w:hint="eastAsia" w:ascii="宋体" w:hAnsi="宋体" w:eastAsia="宋体" w:cs="宋体"/>
          <w:b w:val="0"/>
          <w:bCs w:val="0"/>
          <w:color w:val="auto"/>
          <w:sz w:val="21"/>
          <w:szCs w:val="21"/>
          <w:highlight w:val="none"/>
          <w:lang w:val="en-US" w:eastAsia="zh-CN"/>
        </w:rPr>
        <w:t>自合同生效起至质保期结束</w:t>
      </w:r>
      <w:r>
        <w:rPr>
          <w:rFonts w:hint="eastAsia" w:ascii="宋体" w:hAnsi="宋体" w:eastAsia="宋体" w:cs="宋体"/>
          <w:b w:val="0"/>
          <w:bCs w:val="0"/>
          <w:color w:val="auto"/>
          <w:sz w:val="21"/>
          <w:szCs w:val="21"/>
          <w:highlight w:val="none"/>
        </w:rPr>
        <w:t>。</w:t>
      </w:r>
    </w:p>
    <w:p w14:paraId="18E016D1">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本项目</w:t>
      </w:r>
      <w:r>
        <w:rPr>
          <w:rFonts w:hint="eastAsia" w:ascii="宋体" w:hAnsi="宋体" w:eastAsia="宋体" w:cs="宋体"/>
          <w:b w:val="0"/>
          <w:bCs w:val="0"/>
          <w:color w:val="auto"/>
          <w:sz w:val="21"/>
          <w:szCs w:val="21"/>
          <w:highlight w:val="none"/>
          <w:lang w:val="en-US" w:eastAsia="zh-CN"/>
        </w:rPr>
        <w:t>是否</w:t>
      </w:r>
      <w:r>
        <w:rPr>
          <w:rFonts w:hint="eastAsia" w:ascii="宋体" w:hAnsi="宋体" w:eastAsia="宋体" w:cs="宋体"/>
          <w:b w:val="0"/>
          <w:bCs w:val="0"/>
          <w:color w:val="auto"/>
          <w:sz w:val="21"/>
          <w:szCs w:val="21"/>
          <w:highlight w:val="none"/>
        </w:rPr>
        <w:t>接受联合体投</w:t>
      </w:r>
      <w:r>
        <w:rPr>
          <w:rFonts w:hint="eastAsia" w:ascii="宋体" w:hAnsi="宋体" w:eastAsia="宋体" w:cs="宋体"/>
          <w:b w:val="0"/>
          <w:bCs w:val="0"/>
          <w:color w:val="auto"/>
          <w:sz w:val="21"/>
          <w:szCs w:val="21"/>
          <w:highlight w:val="none"/>
          <w:lang w:val="en-US" w:eastAsia="zh-CN"/>
        </w:rPr>
        <w:t>标：否</w:t>
      </w:r>
    </w:p>
    <w:p w14:paraId="380C3219">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8、是否接受进口产品</w:t>
      </w:r>
      <w:r>
        <w:rPr>
          <w:rFonts w:hint="eastAsia" w:ascii="宋体" w:hAnsi="宋体" w:eastAsia="宋体" w:cs="宋体"/>
          <w:bCs/>
          <w:color w:val="auto"/>
          <w:sz w:val="21"/>
          <w:szCs w:val="21"/>
          <w:highlight w:val="none"/>
          <w:lang w:val="en-US" w:eastAsia="zh-CN"/>
        </w:rPr>
        <w:t>：否</w:t>
      </w:r>
    </w:p>
    <w:p w14:paraId="05F9FB55">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9、是否专门面向中小企业：否</w:t>
      </w:r>
    </w:p>
    <w:p w14:paraId="3FCD70A8">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sz w:val="21"/>
          <w:szCs w:val="21"/>
          <w:highlight w:val="none"/>
        </w:rPr>
        <w:t>二、申请人资格要求</w:t>
      </w:r>
    </w:p>
    <w:p w14:paraId="0D6F972E">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14:paraId="791D8FE2">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落实政府采购政策满足的资格要求：</w:t>
      </w:r>
      <w:r>
        <w:rPr>
          <w:rFonts w:hint="eastAsia" w:ascii="宋体" w:hAnsi="宋体" w:cs="宋体"/>
          <w:color w:val="auto"/>
          <w:sz w:val="21"/>
          <w:szCs w:val="21"/>
          <w:highlight w:val="none"/>
          <w:lang w:val="en-US" w:eastAsia="zh-CN"/>
        </w:rPr>
        <w:t>/。</w:t>
      </w:r>
    </w:p>
    <w:p w14:paraId="50E27A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14:paraId="03524653">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highlight w:val="none"/>
          <w:lang w:val="en-US" w:eastAsia="zh-CN"/>
        </w:rPr>
        <w:t>3.1</w:t>
      </w:r>
      <w:r>
        <w:rPr>
          <w:rFonts w:hint="eastAsia" w:ascii="宋体" w:hAnsi="宋体" w:cs="宋体"/>
          <w:color w:val="auto"/>
          <w:highlight w:val="none"/>
          <w:lang w:val="en-US" w:eastAsia="zh-CN"/>
        </w:rPr>
        <w:t xml:space="preserve"> 单位负责人为同一人或者存在直接控股、管理关系的不同供应商，不得参加同一合同项下的政府采购活动</w:t>
      </w:r>
      <w:r>
        <w:rPr>
          <w:rFonts w:hint="eastAsia" w:ascii="宋体" w:hAnsi="宋体" w:eastAsia="宋体" w:cs="宋体"/>
          <w:sz w:val="21"/>
          <w:szCs w:val="21"/>
          <w:highlight w:val="none"/>
          <w:lang w:val="en-US" w:eastAsia="zh-CN"/>
        </w:rPr>
        <w:t>；</w:t>
      </w:r>
    </w:p>
    <w:p w14:paraId="115A93E7">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3.2 </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sz w:val="21"/>
          <w:szCs w:val="21"/>
          <w:highlight w:val="none"/>
          <w:lang w:eastAsia="zh-CN"/>
        </w:rPr>
        <w:t>；</w:t>
      </w:r>
    </w:p>
    <w:p w14:paraId="7D06A33B">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3.3 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响应文件提交截止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r>
        <w:rPr>
          <w:rFonts w:hint="eastAsia" w:ascii="宋体" w:hAnsi="宋体" w:eastAsia="宋体" w:cs="宋体"/>
          <w:sz w:val="21"/>
          <w:szCs w:val="21"/>
          <w:highlight w:val="none"/>
        </w:rPr>
        <w:t>。</w:t>
      </w:r>
    </w:p>
    <w:p w14:paraId="4349179C">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w:t>
      </w:r>
      <w:r>
        <w:rPr>
          <w:rFonts w:hint="eastAsia" w:ascii="宋体" w:hAnsi="宋体" w:eastAsia="宋体" w:cs="宋体"/>
          <w:b/>
          <w:color w:val="auto"/>
          <w:kern w:val="0"/>
          <w:sz w:val="21"/>
          <w:szCs w:val="21"/>
          <w:highlight w:val="none"/>
        </w:rPr>
        <w:t>采购</w:t>
      </w:r>
      <w:r>
        <w:rPr>
          <w:rFonts w:hint="eastAsia" w:ascii="宋体" w:hAnsi="宋体" w:eastAsia="宋体" w:cs="宋体"/>
          <w:b/>
          <w:bCs/>
          <w:color w:val="auto"/>
          <w:sz w:val="21"/>
          <w:szCs w:val="21"/>
          <w:highlight w:val="none"/>
        </w:rPr>
        <w:t>文件</w:t>
      </w:r>
    </w:p>
    <w:p w14:paraId="37767F13">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08</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每天上午8：00至12:00，下午12:00至18:00（北京时间，法定节假日除外）</w:t>
      </w:r>
    </w:p>
    <w:p w14:paraId="2AC447E6">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lang w:val="en-US" w:eastAsia="zh-CN"/>
        </w:rPr>
        <w:t>驻马店市公共资源交易中心电子交易平台（</w:t>
      </w:r>
      <w:r>
        <w:rPr>
          <w:rFonts w:hint="eastAsia" w:ascii="宋体" w:hAnsi="宋体" w:cs="宋体"/>
          <w:color w:val="auto"/>
          <w:sz w:val="21"/>
          <w:szCs w:val="21"/>
          <w:highlight w:val="none"/>
          <w:lang w:val="en-US" w:eastAsia="zh-CN"/>
        </w:rPr>
        <w:t>https://ggzy.zhumadian.gov.cn/tpfront</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p>
    <w:p w14:paraId="2366AA4B">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3.方式：凭CA密钥登陆会员系统并按网上提示免费下载竞争性磋商文件及资料</w:t>
      </w:r>
      <w:r>
        <w:rPr>
          <w:rFonts w:hint="eastAsia" w:ascii="宋体" w:hAnsi="宋体" w:cs="宋体"/>
          <w:color w:val="auto"/>
          <w:sz w:val="21"/>
          <w:szCs w:val="21"/>
          <w:highlight w:val="none"/>
          <w:lang w:eastAsia="zh-CN"/>
        </w:rPr>
        <w:t>。</w:t>
      </w:r>
    </w:p>
    <w:p w14:paraId="7D31530A">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4.售价：0元</w:t>
      </w:r>
      <w:r>
        <w:rPr>
          <w:rFonts w:hint="eastAsia" w:ascii="宋体" w:hAnsi="宋体" w:cs="宋体"/>
          <w:color w:val="auto"/>
          <w:sz w:val="21"/>
          <w:szCs w:val="21"/>
          <w:highlight w:val="none"/>
          <w:lang w:eastAsia="zh-CN"/>
        </w:rPr>
        <w:t>。</w:t>
      </w:r>
    </w:p>
    <w:p w14:paraId="350E3377">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bookmarkStart w:id="2" w:name="_Toc35393632"/>
      <w:bookmarkStart w:id="3" w:name="_Toc28359015"/>
      <w:bookmarkStart w:id="4" w:name="_Toc28359092"/>
      <w:bookmarkStart w:id="5" w:name="_Toc35393801"/>
      <w:r>
        <w:rPr>
          <w:rFonts w:hint="eastAsia" w:ascii="宋体" w:hAnsi="宋体" w:eastAsia="宋体" w:cs="宋体"/>
          <w:b/>
          <w:bCs/>
          <w:color w:val="auto"/>
          <w:sz w:val="21"/>
          <w:szCs w:val="21"/>
          <w:highlight w:val="none"/>
        </w:rPr>
        <w:t>四、响应文件提交</w:t>
      </w:r>
      <w:bookmarkEnd w:id="2"/>
      <w:bookmarkEnd w:id="3"/>
      <w:bookmarkEnd w:id="4"/>
      <w:bookmarkEnd w:id="5"/>
    </w:p>
    <w:p w14:paraId="1E07B313">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1.截止时间：</w:t>
      </w:r>
      <w:r>
        <w:rPr>
          <w:rFonts w:hint="eastAsia" w:ascii="宋体" w:hAnsi="宋体" w:eastAsia="宋体" w:cs="宋体"/>
          <w:color w:val="auto"/>
          <w:sz w:val="21"/>
          <w:szCs w:val="21"/>
          <w:highlight w:val="none"/>
          <w:lang w:val="en-US" w:eastAsia="zh-CN"/>
        </w:rPr>
        <w:t>2025年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9时00分（北京时间）。</w:t>
      </w:r>
    </w:p>
    <w:p w14:paraId="2A6071BC">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2.地点：驻马店市公共资源交易中心电子交易平台。</w:t>
      </w:r>
    </w:p>
    <w:p w14:paraId="759521A9">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bookmarkStart w:id="6" w:name="_Toc28359093"/>
      <w:bookmarkStart w:id="7" w:name="_Toc35393802"/>
      <w:bookmarkStart w:id="8" w:name="_Toc28359016"/>
      <w:bookmarkStart w:id="9" w:name="_Toc35393633"/>
      <w:r>
        <w:rPr>
          <w:rFonts w:hint="eastAsia" w:ascii="宋体" w:hAnsi="宋体" w:eastAsia="宋体" w:cs="宋体"/>
          <w:b/>
          <w:bCs/>
          <w:color w:val="auto"/>
          <w:sz w:val="21"/>
          <w:szCs w:val="21"/>
          <w:highlight w:val="none"/>
        </w:rPr>
        <w:t>五、响应文件开启</w:t>
      </w:r>
      <w:bookmarkEnd w:id="6"/>
      <w:bookmarkEnd w:id="7"/>
      <w:bookmarkEnd w:id="8"/>
      <w:bookmarkEnd w:id="9"/>
    </w:p>
    <w:p w14:paraId="37D3AC4D">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val="en-US" w:eastAsia="zh-CN"/>
        </w:rPr>
        <w:t>2025年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9时00分（北京时间）</w:t>
      </w:r>
    </w:p>
    <w:p w14:paraId="0FFD651B">
      <w:pPr>
        <w:keepNext w:val="0"/>
        <w:keepLines w:val="0"/>
        <w:pageBreakBefore w:val="0"/>
        <w:kinsoku/>
        <w:overflowPunct/>
        <w:topLinePunct w:val="0"/>
        <w:autoSpaceDE/>
        <w:autoSpaceDN/>
        <w:bidi w:val="0"/>
        <w:adjustRightInd/>
        <w:snapToGrid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2.地点：驻马店市公共资源交易中心电子交易平台不见面开标</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厅。</w:t>
      </w:r>
    </w:p>
    <w:p w14:paraId="411F9003">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bookmarkStart w:id="10" w:name="_Toc35393803"/>
      <w:bookmarkStart w:id="11" w:name="_Toc35393634"/>
      <w:bookmarkStart w:id="12" w:name="_Toc28359094"/>
      <w:bookmarkStart w:id="13" w:name="_Toc28359017"/>
      <w:r>
        <w:rPr>
          <w:rFonts w:hint="eastAsia" w:ascii="宋体" w:hAnsi="宋体" w:eastAsia="宋体" w:cs="宋体"/>
          <w:b/>
          <w:bCs/>
          <w:color w:val="auto"/>
          <w:sz w:val="21"/>
          <w:szCs w:val="21"/>
          <w:highlight w:val="none"/>
        </w:rPr>
        <w:t>六、</w:t>
      </w:r>
      <w:bookmarkEnd w:id="10"/>
      <w:bookmarkEnd w:id="11"/>
      <w:bookmarkEnd w:id="12"/>
      <w:bookmarkEnd w:id="13"/>
      <w:r>
        <w:rPr>
          <w:rFonts w:hint="eastAsia" w:ascii="宋体" w:hAnsi="宋体" w:eastAsia="宋体" w:cs="宋体"/>
          <w:b/>
          <w:bCs/>
          <w:color w:val="auto"/>
          <w:sz w:val="21"/>
          <w:szCs w:val="21"/>
          <w:highlight w:val="none"/>
        </w:rPr>
        <w:t>发布公告的媒介及公告期限</w:t>
      </w:r>
    </w:p>
    <w:p w14:paraId="644154D5">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14" w:name="_Toc35393804"/>
      <w:bookmarkStart w:id="15" w:name="_Toc35393635"/>
      <w:r>
        <w:rPr>
          <w:rFonts w:hint="eastAsia" w:ascii="宋体" w:hAnsi="宋体" w:eastAsia="宋体" w:cs="宋体"/>
          <w:color w:val="auto"/>
          <w:sz w:val="21"/>
          <w:szCs w:val="21"/>
          <w:highlight w:val="none"/>
        </w:rPr>
        <w:t>本次招标公告在《河南省政府采购网》、《驻马店市公共资源交易中心网》</w:t>
      </w:r>
      <w:r>
        <w:rPr>
          <w:rFonts w:hint="eastAsia" w:ascii="宋体" w:hAnsi="宋体" w:cs="宋体"/>
          <w:color w:val="auto"/>
          <w:sz w:val="21"/>
          <w:szCs w:val="21"/>
          <w:highlight w:val="none"/>
          <w:lang w:eastAsia="zh-CN"/>
        </w:rPr>
        <w:t>、《驻马店市政府采购网》</w:t>
      </w:r>
      <w:r>
        <w:rPr>
          <w:rFonts w:hint="eastAsia" w:ascii="宋体" w:hAnsi="宋体" w:eastAsia="宋体" w:cs="宋体"/>
          <w:color w:val="auto"/>
          <w:sz w:val="21"/>
          <w:szCs w:val="21"/>
          <w:highlight w:val="none"/>
        </w:rPr>
        <w:t>上发布。招标公告期限为三个工作日。</w:t>
      </w:r>
    </w:p>
    <w:p w14:paraId="62AC42AF">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七、其他补充事宜</w:t>
      </w:r>
      <w:bookmarkEnd w:id="14"/>
      <w:bookmarkEnd w:id="15"/>
    </w:p>
    <w:p w14:paraId="26F0AF5A">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本项目执行促进中小型企业发展政策（监狱企业、残疾人福利性企业视同小微企业）、强制采购节能产品、优先采购节能环保产品等政府采购政策。</w:t>
      </w:r>
    </w:p>
    <w:p w14:paraId="325904B9">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.本项目使用远程不见面交易的模式。供应商应于响应文件提交截止时间前将加密电子响应文件(.zmdtf格式)在驻马店市公共资源交易中心电子交易平台加密上传，逾期上传其响应将被拒绝。</w:t>
      </w:r>
    </w:p>
    <w:p w14:paraId="0E74AC95">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.供应商注册:</w:t>
      </w:r>
    </w:p>
    <w:p w14:paraId="6FD9272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供应商首先通过“驻马店市公共资源交易中心（</w:t>
      </w:r>
      <w:r>
        <w:rPr>
          <w:rFonts w:hint="eastAsia" w:ascii="宋体" w:hAnsi="宋体" w:cs="宋体"/>
          <w:color w:val="auto"/>
          <w:sz w:val="21"/>
          <w:szCs w:val="21"/>
          <w:highlight w:val="none"/>
          <w:lang w:eastAsia="zh-CN"/>
        </w:rPr>
        <w:t>https://ggzy.zhumadian.gov.cn/tpfront</w:t>
      </w:r>
      <w:r>
        <w:rPr>
          <w:rFonts w:hint="eastAsia" w:ascii="宋体" w:hAnsi="宋体" w:eastAsia="宋体" w:cs="宋体"/>
          <w:color w:val="auto"/>
          <w:sz w:val="21"/>
          <w:szCs w:val="21"/>
          <w:highlight w:val="none"/>
        </w:rPr>
        <w:t>）”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41BEB4E">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.采购文件下载: </w:t>
      </w:r>
    </w:p>
    <w:p w14:paraId="23F5C8B9">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凡有意参加磋商者，登录“驻马店市公共资源交易中心（</w:t>
      </w:r>
      <w:r>
        <w:rPr>
          <w:rFonts w:hint="eastAsia" w:ascii="宋体" w:hAnsi="宋体" w:cs="宋体"/>
          <w:color w:val="auto"/>
          <w:sz w:val="21"/>
          <w:szCs w:val="21"/>
          <w:highlight w:val="none"/>
          <w:lang w:eastAsia="zh-CN"/>
        </w:rPr>
        <w:t>https://ggzy.zhumadian.gov.cn/tpfront</w:t>
      </w:r>
      <w:r>
        <w:rPr>
          <w:rFonts w:hint="eastAsia" w:ascii="宋体" w:hAnsi="宋体" w:eastAsia="宋体" w:cs="宋体"/>
          <w:color w:val="auto"/>
          <w:sz w:val="21"/>
          <w:szCs w:val="21"/>
          <w:highlight w:val="none"/>
        </w:rPr>
        <w:t>/）”网站，凭领取的企业身份认证锁（CA密钥）登录系统进行网上免费下载采购文件。供应商未按规定在网上下载采购文件的，其响应将被拒绝。</w:t>
      </w:r>
    </w:p>
    <w:p w14:paraId="0C3AFFC3">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代理服务收费标准：根据驻马店市政府采购电子商城采购合同约定收取</w:t>
      </w:r>
      <w:r>
        <w:rPr>
          <w:rFonts w:hint="eastAsia" w:ascii="宋体" w:hAnsi="宋体" w:eastAsia="宋体" w:cs="宋体"/>
          <w:color w:val="auto"/>
          <w:sz w:val="21"/>
          <w:szCs w:val="21"/>
          <w:highlight w:val="none"/>
        </w:rPr>
        <w:t>。</w:t>
      </w:r>
    </w:p>
    <w:p w14:paraId="75AF60BE">
      <w:pPr>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bookmarkStart w:id="16" w:name="_Toc35393636"/>
      <w:bookmarkStart w:id="17" w:name="_Toc28359095"/>
      <w:bookmarkStart w:id="18" w:name="_Toc28359018"/>
      <w:bookmarkStart w:id="19" w:name="_Toc35393805"/>
      <w:r>
        <w:rPr>
          <w:rFonts w:hint="eastAsia" w:ascii="宋体" w:hAnsi="宋体" w:eastAsia="宋体" w:cs="宋体"/>
          <w:b/>
          <w:bCs/>
          <w:color w:val="auto"/>
          <w:sz w:val="21"/>
          <w:szCs w:val="21"/>
          <w:highlight w:val="none"/>
        </w:rPr>
        <w:t>八、凡对本次采购提出询问，请按以下方式联系</w:t>
      </w:r>
      <w:bookmarkEnd w:id="16"/>
      <w:bookmarkEnd w:id="17"/>
      <w:bookmarkEnd w:id="18"/>
      <w:bookmarkEnd w:id="19"/>
    </w:p>
    <w:p w14:paraId="25F4CC82">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20" w:name="_Toc28359096"/>
      <w:bookmarkStart w:id="21" w:name="_Toc35393637"/>
      <w:bookmarkStart w:id="22" w:name="_Toc28359019"/>
      <w:bookmarkStart w:id="23" w:name="_Toc35393806"/>
      <w:r>
        <w:rPr>
          <w:rFonts w:hint="eastAsia" w:ascii="宋体" w:hAnsi="宋体" w:eastAsia="宋体" w:cs="宋体"/>
          <w:color w:val="auto"/>
          <w:sz w:val="21"/>
          <w:szCs w:val="21"/>
          <w:highlight w:val="none"/>
        </w:rPr>
        <w:t>1.采购人信息</w:t>
      </w:r>
      <w:bookmarkEnd w:id="20"/>
      <w:bookmarkEnd w:id="21"/>
      <w:bookmarkEnd w:id="22"/>
      <w:bookmarkEnd w:id="23"/>
    </w:p>
    <w:p w14:paraId="496D497C">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名称：驻马店市中心医院 </w:t>
      </w:r>
    </w:p>
    <w:p w14:paraId="1C384943">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地址：驻马店市中华大道747号 </w:t>
      </w:r>
    </w:p>
    <w:p w14:paraId="0B7AEC7A">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联系人：陈先生 </w:t>
      </w:r>
    </w:p>
    <w:p w14:paraId="176A716E">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联系方式：0396-2726379</w:t>
      </w:r>
    </w:p>
    <w:p w14:paraId="5541BA96">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24" w:name="_Toc35393807"/>
      <w:bookmarkStart w:id="25" w:name="_Toc28359097"/>
      <w:bookmarkStart w:id="26" w:name="_Toc35393638"/>
      <w:bookmarkStart w:id="27" w:name="_Toc28359020"/>
      <w:r>
        <w:rPr>
          <w:rFonts w:hint="eastAsia" w:ascii="宋体" w:hAnsi="宋体" w:eastAsia="宋体" w:cs="宋体"/>
          <w:color w:val="auto"/>
          <w:sz w:val="21"/>
          <w:szCs w:val="21"/>
          <w:highlight w:val="none"/>
        </w:rPr>
        <w:t>2.采购代理机构信息</w:t>
      </w:r>
      <w:bookmarkEnd w:id="24"/>
      <w:bookmarkEnd w:id="25"/>
      <w:bookmarkEnd w:id="26"/>
      <w:bookmarkEnd w:id="27"/>
    </w:p>
    <w:p w14:paraId="581C0476">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lang w:val="en-US" w:eastAsia="zh-CN"/>
        </w:rPr>
        <w:t xml:space="preserve">恒信咨询管理有限公司 </w:t>
      </w:r>
    </w:p>
    <w:p w14:paraId="243695C0">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lang w:val="en-US" w:eastAsia="zh-CN"/>
        </w:rPr>
        <w:t xml:space="preserve">郑州市电厂路河南省国家大学科技园（东区）16号楼B座6楼 </w:t>
      </w:r>
    </w:p>
    <w:p w14:paraId="683F6244">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联系人：</w:t>
      </w:r>
      <w:r>
        <w:rPr>
          <w:rFonts w:hint="eastAsia" w:ascii="宋体" w:hAnsi="宋体" w:eastAsia="宋体" w:cs="宋体"/>
          <w:color w:val="auto"/>
          <w:kern w:val="0"/>
          <w:sz w:val="21"/>
          <w:szCs w:val="21"/>
          <w:highlight w:val="none"/>
          <w:lang w:val="en-US" w:eastAsia="zh-CN"/>
        </w:rPr>
        <w:t xml:space="preserve">杨伟昌 </w:t>
      </w:r>
    </w:p>
    <w:p w14:paraId="726AC38F">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联系方式：</w:t>
      </w:r>
      <w:r>
        <w:rPr>
          <w:rFonts w:hint="eastAsia" w:ascii="宋体" w:hAnsi="宋体" w:eastAsia="宋体" w:cs="宋体"/>
          <w:color w:val="auto"/>
          <w:kern w:val="0"/>
          <w:sz w:val="21"/>
          <w:szCs w:val="21"/>
          <w:highlight w:val="none"/>
          <w:lang w:val="en-US" w:eastAsia="zh-CN"/>
        </w:rPr>
        <w:t xml:space="preserve">18300706635 、 0371-86688490 </w:t>
      </w:r>
    </w:p>
    <w:p w14:paraId="47321C72">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p>
    <w:p w14:paraId="324F2EF3">
      <w:pPr>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cs="宋体"/>
          <w:color w:val="auto"/>
          <w:kern w:val="0"/>
          <w:sz w:val="24"/>
          <w:highlight w:val="none"/>
        </w:rPr>
      </w:pPr>
      <w:r>
        <w:rPr>
          <w:rFonts w:hint="eastAsia" w:ascii="宋体" w:hAnsi="宋体" w:eastAsia="宋体" w:cs="宋体"/>
          <w:color w:val="auto"/>
          <w:kern w:val="0"/>
          <w:sz w:val="21"/>
          <w:szCs w:val="21"/>
          <w:highlight w:val="none"/>
          <w:lang w:eastAsia="zh-CN"/>
        </w:rPr>
        <w:t>项目</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 xml:space="preserve">杨伟昌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联系方式</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18300706635</w:t>
      </w:r>
    </w:p>
    <w:p w14:paraId="2101ADFA">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ascii="宋体" w:hAnsi="宋体" w:cs="宋体"/>
          <w:color w:val="auto"/>
          <w:kern w:val="0"/>
          <w:sz w:val="24"/>
          <w:highlight w:val="none"/>
        </w:rPr>
      </w:pPr>
    </w:p>
    <w:p w14:paraId="3596D4CB">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ascii="宋体" w:hAnsi="宋体" w:cs="宋体"/>
          <w:color w:val="auto"/>
          <w:kern w:val="0"/>
          <w:sz w:val="24"/>
          <w:highlight w:val="none"/>
        </w:rPr>
      </w:pPr>
    </w:p>
    <w:p w14:paraId="29D74F4D">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ascii="宋体" w:hAnsi="宋体" w:cs="宋体"/>
          <w:color w:val="auto"/>
          <w:kern w:val="0"/>
          <w:sz w:val="24"/>
          <w:highlight w:val="none"/>
        </w:rPr>
      </w:pPr>
    </w:p>
    <w:p w14:paraId="0E0102B1">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ascii="宋体" w:hAnsi="宋体" w:cs="宋体"/>
          <w:color w:val="auto"/>
          <w:kern w:val="0"/>
          <w:sz w:val="24"/>
          <w:highlight w:val="none"/>
        </w:rPr>
      </w:pPr>
    </w:p>
    <w:p w14:paraId="5C7E08B3">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p>
    <w:p w14:paraId="5484D364">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highlight w:val="none"/>
        </w:rPr>
      </w:pPr>
    </w:p>
    <w:p w14:paraId="6F719AA2">
      <w:pPr>
        <w:widowControl/>
        <w:shd w:val="clear" w:color="auto" w:fill="FFFFFF"/>
        <w:spacing w:line="460" w:lineRule="atLeast"/>
        <w:ind w:firstLine="480" w:firstLineChars="200"/>
        <w:rPr>
          <w:rFonts w:ascii="宋体" w:hAnsi="宋体" w:cs="宋体"/>
          <w:color w:val="auto"/>
          <w:kern w:val="0"/>
          <w:sz w:val="24"/>
          <w:highlight w:val="none"/>
        </w:rPr>
      </w:pPr>
    </w:p>
    <w:p w14:paraId="15E8BF5C">
      <w:pPr>
        <w:widowControl/>
        <w:shd w:val="clear" w:color="auto" w:fill="FFFFFF"/>
        <w:spacing w:line="460" w:lineRule="atLeast"/>
        <w:ind w:firstLine="480" w:firstLineChars="200"/>
        <w:rPr>
          <w:rFonts w:ascii="宋体" w:hAnsi="宋体" w:cs="宋体"/>
          <w:color w:val="auto"/>
          <w:kern w:val="0"/>
          <w:sz w:val="24"/>
          <w:highlight w:val="none"/>
        </w:rPr>
      </w:pPr>
    </w:p>
    <w:p w14:paraId="1923085A">
      <w:pPr>
        <w:widowControl/>
        <w:shd w:val="clear" w:color="auto" w:fill="FFFFFF"/>
        <w:spacing w:line="46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   </w:t>
      </w:r>
    </w:p>
    <w:bookmarkEnd w:id="0"/>
    <w:bookmarkEnd w:id="1"/>
    <w:p w14:paraId="6F723109">
      <w:pPr>
        <w:rPr>
          <w:rFonts w:hint="eastAsia" w:ascii="黑体" w:eastAsia="黑体"/>
          <w:b/>
          <w:bCs/>
          <w:color w:val="auto"/>
          <w:kern w:val="0"/>
          <w:sz w:val="32"/>
          <w:szCs w:val="32"/>
          <w:highlight w:val="none"/>
        </w:rPr>
      </w:pPr>
      <w:r>
        <w:rPr>
          <w:rFonts w:hint="eastAsia" w:ascii="黑体" w:eastAsia="黑体"/>
          <w:b/>
          <w:bCs/>
          <w:color w:val="auto"/>
          <w:kern w:val="0"/>
          <w:sz w:val="32"/>
          <w:szCs w:val="32"/>
          <w:highlight w:val="none"/>
        </w:rPr>
        <w:br w:type="page"/>
      </w:r>
    </w:p>
    <w:p w14:paraId="29927B33">
      <w:pPr>
        <w:ind w:firstLine="2554" w:firstLineChars="795"/>
        <w:rPr>
          <w:rFonts w:ascii="黑体" w:eastAsia="黑体"/>
          <w:b/>
          <w:bCs/>
          <w:color w:val="auto"/>
          <w:kern w:val="0"/>
          <w:sz w:val="32"/>
          <w:szCs w:val="32"/>
          <w:highlight w:val="none"/>
        </w:rPr>
      </w:pPr>
      <w:r>
        <w:rPr>
          <w:rFonts w:hint="eastAsia" w:ascii="黑体" w:eastAsia="黑体"/>
          <w:b/>
          <w:bCs/>
          <w:color w:val="auto"/>
          <w:kern w:val="0"/>
          <w:sz w:val="32"/>
          <w:szCs w:val="32"/>
          <w:highlight w:val="none"/>
        </w:rPr>
        <w:t>第二章 </w:t>
      </w:r>
      <w:r>
        <w:rPr>
          <w:rFonts w:hint="eastAsia" w:ascii="黑体" w:eastAsia="黑体"/>
          <w:b/>
          <w:bCs/>
          <w:color w:val="auto"/>
          <w:kern w:val="0"/>
          <w:sz w:val="32"/>
          <w:highlight w:val="none"/>
        </w:rPr>
        <w:t xml:space="preserve">   </w:t>
      </w:r>
      <w:r>
        <w:rPr>
          <w:rFonts w:hint="eastAsia" w:ascii="黑体" w:eastAsia="黑体"/>
          <w:b/>
          <w:bCs/>
          <w:color w:val="auto"/>
          <w:kern w:val="0"/>
          <w:sz w:val="32"/>
          <w:szCs w:val="32"/>
          <w:highlight w:val="none"/>
        </w:rPr>
        <w:t>采购需求</w:t>
      </w:r>
    </w:p>
    <w:p w14:paraId="7DACB9E6">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lang w:val="en-US" w:eastAsia="zh-CN"/>
        </w:rPr>
        <w:t>一、项目</w:t>
      </w:r>
      <w:r>
        <w:rPr>
          <w:rFonts w:hint="eastAsia" w:ascii="宋体" w:hAnsi="宋体" w:cs="宋体"/>
          <w:b/>
          <w:bCs/>
          <w:color w:val="auto"/>
          <w:sz w:val="21"/>
          <w:szCs w:val="21"/>
          <w:highlight w:val="none"/>
          <w:lang w:val="en-US" w:eastAsia="zh-CN"/>
        </w:rPr>
        <w:t>名称</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驻马店市中心医院</w:t>
      </w:r>
      <w:r>
        <w:rPr>
          <w:rFonts w:hint="eastAsia" w:ascii="宋体" w:hAnsi="宋体" w:eastAsia="宋体" w:cs="宋体"/>
          <w:b/>
          <w:bCs/>
          <w:color w:val="auto"/>
          <w:sz w:val="21"/>
          <w:szCs w:val="21"/>
          <w:highlight w:val="none"/>
          <w:lang w:val="en-US" w:eastAsia="zh-CN"/>
        </w:rPr>
        <w:t>模拟定位机采购项目</w:t>
      </w:r>
      <w:r>
        <w:rPr>
          <w:rFonts w:hint="eastAsia" w:ascii="宋体" w:hAnsi="宋体" w:eastAsia="宋体" w:cs="宋体"/>
          <w:color w:val="auto"/>
          <w:sz w:val="21"/>
          <w:szCs w:val="21"/>
          <w:highlight w:val="none"/>
          <w:u w:val="none"/>
          <w:vertAlign w:val="baseline"/>
          <w:lang w:val="en-US" w:eastAsia="zh-CN"/>
        </w:rPr>
        <w:t>。</w:t>
      </w:r>
    </w:p>
    <w:p w14:paraId="63E5F352">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二、采购标的清单</w:t>
      </w:r>
    </w:p>
    <w:tbl>
      <w:tblPr>
        <w:tblStyle w:val="41"/>
        <w:tblW w:w="908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765"/>
        <w:gridCol w:w="2315"/>
        <w:gridCol w:w="1005"/>
        <w:gridCol w:w="911"/>
        <w:gridCol w:w="1110"/>
        <w:gridCol w:w="1257"/>
        <w:gridCol w:w="970"/>
        <w:gridCol w:w="5"/>
      </w:tblGrid>
      <w:tr w14:paraId="1CC2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82C919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765" w:type="dxa"/>
            <w:vAlign w:val="center"/>
          </w:tcPr>
          <w:p w14:paraId="7A6340F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315" w:type="dxa"/>
            <w:vAlign w:val="center"/>
          </w:tcPr>
          <w:p w14:paraId="022402E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05" w:type="dxa"/>
            <w:vAlign w:val="center"/>
          </w:tcPr>
          <w:p w14:paraId="4C5494C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11" w:type="dxa"/>
            <w:vAlign w:val="center"/>
          </w:tcPr>
          <w:p w14:paraId="1708212D">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110" w:type="dxa"/>
            <w:vAlign w:val="center"/>
          </w:tcPr>
          <w:p w14:paraId="69E30D2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1EB1247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257" w:type="dxa"/>
            <w:vAlign w:val="center"/>
          </w:tcPr>
          <w:p w14:paraId="1DD7457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27808857">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975" w:type="dxa"/>
            <w:gridSpan w:val="2"/>
            <w:vAlign w:val="center"/>
          </w:tcPr>
          <w:p w14:paraId="213E24C1">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A9C6F2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76A5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vAlign w:val="center"/>
          </w:tcPr>
          <w:p w14:paraId="7E03211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A包</w:t>
            </w:r>
          </w:p>
        </w:tc>
        <w:tc>
          <w:tcPr>
            <w:tcW w:w="765" w:type="dxa"/>
            <w:vAlign w:val="center"/>
          </w:tcPr>
          <w:p w14:paraId="16BD67F8">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315" w:type="dxa"/>
            <w:vAlign w:val="center"/>
          </w:tcPr>
          <w:p w14:paraId="23E1FD7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模拟定位机</w:t>
            </w:r>
          </w:p>
        </w:tc>
        <w:tc>
          <w:tcPr>
            <w:tcW w:w="1005" w:type="dxa"/>
            <w:vAlign w:val="center"/>
          </w:tcPr>
          <w:p w14:paraId="6A841A27">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911" w:type="dxa"/>
            <w:vAlign w:val="center"/>
          </w:tcPr>
          <w:p w14:paraId="7CCA0E9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14:paraId="027C043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185万元</w:t>
            </w:r>
          </w:p>
        </w:tc>
        <w:tc>
          <w:tcPr>
            <w:tcW w:w="1257" w:type="dxa"/>
            <w:vAlign w:val="center"/>
          </w:tcPr>
          <w:p w14:paraId="7A7DEA9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自筹+财政</w:t>
            </w:r>
          </w:p>
        </w:tc>
        <w:tc>
          <w:tcPr>
            <w:tcW w:w="975" w:type="dxa"/>
            <w:gridSpan w:val="2"/>
            <w:vAlign w:val="center"/>
          </w:tcPr>
          <w:p w14:paraId="7BBDF7B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17AE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515" w:type="dxa"/>
            <w:gridSpan w:val="2"/>
            <w:vAlign w:val="center"/>
          </w:tcPr>
          <w:p w14:paraId="268AB959">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2315" w:type="dxa"/>
            <w:vAlign w:val="center"/>
          </w:tcPr>
          <w:p w14:paraId="65DEF1C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1005" w:type="dxa"/>
            <w:vAlign w:val="center"/>
          </w:tcPr>
          <w:p w14:paraId="54C26EF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911" w:type="dxa"/>
            <w:vAlign w:val="center"/>
          </w:tcPr>
          <w:p w14:paraId="5F33053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1110" w:type="dxa"/>
            <w:vAlign w:val="center"/>
          </w:tcPr>
          <w:p w14:paraId="05DB5F55">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185万元</w:t>
            </w:r>
          </w:p>
        </w:tc>
        <w:tc>
          <w:tcPr>
            <w:tcW w:w="1257" w:type="dxa"/>
            <w:vAlign w:val="center"/>
          </w:tcPr>
          <w:p w14:paraId="5CFFFB7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970" w:type="dxa"/>
            <w:vAlign w:val="center"/>
          </w:tcPr>
          <w:p w14:paraId="0144C6E2">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r>
      <w:tr w14:paraId="1AF8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gridSpan w:val="2"/>
            <w:vAlign w:val="center"/>
          </w:tcPr>
          <w:p w14:paraId="330BF30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573" w:type="dxa"/>
            <w:gridSpan w:val="7"/>
            <w:vAlign w:val="center"/>
          </w:tcPr>
          <w:p w14:paraId="5858D05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p>
        </w:tc>
      </w:tr>
    </w:tbl>
    <w:p w14:paraId="4721DA36">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技术要求</w:t>
      </w:r>
      <w:r>
        <w:rPr>
          <w:rFonts w:hint="eastAsia" w:ascii="宋体" w:hAnsi="宋体" w:eastAsia="宋体" w:cs="宋体"/>
          <w:b/>
          <w:bCs/>
          <w:color w:val="auto"/>
          <w:sz w:val="21"/>
          <w:szCs w:val="21"/>
          <w:highlight w:val="none"/>
        </w:rPr>
        <w:t>：</w:t>
      </w:r>
    </w:p>
    <w:p w14:paraId="006DC67D">
      <w:pPr>
        <w:pStyle w:val="39"/>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模拟定位机技术参数</w:t>
      </w:r>
    </w:p>
    <w:tbl>
      <w:tblPr>
        <w:tblStyle w:val="40"/>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268"/>
        <w:gridCol w:w="7893"/>
      </w:tblGrid>
      <w:tr w14:paraId="169F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40036CC5">
            <w:pPr>
              <w:pStyle w:val="162"/>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893" w:type="dxa"/>
            <w:noWrap w:val="0"/>
            <w:vAlign w:val="center"/>
          </w:tcPr>
          <w:p w14:paraId="72BAA81E">
            <w:pPr>
              <w:pStyle w:val="162"/>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w:t>
            </w:r>
          </w:p>
        </w:tc>
      </w:tr>
      <w:tr w14:paraId="4DFA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21FD6E72">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1</w:t>
            </w:r>
          </w:p>
        </w:tc>
        <w:tc>
          <w:tcPr>
            <w:tcW w:w="7893" w:type="dxa"/>
            <w:noWrap w:val="0"/>
            <w:vAlign w:val="center"/>
          </w:tcPr>
          <w:p w14:paraId="59CC2613">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基本功能</w:t>
            </w:r>
          </w:p>
        </w:tc>
      </w:tr>
      <w:tr w14:paraId="5C1C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317595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p>
        </w:tc>
        <w:tc>
          <w:tcPr>
            <w:tcW w:w="7893" w:type="dxa"/>
            <w:noWrap w:val="0"/>
            <w:vAlign w:val="center"/>
          </w:tcPr>
          <w:p w14:paraId="27EDC50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该系统主要用于肿瘤放射治疗的定位、模拟和验证；</w:t>
            </w:r>
          </w:p>
        </w:tc>
      </w:tr>
      <w:tr w14:paraId="3D6D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20EE07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w:t>
            </w:r>
          </w:p>
        </w:tc>
        <w:tc>
          <w:tcPr>
            <w:tcW w:w="7893" w:type="dxa"/>
            <w:noWrap w:val="0"/>
            <w:vAlign w:val="center"/>
          </w:tcPr>
          <w:p w14:paraId="3FC9C6E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该系统具备数字化图像处理系统，具有标准的DICOM RT接口，可输出DICOM RT image图像文件至符合DICOM RT标准的网络或设备。</w:t>
            </w:r>
          </w:p>
        </w:tc>
      </w:tr>
      <w:tr w14:paraId="619D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3DE769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p>
        </w:tc>
        <w:tc>
          <w:tcPr>
            <w:tcW w:w="7893" w:type="dxa"/>
            <w:noWrap w:val="0"/>
            <w:vAlign w:val="center"/>
          </w:tcPr>
          <w:p w14:paraId="171F603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计算机控制</w:t>
            </w:r>
          </w:p>
        </w:tc>
      </w:tr>
      <w:tr w14:paraId="1CC1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74058B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w:t>
            </w:r>
          </w:p>
        </w:tc>
        <w:tc>
          <w:tcPr>
            <w:tcW w:w="7893" w:type="dxa"/>
            <w:noWrap w:val="0"/>
            <w:vAlign w:val="center"/>
          </w:tcPr>
          <w:p w14:paraId="09F0ED8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全动作轴高精度位置采集、显示系统</w:t>
            </w:r>
          </w:p>
        </w:tc>
      </w:tr>
      <w:tr w14:paraId="7057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6BD401C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w:t>
            </w:r>
          </w:p>
        </w:tc>
        <w:tc>
          <w:tcPr>
            <w:tcW w:w="7893" w:type="dxa"/>
            <w:noWrap w:val="0"/>
            <w:vAlign w:val="center"/>
          </w:tcPr>
          <w:p w14:paraId="25CAA09C">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所有运动部件均具有自动设置功能。</w:t>
            </w:r>
          </w:p>
        </w:tc>
      </w:tr>
      <w:tr w14:paraId="70F7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07F0FDB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.6</w:t>
            </w:r>
          </w:p>
        </w:tc>
        <w:tc>
          <w:tcPr>
            <w:tcW w:w="7893" w:type="dxa"/>
            <w:noWrap w:val="0"/>
            <w:vAlign w:val="center"/>
          </w:tcPr>
          <w:p w14:paraId="545652FB">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全部运动部件均具有数字显示功能。</w:t>
            </w:r>
          </w:p>
        </w:tc>
      </w:tr>
      <w:tr w14:paraId="3590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1A4BA58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.7</w:t>
            </w:r>
          </w:p>
        </w:tc>
        <w:tc>
          <w:tcPr>
            <w:tcW w:w="7893" w:type="dxa"/>
            <w:noWrap w:val="0"/>
            <w:vAlign w:val="center"/>
          </w:tcPr>
          <w:p w14:paraId="2CA18CFE">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井线对称操作跟踪、修正功能</w:t>
            </w:r>
          </w:p>
        </w:tc>
      </w:tr>
      <w:tr w14:paraId="3396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1A5F280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.8</w:t>
            </w:r>
          </w:p>
        </w:tc>
        <w:tc>
          <w:tcPr>
            <w:tcW w:w="7893" w:type="dxa"/>
            <w:noWrap w:val="0"/>
            <w:vAlign w:val="center"/>
          </w:tcPr>
          <w:p w14:paraId="09382F9C">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具有非对称野模拟技术，临床使用方便，可满足不同肿瘤病人的定位要求</w:t>
            </w:r>
          </w:p>
        </w:tc>
      </w:tr>
      <w:tr w14:paraId="4D37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68DEDD1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2</w:t>
            </w:r>
          </w:p>
        </w:tc>
        <w:tc>
          <w:tcPr>
            <w:tcW w:w="7893" w:type="dxa"/>
            <w:noWrap w:val="0"/>
            <w:vAlign w:val="center"/>
          </w:tcPr>
          <w:p w14:paraId="06D94129">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配置要求</w:t>
            </w:r>
          </w:p>
        </w:tc>
      </w:tr>
      <w:tr w14:paraId="5700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37FEF64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p>
        </w:tc>
        <w:tc>
          <w:tcPr>
            <w:tcW w:w="7893" w:type="dxa"/>
            <w:noWrap w:val="0"/>
            <w:vAlign w:val="center"/>
          </w:tcPr>
          <w:p w14:paraId="299173E2">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模拟机主机  1套</w:t>
            </w:r>
          </w:p>
        </w:tc>
      </w:tr>
      <w:tr w14:paraId="12FE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3933F5C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p>
        </w:tc>
        <w:tc>
          <w:tcPr>
            <w:tcW w:w="7893" w:type="dxa"/>
            <w:noWrap w:val="0"/>
            <w:vAlign w:val="center"/>
          </w:tcPr>
          <w:p w14:paraId="52A2BD00">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数字化闭环控制系统  1套</w:t>
            </w:r>
          </w:p>
        </w:tc>
      </w:tr>
      <w:tr w14:paraId="7EB8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5E7D4FE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w:t>
            </w:r>
          </w:p>
        </w:tc>
        <w:tc>
          <w:tcPr>
            <w:tcW w:w="7893" w:type="dxa"/>
            <w:noWrap w:val="0"/>
            <w:vAlign w:val="center"/>
          </w:tcPr>
          <w:p w14:paraId="134DBF5D">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全动作轴位置采集、显示系统  1套</w:t>
            </w:r>
          </w:p>
        </w:tc>
      </w:tr>
      <w:tr w14:paraId="64B1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5B9C46D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w:t>
            </w:r>
          </w:p>
        </w:tc>
        <w:tc>
          <w:tcPr>
            <w:tcW w:w="7893" w:type="dxa"/>
            <w:noWrap w:val="0"/>
            <w:vAlign w:val="center"/>
          </w:tcPr>
          <w:p w14:paraId="52020DE2">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X线球管  1支</w:t>
            </w:r>
          </w:p>
        </w:tc>
      </w:tr>
      <w:tr w14:paraId="69F2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08145CD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w:t>
            </w:r>
          </w:p>
        </w:tc>
        <w:tc>
          <w:tcPr>
            <w:tcW w:w="7893" w:type="dxa"/>
            <w:noWrap w:val="0"/>
            <w:vAlign w:val="center"/>
          </w:tcPr>
          <w:p w14:paraId="39B59A53">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50kW高频高压发生器（包括IBS系统）  1套</w:t>
            </w:r>
          </w:p>
        </w:tc>
      </w:tr>
      <w:tr w14:paraId="63CF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1754ED1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.6</w:t>
            </w:r>
          </w:p>
        </w:tc>
        <w:tc>
          <w:tcPr>
            <w:tcW w:w="7893" w:type="dxa"/>
            <w:noWrap w:val="0"/>
            <w:vAlign w:val="center"/>
          </w:tcPr>
          <w:p w14:paraId="7BAC01CE">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动态平板系统  1套</w:t>
            </w:r>
          </w:p>
        </w:tc>
      </w:tr>
      <w:tr w14:paraId="4B45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6BD84A1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.7</w:t>
            </w:r>
          </w:p>
        </w:tc>
        <w:tc>
          <w:tcPr>
            <w:tcW w:w="7893" w:type="dxa"/>
            <w:noWrap w:val="0"/>
            <w:vAlign w:val="center"/>
          </w:tcPr>
          <w:p w14:paraId="72D7D907">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DICOM RT接口  1套</w:t>
            </w:r>
          </w:p>
        </w:tc>
      </w:tr>
      <w:tr w14:paraId="1FF5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50B6EC1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.8</w:t>
            </w:r>
          </w:p>
        </w:tc>
        <w:tc>
          <w:tcPr>
            <w:tcW w:w="7893" w:type="dxa"/>
            <w:noWrap w:val="0"/>
            <w:vAlign w:val="center"/>
          </w:tcPr>
          <w:p w14:paraId="06009AAC">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非对称照射准直器  1套</w:t>
            </w:r>
          </w:p>
        </w:tc>
      </w:tr>
      <w:tr w14:paraId="76BD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24F67E7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.9</w:t>
            </w:r>
          </w:p>
        </w:tc>
        <w:tc>
          <w:tcPr>
            <w:tcW w:w="7893" w:type="dxa"/>
            <w:noWrap w:val="0"/>
            <w:vAlign w:val="center"/>
          </w:tcPr>
          <w:p w14:paraId="6E8704D2">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四维精确治疗床  1台</w:t>
            </w:r>
          </w:p>
        </w:tc>
      </w:tr>
      <w:tr w14:paraId="4651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362960B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.10</w:t>
            </w:r>
          </w:p>
        </w:tc>
        <w:tc>
          <w:tcPr>
            <w:tcW w:w="7893" w:type="dxa"/>
            <w:noWrap w:val="0"/>
            <w:vAlign w:val="center"/>
          </w:tcPr>
          <w:p w14:paraId="0B9E76E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碳素纤维床面  1套</w:t>
            </w:r>
          </w:p>
        </w:tc>
      </w:tr>
      <w:tr w14:paraId="5C2B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38CB6F3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w:t>
            </w:r>
          </w:p>
        </w:tc>
        <w:tc>
          <w:tcPr>
            <w:tcW w:w="7893" w:type="dxa"/>
            <w:noWrap w:val="0"/>
            <w:vAlign w:val="center"/>
          </w:tcPr>
          <w:p w14:paraId="4EB750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工控机（带刻录功能）  1台</w:t>
            </w:r>
          </w:p>
        </w:tc>
      </w:tr>
      <w:tr w14:paraId="6341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750816D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.12</w:t>
            </w:r>
          </w:p>
        </w:tc>
        <w:tc>
          <w:tcPr>
            <w:tcW w:w="7893" w:type="dxa"/>
            <w:noWrap w:val="0"/>
            <w:vAlign w:val="center"/>
          </w:tcPr>
          <w:p w14:paraId="4DC6464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2MP灰阶21.3″医用灰度显示器  1台</w:t>
            </w:r>
          </w:p>
        </w:tc>
      </w:tr>
      <w:tr w14:paraId="6DF3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05712DF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.13</w:t>
            </w:r>
          </w:p>
        </w:tc>
        <w:tc>
          <w:tcPr>
            <w:tcW w:w="7893" w:type="dxa"/>
            <w:noWrap w:val="0"/>
            <w:vAlign w:val="center"/>
          </w:tcPr>
          <w:p w14:paraId="241606C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19″Monitor液晶显示器</w:t>
            </w:r>
          </w:p>
        </w:tc>
      </w:tr>
      <w:tr w14:paraId="3F02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1A2850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.14</w:t>
            </w:r>
          </w:p>
        </w:tc>
        <w:tc>
          <w:tcPr>
            <w:tcW w:w="7893" w:type="dxa"/>
            <w:noWrap w:val="0"/>
            <w:vAlign w:val="center"/>
          </w:tcPr>
          <w:p w14:paraId="08723D8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21.5″宽屏液晶显示器（数据显示器）  1台</w:t>
            </w:r>
          </w:p>
        </w:tc>
      </w:tr>
      <w:tr w14:paraId="36CC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5A64BD3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.15</w:t>
            </w:r>
          </w:p>
        </w:tc>
        <w:tc>
          <w:tcPr>
            <w:tcW w:w="7893" w:type="dxa"/>
            <w:noWrap w:val="0"/>
            <w:vAlign w:val="center"/>
          </w:tcPr>
          <w:p w14:paraId="3E03B9D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A4幅面激光打印机  1台</w:t>
            </w:r>
          </w:p>
        </w:tc>
      </w:tr>
      <w:tr w14:paraId="6685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6F2A5A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.16</w:t>
            </w:r>
          </w:p>
        </w:tc>
        <w:tc>
          <w:tcPr>
            <w:tcW w:w="7893" w:type="dxa"/>
            <w:noWrap w:val="0"/>
            <w:vAlign w:val="center"/>
          </w:tcPr>
          <w:p w14:paraId="2E41F9A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激光定位仪（叁件）  1套</w:t>
            </w:r>
          </w:p>
        </w:tc>
      </w:tr>
      <w:tr w14:paraId="6E6B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321F50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.17</w:t>
            </w:r>
          </w:p>
        </w:tc>
        <w:tc>
          <w:tcPr>
            <w:tcW w:w="7893" w:type="dxa"/>
            <w:noWrap w:val="0"/>
            <w:vAlign w:val="center"/>
          </w:tcPr>
          <w:p w14:paraId="71D7FE1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对讲系统  1套</w:t>
            </w:r>
          </w:p>
        </w:tc>
      </w:tr>
      <w:tr w14:paraId="1FC3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72E69D34">
            <w:pPr>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3</w:t>
            </w:r>
          </w:p>
        </w:tc>
        <w:tc>
          <w:tcPr>
            <w:tcW w:w="7893" w:type="dxa"/>
            <w:noWrap w:val="0"/>
            <w:vAlign w:val="center"/>
          </w:tcPr>
          <w:p w14:paraId="602D6C99">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主机功能参数</w:t>
            </w:r>
          </w:p>
        </w:tc>
      </w:tr>
      <w:tr w14:paraId="02F4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0956FE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p>
        </w:tc>
        <w:tc>
          <w:tcPr>
            <w:tcW w:w="7893" w:type="dxa"/>
            <w:noWrap w:val="0"/>
            <w:vAlign w:val="top"/>
          </w:tcPr>
          <w:p w14:paraId="7D7FD135">
            <w:pPr>
              <w:tabs>
                <w:tab w:val="left" w:pos="893"/>
                <w:tab w:val="left" w:pos="7633"/>
              </w:tabs>
              <w:spacing w:line="30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机架类型：中心轴承式</w:t>
            </w:r>
          </w:p>
        </w:tc>
      </w:tr>
      <w:tr w14:paraId="1556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0EEF9C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w:t>
            </w:r>
          </w:p>
        </w:tc>
        <w:tc>
          <w:tcPr>
            <w:tcW w:w="7893" w:type="dxa"/>
            <w:noWrap w:val="0"/>
            <w:vAlign w:val="top"/>
          </w:tcPr>
          <w:p w14:paraId="1AF09748">
            <w:pPr>
              <w:tabs>
                <w:tab w:val="left" w:pos="893"/>
                <w:tab w:val="left" w:pos="7633"/>
              </w:tabs>
              <w:spacing w:line="3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等中心精度：≤±1mm</w:t>
            </w:r>
          </w:p>
        </w:tc>
      </w:tr>
      <w:tr w14:paraId="5815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52DB08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w:t>
            </w:r>
          </w:p>
        </w:tc>
        <w:tc>
          <w:tcPr>
            <w:tcW w:w="7893" w:type="dxa"/>
            <w:noWrap w:val="0"/>
            <w:vAlign w:val="top"/>
          </w:tcPr>
          <w:p w14:paraId="0B89A0D7">
            <w:pPr>
              <w:tabs>
                <w:tab w:val="left" w:pos="893"/>
                <w:tab w:val="left" w:pos="7633"/>
              </w:tabs>
              <w:spacing w:line="3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机架旋转范围</w:t>
            </w:r>
          </w:p>
          <w:p w14:paraId="1F20BB7D">
            <w:pPr>
              <w:tabs>
                <w:tab w:val="left" w:pos="893"/>
                <w:tab w:val="left" w:pos="7633"/>
              </w:tabs>
              <w:spacing w:line="3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±185°(SAD≤100cm)</w:t>
            </w:r>
          </w:p>
          <w:p w14:paraId="44F46BC8">
            <w:pPr>
              <w:tabs>
                <w:tab w:val="left" w:pos="893"/>
                <w:tab w:val="left" w:pos="7633"/>
              </w:tabs>
              <w:spacing w:line="3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±135°(SAD＞100cm)</w:t>
            </w:r>
          </w:p>
        </w:tc>
      </w:tr>
      <w:tr w14:paraId="4D11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4845A3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w:t>
            </w:r>
          </w:p>
        </w:tc>
        <w:tc>
          <w:tcPr>
            <w:tcW w:w="7893" w:type="dxa"/>
            <w:noWrap w:val="0"/>
            <w:vAlign w:val="top"/>
          </w:tcPr>
          <w:p w14:paraId="1781B47C">
            <w:pPr>
              <w:tabs>
                <w:tab w:val="left" w:pos="893"/>
                <w:tab w:val="left" w:pos="7633"/>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X线球管</w:t>
            </w:r>
          </w:p>
        </w:tc>
      </w:tr>
      <w:tr w14:paraId="73E3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2E9F2C3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.4.1</w:t>
            </w:r>
          </w:p>
        </w:tc>
        <w:tc>
          <w:tcPr>
            <w:tcW w:w="7893" w:type="dxa"/>
            <w:noWrap w:val="0"/>
            <w:vAlign w:val="top"/>
          </w:tcPr>
          <w:p w14:paraId="21B00107">
            <w:pPr>
              <w:tabs>
                <w:tab w:val="left" w:pos="893"/>
                <w:tab w:val="left" w:pos="7633"/>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最大毫安：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620mA</w:t>
            </w:r>
          </w:p>
        </w:tc>
      </w:tr>
      <w:tr w14:paraId="15CB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64A86E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.4.2</w:t>
            </w:r>
          </w:p>
        </w:tc>
        <w:tc>
          <w:tcPr>
            <w:tcW w:w="7893" w:type="dxa"/>
            <w:noWrap w:val="0"/>
            <w:vAlign w:val="top"/>
          </w:tcPr>
          <w:p w14:paraId="5043D637">
            <w:pPr>
              <w:tabs>
                <w:tab w:val="left" w:pos="893"/>
                <w:tab w:val="left" w:pos="7633"/>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焦点：双焦点，小焦点：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0.6 </w:t>
            </w:r>
            <w:r>
              <w:rPr>
                <w:rFonts w:hint="eastAsia" w:ascii="宋体" w:hAnsi="宋体" w:eastAsia="宋体" w:cs="宋体"/>
                <w:color w:val="auto"/>
                <w:sz w:val="21"/>
                <w:szCs w:val="21"/>
                <w:highlight w:val="none"/>
                <w:lang w:val="de-DE"/>
              </w:rPr>
              <w:t>，</w:t>
            </w:r>
            <w:r>
              <w:rPr>
                <w:rFonts w:hint="eastAsia" w:ascii="宋体" w:hAnsi="宋体" w:eastAsia="宋体" w:cs="宋体"/>
                <w:color w:val="auto"/>
                <w:sz w:val="21"/>
                <w:szCs w:val="21"/>
                <w:highlight w:val="none"/>
              </w:rPr>
              <w:t>大焦点：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1.5</w:t>
            </w:r>
          </w:p>
        </w:tc>
      </w:tr>
      <w:tr w14:paraId="0E27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3F17CDE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.4.3</w:t>
            </w:r>
          </w:p>
        </w:tc>
        <w:tc>
          <w:tcPr>
            <w:tcW w:w="7893" w:type="dxa"/>
            <w:noWrap w:val="0"/>
            <w:vAlign w:val="top"/>
          </w:tcPr>
          <w:p w14:paraId="710D6422">
            <w:pPr>
              <w:tabs>
                <w:tab w:val="left" w:pos="893"/>
                <w:tab w:val="left" w:pos="7633"/>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最高千伏:125kV</w:t>
            </w:r>
          </w:p>
        </w:tc>
      </w:tr>
      <w:tr w14:paraId="45D7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73C693B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.4.4</w:t>
            </w:r>
          </w:p>
        </w:tc>
        <w:tc>
          <w:tcPr>
            <w:tcW w:w="7893" w:type="dxa"/>
            <w:noWrap w:val="0"/>
            <w:vAlign w:val="top"/>
          </w:tcPr>
          <w:p w14:paraId="561DEA00">
            <w:pPr>
              <w:tabs>
                <w:tab w:val="left" w:pos="893"/>
                <w:tab w:val="left" w:pos="7633"/>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最大阳极热容量:200kHU</w:t>
            </w:r>
          </w:p>
        </w:tc>
      </w:tr>
      <w:tr w14:paraId="0BA5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385BCC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w:t>
            </w:r>
          </w:p>
        </w:tc>
        <w:tc>
          <w:tcPr>
            <w:tcW w:w="7893" w:type="dxa"/>
            <w:noWrap w:val="0"/>
            <w:vAlign w:val="top"/>
          </w:tcPr>
          <w:p w14:paraId="6406DB1A">
            <w:pPr>
              <w:tabs>
                <w:tab w:val="left" w:pos="893"/>
                <w:tab w:val="left" w:pos="7633"/>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非对称准直器：SAD=100cm 单边-10cm～+20cm</w:t>
            </w:r>
          </w:p>
        </w:tc>
      </w:tr>
      <w:tr w14:paraId="2FC1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7AE248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w:t>
            </w:r>
          </w:p>
        </w:tc>
        <w:tc>
          <w:tcPr>
            <w:tcW w:w="7893" w:type="dxa"/>
            <w:noWrap w:val="0"/>
            <w:vAlign w:val="center"/>
          </w:tcPr>
          <w:p w14:paraId="26A961D5">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X 线视野（光阑）大小：SAD=100cm：0cm×0cm～40cm×40cm </w:t>
            </w:r>
          </w:p>
        </w:tc>
      </w:tr>
      <w:tr w14:paraId="32BB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158639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w:t>
            </w:r>
          </w:p>
        </w:tc>
        <w:tc>
          <w:tcPr>
            <w:tcW w:w="7893" w:type="dxa"/>
            <w:noWrap w:val="0"/>
            <w:vAlign w:val="center"/>
          </w:tcPr>
          <w:p w14:paraId="5F657EDB">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界定辐射野:SAD＝100cm：2cm×2cm～40cm×40cm</w:t>
            </w:r>
          </w:p>
        </w:tc>
      </w:tr>
      <w:tr w14:paraId="7303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76C9F4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.8</w:t>
            </w:r>
          </w:p>
        </w:tc>
        <w:tc>
          <w:tcPr>
            <w:tcW w:w="7893" w:type="dxa"/>
            <w:noWrap w:val="0"/>
            <w:vAlign w:val="center"/>
          </w:tcPr>
          <w:p w14:paraId="5220BE84">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井字线独立移动: 四边井字线均可独立移动，每边井字线可移动过中心线≥10cm SAD=100cm</w:t>
            </w:r>
          </w:p>
        </w:tc>
      </w:tr>
      <w:tr w14:paraId="3345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69790A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.9</w:t>
            </w:r>
          </w:p>
        </w:tc>
        <w:tc>
          <w:tcPr>
            <w:tcW w:w="7893" w:type="dxa"/>
            <w:noWrap w:val="0"/>
            <w:vAlign w:val="center"/>
          </w:tcPr>
          <w:p w14:paraId="56C79EF8">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井字线对称转换：井字线可对称或不对称移动</w:t>
            </w:r>
          </w:p>
        </w:tc>
      </w:tr>
      <w:tr w14:paraId="6893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32C535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.10</w:t>
            </w:r>
          </w:p>
        </w:tc>
        <w:tc>
          <w:tcPr>
            <w:tcW w:w="7893" w:type="dxa"/>
            <w:noWrap w:val="0"/>
            <w:vAlign w:val="center"/>
          </w:tcPr>
          <w:p w14:paraId="5A21DBA3">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准直器旋转角度:±100°</w:t>
            </w:r>
          </w:p>
        </w:tc>
      </w:tr>
      <w:tr w14:paraId="01A1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516107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.11</w:t>
            </w:r>
          </w:p>
        </w:tc>
        <w:tc>
          <w:tcPr>
            <w:tcW w:w="7893" w:type="dxa"/>
            <w:noWrap w:val="0"/>
            <w:vAlign w:val="top"/>
          </w:tcPr>
          <w:p w14:paraId="6A229435">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品牌高频X线发生器及控制系统</w:t>
            </w:r>
          </w:p>
        </w:tc>
      </w:tr>
      <w:tr w14:paraId="78EF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643034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.11.1</w:t>
            </w:r>
          </w:p>
        </w:tc>
        <w:tc>
          <w:tcPr>
            <w:tcW w:w="7893" w:type="dxa"/>
            <w:noWrap w:val="0"/>
            <w:vAlign w:val="center"/>
          </w:tcPr>
          <w:p w14:paraId="0A09EBE0">
            <w:p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功率:50KW</w:t>
            </w:r>
          </w:p>
        </w:tc>
      </w:tr>
      <w:tr w14:paraId="1427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3573C11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.11.2</w:t>
            </w:r>
          </w:p>
        </w:tc>
        <w:tc>
          <w:tcPr>
            <w:tcW w:w="7893" w:type="dxa"/>
            <w:noWrap w:val="0"/>
            <w:vAlign w:val="center"/>
          </w:tcPr>
          <w:p w14:paraId="624AAAAA">
            <w:pPr>
              <w:tabs>
                <w:tab w:val="left" w:pos="893"/>
                <w:tab w:val="left" w:pos="7633"/>
              </w:tabs>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具有自动亮度控制功能:自动 kV / mA 或 自动kV </w:t>
            </w:r>
          </w:p>
        </w:tc>
      </w:tr>
      <w:tr w14:paraId="2F60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6E3EF74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.11.3</w:t>
            </w:r>
          </w:p>
        </w:tc>
        <w:tc>
          <w:tcPr>
            <w:tcW w:w="7893" w:type="dxa"/>
            <w:noWrap w:val="0"/>
            <w:vAlign w:val="center"/>
          </w:tcPr>
          <w:p w14:paraId="24B2C064">
            <w:pPr>
              <w:spacing w:line="3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具有球管保护和热过载显示</w:t>
            </w:r>
          </w:p>
        </w:tc>
      </w:tr>
      <w:tr w14:paraId="3F03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0B41D3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.12</w:t>
            </w:r>
          </w:p>
        </w:tc>
        <w:tc>
          <w:tcPr>
            <w:tcW w:w="7893" w:type="dxa"/>
            <w:noWrap w:val="0"/>
            <w:vAlign w:val="center"/>
          </w:tcPr>
          <w:p w14:paraId="154E6A0C">
            <w:pPr>
              <w:spacing w:line="3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配备“动态平板探测器成像系统”，提供注册证证明文件</w:t>
            </w:r>
          </w:p>
        </w:tc>
      </w:tr>
      <w:tr w14:paraId="0031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2EDE46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.12.1</w:t>
            </w:r>
          </w:p>
        </w:tc>
        <w:tc>
          <w:tcPr>
            <w:tcW w:w="7893" w:type="dxa"/>
            <w:noWrap w:val="0"/>
            <w:vAlign w:val="center"/>
          </w:tcPr>
          <w:p w14:paraId="05AD7004">
            <w:p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探测器有效面积：≥4</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mm×4</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mm</w:t>
            </w:r>
          </w:p>
        </w:tc>
      </w:tr>
      <w:tr w14:paraId="3172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01DD30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.12.2</w:t>
            </w:r>
          </w:p>
        </w:tc>
        <w:tc>
          <w:tcPr>
            <w:tcW w:w="7893" w:type="dxa"/>
            <w:noWrap w:val="0"/>
            <w:vAlign w:val="center"/>
          </w:tcPr>
          <w:p w14:paraId="68B6112D">
            <w:pPr>
              <w:spacing w:line="30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像素矩阵≥307</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×307</w:t>
            </w:r>
            <w:r>
              <w:rPr>
                <w:rFonts w:hint="eastAsia" w:ascii="宋体" w:hAnsi="宋体" w:eastAsia="宋体" w:cs="宋体"/>
                <w:color w:val="auto"/>
                <w:kern w:val="0"/>
                <w:sz w:val="21"/>
                <w:szCs w:val="21"/>
                <w:highlight w:val="none"/>
                <w:lang w:val="en-US" w:eastAsia="zh-CN"/>
              </w:rPr>
              <w:t>0</w:t>
            </w:r>
          </w:p>
        </w:tc>
      </w:tr>
      <w:tr w14:paraId="3CDB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16FA29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.12.3</w:t>
            </w:r>
          </w:p>
        </w:tc>
        <w:tc>
          <w:tcPr>
            <w:tcW w:w="7893" w:type="dxa"/>
            <w:noWrap w:val="0"/>
            <w:vAlign w:val="center"/>
          </w:tcPr>
          <w:p w14:paraId="0190074C">
            <w:p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成像方式：支持数字点片、连续点片、透视模式</w:t>
            </w:r>
          </w:p>
        </w:tc>
      </w:tr>
      <w:tr w14:paraId="6A0E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188747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.13</w:t>
            </w:r>
          </w:p>
        </w:tc>
        <w:tc>
          <w:tcPr>
            <w:tcW w:w="7893" w:type="dxa"/>
            <w:noWrap w:val="0"/>
            <w:vAlign w:val="center"/>
          </w:tcPr>
          <w:p w14:paraId="5C258854">
            <w:p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X线检查参数要求</w:t>
            </w:r>
          </w:p>
        </w:tc>
      </w:tr>
      <w:tr w14:paraId="0311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760158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.13.1</w:t>
            </w:r>
          </w:p>
        </w:tc>
        <w:tc>
          <w:tcPr>
            <w:tcW w:w="7893" w:type="dxa"/>
            <w:noWrap w:val="0"/>
            <w:vAlign w:val="center"/>
          </w:tcPr>
          <w:p w14:paraId="186024C3">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透视:40kV～110kV，0.5mA～5mA</w:t>
            </w:r>
          </w:p>
        </w:tc>
      </w:tr>
      <w:tr w14:paraId="44DD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72674B0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.13.2</w:t>
            </w:r>
          </w:p>
        </w:tc>
        <w:tc>
          <w:tcPr>
            <w:tcW w:w="7893" w:type="dxa"/>
            <w:noWrap w:val="0"/>
            <w:vAlign w:val="center"/>
          </w:tcPr>
          <w:p w14:paraId="55447824">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摄片:40kV～125kV，20mA～500mA</w:t>
            </w:r>
          </w:p>
        </w:tc>
      </w:tr>
      <w:tr w14:paraId="00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2BE867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.14</w:t>
            </w:r>
          </w:p>
        </w:tc>
        <w:tc>
          <w:tcPr>
            <w:tcW w:w="7893" w:type="dxa"/>
            <w:noWrap w:val="0"/>
            <w:vAlign w:val="top"/>
          </w:tcPr>
          <w:p w14:paraId="7CF45384">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精确治疗床参数</w:t>
            </w:r>
          </w:p>
        </w:tc>
      </w:tr>
      <w:tr w14:paraId="7F38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7EC36F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.14.1</w:t>
            </w:r>
          </w:p>
        </w:tc>
        <w:tc>
          <w:tcPr>
            <w:tcW w:w="7893" w:type="dxa"/>
            <w:noWrap w:val="0"/>
            <w:vAlign w:val="top"/>
          </w:tcPr>
          <w:p w14:paraId="584819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治疗床一体化结构设计：机架底座与治疗床底座采用一体化结构</w:t>
            </w:r>
          </w:p>
        </w:tc>
      </w:tr>
      <w:tr w14:paraId="1E7F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77E9D0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.14.2</w:t>
            </w:r>
          </w:p>
        </w:tc>
        <w:tc>
          <w:tcPr>
            <w:tcW w:w="7893" w:type="dxa"/>
            <w:noWrap w:val="0"/>
            <w:vAlign w:val="top"/>
          </w:tcPr>
          <w:p w14:paraId="09833E6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结构类型：剪式治疗床</w:t>
            </w:r>
          </w:p>
        </w:tc>
      </w:tr>
      <w:tr w14:paraId="19C9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0285CE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.14.3</w:t>
            </w:r>
          </w:p>
        </w:tc>
        <w:tc>
          <w:tcPr>
            <w:tcW w:w="7893" w:type="dxa"/>
            <w:noWrap w:val="0"/>
            <w:vAlign w:val="center"/>
          </w:tcPr>
          <w:p w14:paraId="7029B752">
            <w:pPr>
              <w:pStyle w:val="1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控制方式：手动、电动控制</w:t>
            </w:r>
          </w:p>
        </w:tc>
      </w:tr>
      <w:tr w14:paraId="2796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45BAF0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.14.4</w:t>
            </w:r>
          </w:p>
        </w:tc>
        <w:tc>
          <w:tcPr>
            <w:tcW w:w="7893" w:type="dxa"/>
            <w:noWrap w:val="0"/>
            <w:vAlign w:val="top"/>
          </w:tcPr>
          <w:p w14:paraId="2BF3D37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床面材料：床面整体采用高强度碳纤维材料，透射率高</w:t>
            </w:r>
          </w:p>
        </w:tc>
      </w:tr>
      <w:tr w14:paraId="7E66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31B335C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.14.5</w:t>
            </w:r>
          </w:p>
        </w:tc>
        <w:tc>
          <w:tcPr>
            <w:tcW w:w="7893" w:type="dxa"/>
            <w:noWrap w:val="0"/>
            <w:vAlign w:val="center"/>
          </w:tcPr>
          <w:p w14:paraId="396AC606">
            <w:pPr>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纵向移动范围:</w:t>
            </w:r>
            <w:r>
              <w:rPr>
                <w:rFonts w:hint="eastAsia" w:ascii="宋体" w:hAnsi="宋体" w:cs="宋体"/>
                <w:color w:val="auto"/>
                <w:sz w:val="21"/>
                <w:szCs w:val="21"/>
                <w:highlight w:val="none"/>
                <w:lang w:val="en-US" w:eastAsia="zh-CN"/>
              </w:rPr>
              <w:t xml:space="preserve"> 90</w:t>
            </w:r>
            <w:r>
              <w:rPr>
                <w:rFonts w:hint="eastAsia" w:ascii="宋体" w:hAnsi="宋体" w:eastAsia="宋体" w:cs="宋体"/>
                <w:color w:val="auto"/>
                <w:sz w:val="21"/>
                <w:szCs w:val="21"/>
                <w:highlight w:val="none"/>
              </w:rPr>
              <w:t>cm</w:t>
            </w:r>
            <w:r>
              <w:rPr>
                <w:rFonts w:hint="eastAsia" w:ascii="宋体" w:hAnsi="宋体" w:cs="宋体"/>
                <w:color w:val="auto"/>
                <w:sz w:val="21"/>
                <w:szCs w:val="21"/>
                <w:highlight w:val="none"/>
                <w:lang w:val="en-US" w:eastAsia="zh-CN"/>
              </w:rPr>
              <w:t>-100cm</w:t>
            </w:r>
          </w:p>
        </w:tc>
      </w:tr>
      <w:tr w14:paraId="12E3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0B52C3F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.14.6</w:t>
            </w:r>
          </w:p>
        </w:tc>
        <w:tc>
          <w:tcPr>
            <w:tcW w:w="7893" w:type="dxa"/>
            <w:noWrap w:val="0"/>
            <w:vAlign w:val="center"/>
          </w:tcPr>
          <w:p w14:paraId="5F812E98">
            <w:p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横向移动范围：20cm</w:t>
            </w:r>
            <w:r>
              <w:rPr>
                <w:rFonts w:hint="eastAsia" w:ascii="宋体" w:hAnsi="宋体" w:cs="宋体"/>
                <w:color w:val="auto"/>
                <w:sz w:val="21"/>
                <w:szCs w:val="21"/>
                <w:highlight w:val="none"/>
                <w:lang w:val="en-US" w:eastAsia="zh-CN"/>
              </w:rPr>
              <w:t>-30cm</w:t>
            </w:r>
          </w:p>
        </w:tc>
      </w:tr>
      <w:tr w14:paraId="50F0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2E8F4ED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.14.7</w:t>
            </w:r>
          </w:p>
        </w:tc>
        <w:tc>
          <w:tcPr>
            <w:tcW w:w="7893" w:type="dxa"/>
            <w:noWrap w:val="0"/>
            <w:vAlign w:val="center"/>
          </w:tcPr>
          <w:p w14:paraId="487DE960">
            <w:p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垂直升降范围：5</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cm</w:t>
            </w:r>
            <w:r>
              <w:rPr>
                <w:rFonts w:hint="eastAsia" w:ascii="宋体" w:hAnsi="宋体" w:cs="宋体"/>
                <w:color w:val="auto"/>
                <w:sz w:val="21"/>
                <w:szCs w:val="21"/>
                <w:highlight w:val="none"/>
                <w:lang w:val="en-US" w:eastAsia="zh-CN"/>
              </w:rPr>
              <w:t>-60cm</w:t>
            </w:r>
          </w:p>
        </w:tc>
      </w:tr>
      <w:tr w14:paraId="1A6A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7288DB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.14.8</w:t>
            </w:r>
          </w:p>
        </w:tc>
        <w:tc>
          <w:tcPr>
            <w:tcW w:w="7893" w:type="dxa"/>
            <w:noWrap w:val="0"/>
            <w:vAlign w:val="center"/>
          </w:tcPr>
          <w:p w14:paraId="19BF8D9A">
            <w:p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床体公转范围：</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w:t>
            </w:r>
            <w:r>
              <w:rPr>
                <w:rFonts w:hint="eastAsia" w:ascii="宋体" w:hAnsi="宋体" w:eastAsia="宋体" w:cs="宋体"/>
                <w:color w:val="auto"/>
                <w:sz w:val="21"/>
                <w:szCs w:val="21"/>
                <w:highlight w:val="none"/>
              </w:rPr>
              <w:t>100°</w:t>
            </w:r>
          </w:p>
        </w:tc>
      </w:tr>
      <w:tr w14:paraId="5728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11420E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.15</w:t>
            </w:r>
          </w:p>
        </w:tc>
        <w:tc>
          <w:tcPr>
            <w:tcW w:w="7893" w:type="dxa"/>
            <w:noWrap w:val="0"/>
            <w:vAlign w:val="center"/>
          </w:tcPr>
          <w:p w14:paraId="79807FC4">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具有独立的数据显示器</w:t>
            </w:r>
          </w:p>
        </w:tc>
      </w:tr>
      <w:tr w14:paraId="1111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5BDB0CF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.16</w:t>
            </w:r>
          </w:p>
        </w:tc>
        <w:tc>
          <w:tcPr>
            <w:tcW w:w="7893" w:type="dxa"/>
            <w:noWrap w:val="0"/>
            <w:vAlign w:val="center"/>
          </w:tcPr>
          <w:p w14:paraId="6CA54A28">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配备</w:t>
            </w:r>
            <w:r>
              <w:rPr>
                <w:rFonts w:hint="eastAsia" w:ascii="宋体" w:hAnsi="宋体" w:eastAsia="宋体" w:cs="宋体"/>
                <w:color w:val="auto"/>
                <w:sz w:val="21"/>
                <w:szCs w:val="21"/>
                <w:highlight w:val="none"/>
              </w:rPr>
              <w:t>各种模拟参数</w:t>
            </w:r>
          </w:p>
        </w:tc>
      </w:tr>
      <w:tr w14:paraId="2256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6C693BE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3.17</w:t>
            </w:r>
          </w:p>
        </w:tc>
        <w:tc>
          <w:tcPr>
            <w:tcW w:w="7893" w:type="dxa"/>
            <w:noWrap w:val="0"/>
            <w:vAlign w:val="center"/>
          </w:tcPr>
          <w:p w14:paraId="449E2B8E">
            <w:pPr>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等中心高度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≤1250mm</w:t>
            </w:r>
          </w:p>
        </w:tc>
      </w:tr>
      <w:tr w14:paraId="1613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5AC9F35D">
            <w:pPr>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4</w:t>
            </w:r>
          </w:p>
        </w:tc>
        <w:tc>
          <w:tcPr>
            <w:tcW w:w="7893" w:type="dxa"/>
            <w:noWrap w:val="0"/>
            <w:vAlign w:val="top"/>
          </w:tcPr>
          <w:p w14:paraId="65F544CA">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图像采集处理系统</w:t>
            </w:r>
          </w:p>
        </w:tc>
      </w:tr>
      <w:tr w14:paraId="5580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32DAF62A">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.1</w:t>
            </w:r>
          </w:p>
        </w:tc>
        <w:tc>
          <w:tcPr>
            <w:tcW w:w="7893" w:type="dxa"/>
            <w:noWrap w:val="0"/>
            <w:vAlign w:val="center"/>
          </w:tcPr>
          <w:p w14:paraId="3D7A47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病档管理功能</w:t>
            </w:r>
          </w:p>
        </w:tc>
      </w:tr>
      <w:tr w14:paraId="32CF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32CC20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.1.1</w:t>
            </w:r>
          </w:p>
        </w:tc>
        <w:tc>
          <w:tcPr>
            <w:tcW w:w="7893" w:type="dxa"/>
            <w:noWrap w:val="0"/>
            <w:vAlign w:val="center"/>
          </w:tcPr>
          <w:p w14:paraId="1A3FDAE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患者信息登记，定位野及定位数据保存；</w:t>
            </w:r>
          </w:p>
        </w:tc>
      </w:tr>
      <w:tr w14:paraId="0945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7E5CAF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.1.2</w:t>
            </w:r>
          </w:p>
        </w:tc>
        <w:tc>
          <w:tcPr>
            <w:tcW w:w="7893" w:type="dxa"/>
            <w:noWrap w:val="0"/>
            <w:vAlign w:val="center"/>
          </w:tcPr>
          <w:p w14:paraId="2AD3B8C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通过患者的病历号、姓名、性别等参数，可方便查询到已保存患者的定位信息。</w:t>
            </w:r>
          </w:p>
        </w:tc>
      </w:tr>
      <w:tr w14:paraId="77DE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5A9C76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p>
        </w:tc>
        <w:tc>
          <w:tcPr>
            <w:tcW w:w="7893" w:type="dxa"/>
            <w:noWrap w:val="0"/>
            <w:vAlign w:val="center"/>
          </w:tcPr>
          <w:p w14:paraId="4CC6636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运动控制功能</w:t>
            </w:r>
          </w:p>
        </w:tc>
      </w:tr>
      <w:tr w14:paraId="5694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084185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.2.1</w:t>
            </w:r>
          </w:p>
        </w:tc>
        <w:tc>
          <w:tcPr>
            <w:tcW w:w="7893" w:type="dxa"/>
            <w:noWrap w:val="0"/>
            <w:vAlign w:val="center"/>
          </w:tcPr>
          <w:p w14:paraId="6FFE81CA">
            <w:pPr>
              <w:spacing w:before="60" w:after="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自动设置功能：运动部件均具有自动设置功能。</w:t>
            </w:r>
          </w:p>
        </w:tc>
      </w:tr>
      <w:tr w14:paraId="20FF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56C76E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.2.2</w:t>
            </w:r>
          </w:p>
        </w:tc>
        <w:tc>
          <w:tcPr>
            <w:tcW w:w="7893" w:type="dxa"/>
            <w:noWrap w:val="0"/>
            <w:vAlign w:val="center"/>
          </w:tcPr>
          <w:p w14:paraId="4F4CB8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井线对称操作实时跟踪、修正功能</w:t>
            </w:r>
          </w:p>
        </w:tc>
      </w:tr>
      <w:tr w14:paraId="6B90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24D5805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.2.3</w:t>
            </w:r>
          </w:p>
        </w:tc>
        <w:tc>
          <w:tcPr>
            <w:tcW w:w="7893" w:type="dxa"/>
            <w:noWrap w:val="0"/>
            <w:vAlign w:val="center"/>
          </w:tcPr>
          <w:p w14:paraId="2AD378F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辐射野、影像增强器接收区域同步检测功能</w:t>
            </w:r>
          </w:p>
        </w:tc>
      </w:tr>
      <w:tr w14:paraId="09D3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008691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w:t>
            </w:r>
          </w:p>
        </w:tc>
        <w:tc>
          <w:tcPr>
            <w:tcW w:w="7893" w:type="dxa"/>
            <w:noWrap w:val="0"/>
            <w:vAlign w:val="center"/>
          </w:tcPr>
          <w:p w14:paraId="4EA1F99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自动复位功能</w:t>
            </w:r>
          </w:p>
        </w:tc>
      </w:tr>
      <w:tr w14:paraId="7BB9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5A7A53D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.3.1</w:t>
            </w:r>
          </w:p>
        </w:tc>
        <w:tc>
          <w:tcPr>
            <w:tcW w:w="7893" w:type="dxa"/>
            <w:noWrap w:val="0"/>
            <w:vAlign w:val="center"/>
          </w:tcPr>
          <w:p w14:paraId="5FD884D2">
            <w:pPr>
              <w:spacing w:before="60" w:after="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可将机架、平板探测器、治疗床公转自动恢复到零位；</w:t>
            </w:r>
          </w:p>
        </w:tc>
      </w:tr>
      <w:tr w14:paraId="49F9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0ABD2C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.3.2</w:t>
            </w:r>
          </w:p>
        </w:tc>
        <w:tc>
          <w:tcPr>
            <w:tcW w:w="7893" w:type="dxa"/>
            <w:noWrap w:val="0"/>
            <w:vAlign w:val="center"/>
          </w:tcPr>
          <w:p w14:paraId="70BD0FC8">
            <w:pPr>
              <w:spacing w:before="60" w:after="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井线、光阑可由非对称状态自动转换到对称状态。</w:t>
            </w:r>
          </w:p>
        </w:tc>
      </w:tr>
      <w:tr w14:paraId="0C94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top"/>
          </w:tcPr>
          <w:p w14:paraId="5732B0D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.3.3</w:t>
            </w:r>
          </w:p>
        </w:tc>
        <w:tc>
          <w:tcPr>
            <w:tcW w:w="7893" w:type="dxa"/>
            <w:noWrap w:val="0"/>
            <w:vAlign w:val="center"/>
          </w:tcPr>
          <w:p w14:paraId="46D0913B">
            <w:pPr>
              <w:spacing w:before="60" w:after="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数据显示功能：运动部件均具有数字显示功能。</w:t>
            </w:r>
          </w:p>
        </w:tc>
      </w:tr>
      <w:tr w14:paraId="2919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0CDEC7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w:t>
            </w:r>
          </w:p>
        </w:tc>
        <w:tc>
          <w:tcPr>
            <w:tcW w:w="7893" w:type="dxa"/>
            <w:noWrap w:val="0"/>
            <w:vAlign w:val="top"/>
          </w:tcPr>
          <w:p w14:paraId="3A1C6497">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图像处理功能</w:t>
            </w:r>
          </w:p>
        </w:tc>
      </w:tr>
      <w:tr w14:paraId="21BD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279BAA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.4.1</w:t>
            </w:r>
          </w:p>
        </w:tc>
        <w:tc>
          <w:tcPr>
            <w:tcW w:w="7893" w:type="dxa"/>
            <w:noWrap w:val="0"/>
            <w:vAlign w:val="top"/>
          </w:tcPr>
          <w:p w14:paraId="75B72F08">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图像实时处理功能：</w:t>
            </w:r>
          </w:p>
          <w:p w14:paraId="694396FA">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可对透视中的图像实时显示，图像降噪，窗宽、窗位调节，末帧冻结。</w:t>
            </w:r>
          </w:p>
        </w:tc>
      </w:tr>
      <w:tr w14:paraId="2286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39D867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.4.2</w:t>
            </w:r>
          </w:p>
        </w:tc>
        <w:tc>
          <w:tcPr>
            <w:tcW w:w="7893" w:type="dxa"/>
            <w:noWrap w:val="0"/>
            <w:vAlign w:val="top"/>
          </w:tcPr>
          <w:p w14:paraId="35B7931D">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图像后处理功能：</w:t>
            </w:r>
          </w:p>
          <w:p w14:paraId="24458092">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可对采集到的图像进行放大，黑白反转，多幅显示，窗宽、窗位调节，尺寸标定和目标测量。</w:t>
            </w:r>
          </w:p>
        </w:tc>
      </w:tr>
      <w:tr w14:paraId="4B65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36038DB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.4.3</w:t>
            </w:r>
          </w:p>
        </w:tc>
        <w:tc>
          <w:tcPr>
            <w:tcW w:w="7893" w:type="dxa"/>
            <w:noWrap w:val="0"/>
            <w:vAlign w:val="top"/>
          </w:tcPr>
          <w:p w14:paraId="04CA747F">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数字点片功能：</w:t>
            </w:r>
          </w:p>
          <w:p w14:paraId="15BC44F0">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可进行数字连续点片、单帧点片和数字摄影拍片功能</w:t>
            </w:r>
          </w:p>
        </w:tc>
      </w:tr>
      <w:tr w14:paraId="7C9D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320BE1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w:t>
            </w:r>
          </w:p>
        </w:tc>
        <w:tc>
          <w:tcPr>
            <w:tcW w:w="7893" w:type="dxa"/>
            <w:noWrap w:val="0"/>
            <w:vAlign w:val="top"/>
          </w:tcPr>
          <w:p w14:paraId="6981BB1D">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安全连锁功能</w:t>
            </w:r>
          </w:p>
        </w:tc>
      </w:tr>
      <w:tr w14:paraId="68A3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5CF68A7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.5.1</w:t>
            </w:r>
          </w:p>
        </w:tc>
        <w:tc>
          <w:tcPr>
            <w:tcW w:w="7893" w:type="dxa"/>
            <w:noWrap w:val="0"/>
            <w:vAlign w:val="center"/>
          </w:tcPr>
          <w:p w14:paraId="2A7478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工控机、PLC上下位机闭环控制，具有自检、握手信号功能</w:t>
            </w:r>
          </w:p>
        </w:tc>
      </w:tr>
      <w:tr w14:paraId="4B65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1D7720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.5.2</w:t>
            </w:r>
          </w:p>
        </w:tc>
        <w:tc>
          <w:tcPr>
            <w:tcW w:w="7893" w:type="dxa"/>
            <w:noWrap w:val="0"/>
            <w:vAlign w:val="center"/>
          </w:tcPr>
          <w:p w14:paraId="139528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全动作轴采集故障检测、处理功能</w:t>
            </w:r>
          </w:p>
        </w:tc>
      </w:tr>
      <w:tr w14:paraId="547E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5DFF565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.5.3</w:t>
            </w:r>
          </w:p>
        </w:tc>
        <w:tc>
          <w:tcPr>
            <w:tcW w:w="7893" w:type="dxa"/>
            <w:noWrap w:val="0"/>
            <w:vAlign w:val="center"/>
          </w:tcPr>
          <w:p w14:paraId="3EE0D2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机头安全防碰、平板安全防碰指示及复位功能</w:t>
            </w:r>
          </w:p>
        </w:tc>
      </w:tr>
      <w:tr w14:paraId="3B26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1DBB4F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.5.4</w:t>
            </w:r>
          </w:p>
        </w:tc>
        <w:tc>
          <w:tcPr>
            <w:tcW w:w="7893" w:type="dxa"/>
            <w:noWrap w:val="0"/>
            <w:vAlign w:val="center"/>
          </w:tcPr>
          <w:p w14:paraId="38EF55F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接受野、辐射野同步检测功能</w:t>
            </w:r>
          </w:p>
        </w:tc>
      </w:tr>
      <w:tr w14:paraId="506D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21F04BA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.5.5</w:t>
            </w:r>
          </w:p>
        </w:tc>
        <w:tc>
          <w:tcPr>
            <w:tcW w:w="7893" w:type="dxa"/>
            <w:noWrap w:val="0"/>
            <w:vAlign w:val="top"/>
          </w:tcPr>
          <w:p w14:paraId="7655C69A">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数据备份功能</w:t>
            </w:r>
          </w:p>
          <w:p w14:paraId="6778CBDC">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支持光盘刻录，可将患者的定位图像刻录在光盘上进行永久保存。</w:t>
            </w:r>
          </w:p>
        </w:tc>
      </w:tr>
      <w:tr w14:paraId="1314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7977DA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.6</w:t>
            </w:r>
          </w:p>
        </w:tc>
        <w:tc>
          <w:tcPr>
            <w:tcW w:w="7893" w:type="dxa"/>
            <w:noWrap w:val="0"/>
            <w:vAlign w:val="top"/>
          </w:tcPr>
          <w:p w14:paraId="09B4A7DB">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网络连接功能</w:t>
            </w:r>
          </w:p>
          <w:p w14:paraId="69CE8B33">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具有标准的DICOM RT接口，可输出DICOM RT image图像文件至符合DICOM RT标准的网络或设备。</w:t>
            </w:r>
          </w:p>
        </w:tc>
      </w:tr>
      <w:tr w14:paraId="755B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206109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.7</w:t>
            </w:r>
          </w:p>
        </w:tc>
        <w:tc>
          <w:tcPr>
            <w:tcW w:w="7893" w:type="dxa"/>
            <w:noWrap w:val="0"/>
            <w:vAlign w:val="top"/>
          </w:tcPr>
          <w:p w14:paraId="7CF4E87E">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报告打印功能</w:t>
            </w:r>
          </w:p>
        </w:tc>
      </w:tr>
      <w:tr w14:paraId="690E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36FD1D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.7.1</w:t>
            </w:r>
          </w:p>
        </w:tc>
        <w:tc>
          <w:tcPr>
            <w:tcW w:w="7893" w:type="dxa"/>
            <w:noWrap w:val="0"/>
            <w:vAlign w:val="center"/>
          </w:tcPr>
          <w:p w14:paraId="6B09E5DA">
            <w:pPr>
              <w:spacing w:before="60" w:after="100"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将病历和图像打印在A4纸上</w:t>
            </w:r>
          </w:p>
        </w:tc>
      </w:tr>
      <w:tr w14:paraId="19F3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16A5571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.7.2</w:t>
            </w:r>
          </w:p>
        </w:tc>
        <w:tc>
          <w:tcPr>
            <w:tcW w:w="7893" w:type="dxa"/>
            <w:noWrap w:val="0"/>
            <w:vAlign w:val="center"/>
          </w:tcPr>
          <w:p w14:paraId="3587D260">
            <w:pPr>
              <w:spacing w:before="60" w:after="100"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打印等中心层面或其它层面图像，供挡块轮廓勾画</w:t>
            </w:r>
          </w:p>
        </w:tc>
      </w:tr>
      <w:tr w14:paraId="0240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268" w:type="dxa"/>
            <w:noWrap w:val="0"/>
            <w:vAlign w:val="center"/>
          </w:tcPr>
          <w:p w14:paraId="28544BB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93" w:type="dxa"/>
            <w:noWrap w:val="0"/>
            <w:vAlign w:val="center"/>
          </w:tcPr>
          <w:p w14:paraId="3540620A">
            <w:pPr>
              <w:spacing w:before="60" w:after="100"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等中心质控模体一套</w:t>
            </w:r>
          </w:p>
        </w:tc>
      </w:tr>
    </w:tbl>
    <w:p w14:paraId="31B8DE7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firstLine="422" w:firstLineChars="200"/>
        <w:jc w:val="left"/>
        <w:textAlignment w:val="auto"/>
        <w:rPr>
          <w:rFonts w:hint="eastAsia" w:ascii="宋体" w:hAnsi="宋体" w:eastAsia="宋体" w:cs="宋体"/>
          <w:b/>
          <w:bCs/>
          <w:color w:val="auto"/>
          <w:sz w:val="21"/>
          <w:szCs w:val="21"/>
          <w:highlight w:val="none"/>
          <w:u w:val="none"/>
          <w:lang w:val="en-US" w:eastAsia="zh-CN"/>
        </w:rPr>
      </w:pPr>
    </w:p>
    <w:p w14:paraId="0D570EA9">
      <w:pPr>
        <w:pStyle w:val="21"/>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360" w:lineRule="auto"/>
        <w:jc w:val="center"/>
        <w:textAlignment w:val="auto"/>
        <w:rPr>
          <w:rFonts w:hint="eastAsia"/>
          <w:b/>
          <w:bCs/>
          <w:color w:val="auto"/>
          <w:highlight w:val="none"/>
          <w:lang w:val="en-US" w:eastAsia="zh-CN"/>
        </w:rPr>
      </w:pPr>
    </w:p>
    <w:p w14:paraId="56C82C0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420" w:firstLineChars="200"/>
        <w:jc w:val="left"/>
        <w:textAlignment w:val="auto"/>
        <w:rPr>
          <w:rFonts w:hint="eastAsia"/>
          <w:color w:val="auto"/>
          <w:highlight w:val="none"/>
          <w:lang w:val="en-US" w:eastAsia="zh-CN"/>
        </w:rPr>
      </w:pPr>
    </w:p>
    <w:p w14:paraId="6302E66F">
      <w:pPr>
        <w:keepNext w:val="0"/>
        <w:keepLines w:val="0"/>
        <w:pageBreakBefore w:val="0"/>
        <w:widowControl/>
        <w:shd w:val="clear" w:color="auto"/>
        <w:kinsoku/>
        <w:wordWrap/>
        <w:overflowPunct/>
        <w:topLinePunct w:val="0"/>
        <w:autoSpaceDE/>
        <w:autoSpaceDN/>
        <w:bidi w:val="0"/>
        <w:adjustRightInd/>
        <w:snapToGrid w:val="0"/>
        <w:spacing w:line="360" w:lineRule="auto"/>
        <w:textAlignment w:val="auto"/>
        <w:rPr>
          <w:rFonts w:ascii="宋体" w:hAnsi="宋体" w:cs="宋体"/>
          <w:color w:val="auto"/>
          <w:kern w:val="0"/>
          <w:sz w:val="21"/>
          <w:szCs w:val="21"/>
          <w:highlight w:val="none"/>
        </w:rPr>
      </w:pPr>
      <w:r>
        <w:rPr>
          <w:rFonts w:hint="eastAsia" w:ascii="宋体" w:hAnsi="宋体" w:cs="宋体"/>
          <w:b/>
          <w:bCs/>
          <w:color w:val="auto"/>
          <w:kern w:val="0"/>
          <w:sz w:val="21"/>
          <w:szCs w:val="21"/>
          <w:highlight w:val="none"/>
          <w:lang w:val="en-US" w:eastAsia="zh-CN"/>
        </w:rPr>
        <w:t>四</w:t>
      </w:r>
      <w:r>
        <w:rPr>
          <w:rFonts w:hint="eastAsia" w:ascii="宋体" w:hAnsi="宋体" w:cs="宋体"/>
          <w:b/>
          <w:bCs/>
          <w:color w:val="auto"/>
          <w:kern w:val="0"/>
          <w:sz w:val="21"/>
          <w:szCs w:val="21"/>
          <w:highlight w:val="none"/>
        </w:rPr>
        <w:t>、商务要求</w:t>
      </w:r>
    </w:p>
    <w:tbl>
      <w:tblPr>
        <w:tblStyle w:val="40"/>
        <w:tblW w:w="88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26"/>
        <w:gridCol w:w="7241"/>
      </w:tblGrid>
      <w:tr w14:paraId="3803D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17313BBA">
            <w:pPr>
              <w:widowControl/>
              <w:snapToGrid w:val="0"/>
              <w:spacing w:line="240" w:lineRule="auto"/>
              <w:ind w:left="0" w:leftChars="0"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质保期</w:t>
            </w:r>
          </w:p>
        </w:tc>
        <w:tc>
          <w:tcPr>
            <w:tcW w:w="7241" w:type="dxa"/>
            <w:tcBorders>
              <w:top w:val="single" w:color="auto" w:sz="4" w:space="0"/>
              <w:left w:val="single" w:color="auto" w:sz="4" w:space="0"/>
              <w:bottom w:val="single" w:color="auto" w:sz="4" w:space="0"/>
              <w:right w:val="single" w:color="auto" w:sz="4" w:space="0"/>
            </w:tcBorders>
            <w:vAlign w:val="center"/>
          </w:tcPr>
          <w:p w14:paraId="2A0D73D6">
            <w:pPr>
              <w:spacing w:line="360" w:lineRule="auto"/>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从产品入库之日起，整机保修三年，出具相关服务承诺书。</w:t>
            </w:r>
          </w:p>
        </w:tc>
      </w:tr>
      <w:tr w14:paraId="6CBAB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055E9BCE">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合同签订时间、</w:t>
            </w:r>
            <w:r>
              <w:rPr>
                <w:rFonts w:hint="eastAsia" w:ascii="宋体" w:hAnsi="宋体" w:cs="宋体"/>
                <w:color w:val="auto"/>
                <w:kern w:val="0"/>
                <w:sz w:val="21"/>
                <w:szCs w:val="21"/>
                <w:highlight w:val="none"/>
                <w:lang w:val="en-US" w:eastAsia="zh-CN"/>
              </w:rPr>
              <w:t>交货期</w:t>
            </w:r>
            <w:r>
              <w:rPr>
                <w:rFonts w:hint="eastAsia" w:ascii="宋体" w:hAnsi="宋体" w:eastAsia="宋体" w:cs="宋体"/>
                <w:color w:val="auto"/>
                <w:kern w:val="0"/>
                <w:sz w:val="21"/>
                <w:szCs w:val="21"/>
                <w:highlight w:val="none"/>
                <w:lang w:val="en-US" w:eastAsia="zh-CN"/>
              </w:rPr>
              <w:t>及地点</w:t>
            </w:r>
          </w:p>
        </w:tc>
        <w:tc>
          <w:tcPr>
            <w:tcW w:w="7241" w:type="dxa"/>
            <w:tcBorders>
              <w:top w:val="single" w:color="auto" w:sz="4" w:space="0"/>
              <w:left w:val="single" w:color="auto" w:sz="4" w:space="0"/>
              <w:bottom w:val="single" w:color="auto" w:sz="4" w:space="0"/>
              <w:right w:val="single" w:color="auto" w:sz="4" w:space="0"/>
            </w:tcBorders>
            <w:vAlign w:val="center"/>
          </w:tcPr>
          <w:p w14:paraId="78C0738B">
            <w:pPr>
              <w:widowControl/>
              <w:snapToGrid w:val="0"/>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合同签订时间:中标通知书发出后2个工作日内；</w:t>
            </w:r>
          </w:p>
          <w:p w14:paraId="38615391">
            <w:pPr>
              <w:widowControl/>
              <w:snapToGrid w:val="0"/>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交货</w:t>
            </w:r>
            <w:r>
              <w:rPr>
                <w:rFonts w:hint="eastAsia" w:ascii="宋体" w:hAnsi="宋体" w:cs="宋体"/>
                <w:color w:val="auto"/>
                <w:kern w:val="0"/>
                <w:sz w:val="21"/>
                <w:szCs w:val="21"/>
                <w:highlight w:val="none"/>
                <w:lang w:val="en-US" w:eastAsia="zh-CN"/>
              </w:rPr>
              <w:t>期</w:t>
            </w:r>
            <w:r>
              <w:rPr>
                <w:rFonts w:hint="eastAsia" w:ascii="宋体" w:hAnsi="宋体" w:eastAsia="宋体" w:cs="宋体"/>
                <w:color w:val="auto"/>
                <w:kern w:val="0"/>
                <w:sz w:val="21"/>
                <w:szCs w:val="21"/>
                <w:highlight w:val="none"/>
                <w:lang w:val="en-US" w:eastAsia="zh-CN"/>
              </w:rPr>
              <w:t>:合同签订后30日内交货，最终以合同约定内容为准；</w:t>
            </w:r>
          </w:p>
          <w:p w14:paraId="1AF125DC">
            <w:pPr>
              <w:widowControl/>
              <w:snapToGrid w:val="0"/>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交货</w:t>
            </w:r>
            <w:r>
              <w:rPr>
                <w:rFonts w:hint="eastAsia" w:ascii="宋体" w:hAnsi="宋体" w:eastAsia="宋体" w:cs="宋体"/>
                <w:color w:val="auto"/>
                <w:kern w:val="0"/>
                <w:sz w:val="21"/>
                <w:szCs w:val="21"/>
                <w:highlight w:val="none"/>
                <w:lang w:val="en-US" w:eastAsia="zh-CN"/>
              </w:rPr>
              <w:t>地点:采购人指定地点。</w:t>
            </w:r>
          </w:p>
        </w:tc>
      </w:tr>
      <w:tr w14:paraId="018F1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6CA891AA">
            <w:pPr>
              <w:widowControl/>
              <w:snapToGrid w:val="0"/>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质量要求</w:t>
            </w:r>
          </w:p>
        </w:tc>
        <w:tc>
          <w:tcPr>
            <w:tcW w:w="7241" w:type="dxa"/>
            <w:tcBorders>
              <w:top w:val="single" w:color="auto" w:sz="4" w:space="0"/>
              <w:left w:val="single" w:color="auto" w:sz="4" w:space="0"/>
              <w:bottom w:val="single" w:color="auto" w:sz="4" w:space="0"/>
              <w:right w:val="single" w:color="auto" w:sz="4" w:space="0"/>
            </w:tcBorders>
            <w:vAlign w:val="center"/>
          </w:tcPr>
          <w:p w14:paraId="35775251">
            <w:pPr>
              <w:widowControl/>
              <w:snapToGrid w:val="0"/>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符合国家质量标准、部颁标准、行业标准，且满足</w:t>
            </w:r>
            <w:r>
              <w:rPr>
                <w:rFonts w:hint="eastAsia" w:ascii="宋体" w:hAnsi="宋体" w:cs="宋体"/>
                <w:color w:val="auto"/>
                <w:kern w:val="0"/>
                <w:sz w:val="21"/>
                <w:szCs w:val="21"/>
                <w:highlight w:val="none"/>
                <w:lang w:val="en-US" w:eastAsia="zh-CN"/>
              </w:rPr>
              <w:t>磋商文件要求。</w:t>
            </w:r>
          </w:p>
        </w:tc>
      </w:tr>
      <w:tr w14:paraId="6EC9D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7E43998C">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付款方式</w:t>
            </w:r>
          </w:p>
        </w:tc>
        <w:tc>
          <w:tcPr>
            <w:tcW w:w="7241" w:type="dxa"/>
            <w:tcBorders>
              <w:top w:val="single" w:color="auto" w:sz="4" w:space="0"/>
              <w:left w:val="single" w:color="auto" w:sz="4" w:space="0"/>
              <w:bottom w:val="single" w:color="auto" w:sz="4" w:space="0"/>
              <w:right w:val="single" w:color="auto" w:sz="4" w:space="0"/>
            </w:tcBorders>
            <w:vAlign w:val="center"/>
          </w:tcPr>
          <w:p w14:paraId="6888752E">
            <w:pPr>
              <w:widowControl/>
              <w:snapToGri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全部标的物经安装调试完毕并检验合格之日起，核付合同总价的百分之八十五。一年后由采购人核付合同总价的百分之十。本合同履行完毕后，由采购人核付合同总价的百分之五。</w:t>
            </w:r>
          </w:p>
        </w:tc>
      </w:tr>
      <w:tr w14:paraId="02409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0622D56D">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售后服务保障</w:t>
            </w:r>
            <w:r>
              <w:rPr>
                <w:rFonts w:hint="eastAsia" w:ascii="宋体" w:hAnsi="宋体" w:cs="宋体"/>
                <w:color w:val="auto"/>
                <w:kern w:val="0"/>
                <w:sz w:val="21"/>
                <w:szCs w:val="21"/>
                <w:highlight w:val="none"/>
                <w:lang w:val="en-US" w:eastAsia="zh-CN"/>
              </w:rPr>
              <w:t>及</w:t>
            </w:r>
            <w:r>
              <w:rPr>
                <w:rFonts w:hint="eastAsia" w:ascii="宋体" w:hAnsi="宋体" w:eastAsia="宋体" w:cs="宋体"/>
                <w:color w:val="auto"/>
                <w:sz w:val="21"/>
                <w:szCs w:val="21"/>
                <w:highlight w:val="none"/>
                <w:lang w:val="en-US" w:eastAsia="zh-CN"/>
              </w:rPr>
              <w:t>应急</w:t>
            </w:r>
            <w:r>
              <w:rPr>
                <w:rFonts w:hint="eastAsia" w:ascii="宋体" w:hAnsi="宋体" w:cs="宋体"/>
                <w:color w:val="auto"/>
                <w:sz w:val="21"/>
                <w:szCs w:val="21"/>
                <w:highlight w:val="none"/>
                <w:lang w:val="en-US" w:eastAsia="zh-CN"/>
              </w:rPr>
              <w:t>服务</w:t>
            </w:r>
            <w:r>
              <w:rPr>
                <w:rFonts w:hint="eastAsia" w:ascii="宋体" w:hAnsi="宋体" w:eastAsia="宋体" w:cs="宋体"/>
                <w:color w:val="auto"/>
                <w:kern w:val="0"/>
                <w:sz w:val="21"/>
                <w:szCs w:val="21"/>
                <w:highlight w:val="none"/>
                <w:lang w:eastAsia="zh-CN"/>
              </w:rPr>
              <w:t>响应</w:t>
            </w:r>
            <w:r>
              <w:rPr>
                <w:rFonts w:hint="eastAsia" w:ascii="宋体" w:hAnsi="宋体" w:cs="宋体"/>
                <w:color w:val="auto"/>
                <w:kern w:val="0"/>
                <w:sz w:val="21"/>
                <w:szCs w:val="21"/>
                <w:highlight w:val="none"/>
                <w:lang w:val="en-US" w:eastAsia="zh-CN"/>
              </w:rPr>
              <w:t>等</w:t>
            </w:r>
          </w:p>
        </w:tc>
        <w:tc>
          <w:tcPr>
            <w:tcW w:w="7241" w:type="dxa"/>
            <w:tcBorders>
              <w:top w:val="single" w:color="auto" w:sz="4" w:space="0"/>
              <w:left w:val="single" w:color="auto" w:sz="4" w:space="0"/>
              <w:bottom w:val="single" w:color="auto" w:sz="4" w:space="0"/>
              <w:right w:val="single" w:color="auto" w:sz="4" w:space="0"/>
            </w:tcBorders>
            <w:shd w:val="clear" w:color="auto" w:fill="auto"/>
            <w:vAlign w:val="center"/>
          </w:tcPr>
          <w:p w14:paraId="1B84D4BB">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1.质保期内应当为采购人提供以下技术支持和服务：</w:t>
            </w:r>
          </w:p>
          <w:p w14:paraId="0CDE1047">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a、现场响应：中标供应商应保证在12小时内对用户提出的问题或故障予以响应及处理。可提供备用设备或核心部件应急使用。</w:t>
            </w:r>
          </w:p>
          <w:p w14:paraId="3320463F">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b、中标供应商应当应每季度对该设备进行保养不少于一次,并出具保养报告，具体保养内容见合同。</w:t>
            </w:r>
          </w:p>
          <w:p w14:paraId="36610F0B">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c、质保期内该设备应保证大于95%（含）的开机率，如达不到要求，每少于一天质保期顺延7天，如造成严重损失需赔偿用户经济损失或换货或退货。</w:t>
            </w:r>
          </w:p>
          <w:p w14:paraId="1EC80864">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d、技术升级，如果制造商的产品技术升级，中标供应商应及时通知采购人，如采购人有相应要求，中标供应商和制造商应对采购人购买的产品进行免费升级服务。</w:t>
            </w:r>
          </w:p>
          <w:p w14:paraId="7D3F4CA6">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e、中标供应商交付设备时，应按照《国家食品药品监督管理总局》第18号令第17条的要求提供相应的维护手册、维修手册、软件备份、故障代码表、备件清单、零部件、维修密码等维护维修必需的材料和信息。</w:t>
            </w:r>
          </w:p>
          <w:p w14:paraId="746478A5">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f、所有设备按照医院实际要求免费开放端口，免费为医院对接院内信息系统。质保期内免费进行软件升级。</w:t>
            </w:r>
          </w:p>
          <w:p w14:paraId="03A1A65C">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g、除火灾、洪水、地震等天灾外，在保修期内，由于货物故障所产生的所有费用均由中标供应商负责。</w:t>
            </w:r>
          </w:p>
          <w:p w14:paraId="12A274C6">
            <w:pPr>
              <w:widowControl/>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2.培训：免费提供操作培训和维修培训。</w:t>
            </w:r>
          </w:p>
        </w:tc>
      </w:tr>
      <w:tr w14:paraId="7DAB7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26B4295C">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其他要求</w:t>
            </w:r>
          </w:p>
        </w:tc>
        <w:tc>
          <w:tcPr>
            <w:tcW w:w="7241" w:type="dxa"/>
            <w:tcBorders>
              <w:top w:val="single" w:color="auto" w:sz="4" w:space="0"/>
              <w:left w:val="single" w:color="auto" w:sz="4" w:space="0"/>
              <w:bottom w:val="single" w:color="auto" w:sz="4" w:space="0"/>
              <w:right w:val="single" w:color="auto" w:sz="4" w:space="0"/>
            </w:tcBorders>
            <w:shd w:val="clear" w:color="auto" w:fill="auto"/>
            <w:vAlign w:val="center"/>
          </w:tcPr>
          <w:p w14:paraId="721C7A97">
            <w:pPr>
              <w:widowControl/>
              <w:snapToGrid w:val="0"/>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要求设备为最新出厂设备，出厂日期不得早于招标日期6个月。</w:t>
            </w:r>
          </w:p>
        </w:tc>
      </w:tr>
    </w:tbl>
    <w:p w14:paraId="15FB92DF">
      <w:pPr>
        <w:keepNext w:val="0"/>
        <w:keepLines w:val="0"/>
        <w:pageBreakBefore w:val="0"/>
        <w:widowControl/>
        <w:shd w:val="clear" w:color="auto"/>
        <w:kinsoku/>
        <w:wordWrap/>
        <w:overflowPunct/>
        <w:topLinePunct w:val="0"/>
        <w:autoSpaceDE/>
        <w:autoSpaceDN/>
        <w:bidi w:val="0"/>
        <w:adjustRightInd/>
        <w:snapToGrid w:val="0"/>
        <w:spacing w:before="157" w:beforeLines="50"/>
        <w:textAlignment w:val="auto"/>
        <w:rPr>
          <w:rFonts w:hint="eastAsia" w:ascii="宋体" w:hAnsi="宋体" w:cs="宋体"/>
          <w:b/>
          <w:bCs/>
          <w:color w:val="auto"/>
          <w:kern w:val="0"/>
          <w:sz w:val="21"/>
          <w:szCs w:val="21"/>
          <w:highlight w:val="none"/>
          <w:lang w:val="en-US" w:eastAsia="zh-CN"/>
        </w:rPr>
      </w:pPr>
    </w:p>
    <w:p w14:paraId="15B251F2">
      <w:pPr>
        <w:keepNext w:val="0"/>
        <w:keepLines w:val="0"/>
        <w:pageBreakBefore w:val="0"/>
        <w:widowControl/>
        <w:shd w:val="clear" w:color="auto"/>
        <w:kinsoku/>
        <w:wordWrap/>
        <w:overflowPunct/>
        <w:topLinePunct w:val="0"/>
        <w:autoSpaceDE/>
        <w:autoSpaceDN/>
        <w:bidi w:val="0"/>
        <w:adjustRightInd/>
        <w:snapToGrid w:val="0"/>
        <w:spacing w:before="157" w:beforeLines="50"/>
        <w:textAlignment w:val="auto"/>
        <w:rPr>
          <w:rFonts w:hint="eastAsia" w:ascii="宋体" w:hAnsi="宋体" w:cs="宋体"/>
          <w:b/>
          <w:bCs/>
          <w:color w:val="auto"/>
          <w:kern w:val="0"/>
          <w:sz w:val="21"/>
          <w:szCs w:val="21"/>
          <w:highlight w:val="none"/>
          <w:lang w:val="en-US" w:eastAsia="zh-CN"/>
        </w:rPr>
      </w:pPr>
    </w:p>
    <w:p w14:paraId="03DF89E7">
      <w:pPr>
        <w:keepNext w:val="0"/>
        <w:keepLines w:val="0"/>
        <w:pageBreakBefore w:val="0"/>
        <w:widowControl/>
        <w:shd w:val="clear" w:color="auto"/>
        <w:kinsoku/>
        <w:wordWrap/>
        <w:overflowPunct/>
        <w:topLinePunct w:val="0"/>
        <w:autoSpaceDE/>
        <w:autoSpaceDN/>
        <w:bidi w:val="0"/>
        <w:adjustRightInd/>
        <w:snapToGrid w:val="0"/>
        <w:spacing w:before="157" w:beforeLines="50"/>
        <w:textAlignment w:val="auto"/>
        <w:rPr>
          <w:rFonts w:hint="eastAsia" w:ascii="宋体" w:hAnsi="宋体" w:cs="宋体"/>
          <w:b/>
          <w:bCs/>
          <w:color w:val="auto"/>
          <w:kern w:val="0"/>
          <w:sz w:val="21"/>
          <w:szCs w:val="21"/>
          <w:highlight w:val="none"/>
          <w:lang w:val="en-US" w:eastAsia="zh-CN"/>
        </w:rPr>
      </w:pPr>
    </w:p>
    <w:p w14:paraId="7D1C7DF7">
      <w:pPr>
        <w:keepNext w:val="0"/>
        <w:keepLines w:val="0"/>
        <w:pageBreakBefore w:val="0"/>
        <w:widowControl/>
        <w:shd w:val="clear" w:color="auto"/>
        <w:kinsoku/>
        <w:wordWrap/>
        <w:overflowPunct/>
        <w:topLinePunct w:val="0"/>
        <w:autoSpaceDE/>
        <w:autoSpaceDN/>
        <w:bidi w:val="0"/>
        <w:adjustRightInd/>
        <w:snapToGrid w:val="0"/>
        <w:spacing w:before="157" w:beforeLines="50"/>
        <w:textAlignment w:val="auto"/>
        <w:rPr>
          <w:rFonts w:hint="eastAsia" w:ascii="宋体" w:hAnsi="宋体" w:cs="宋体"/>
          <w:b/>
          <w:bCs/>
          <w:color w:val="auto"/>
          <w:kern w:val="0"/>
          <w:sz w:val="21"/>
          <w:szCs w:val="21"/>
          <w:highlight w:val="none"/>
          <w:lang w:val="en-US" w:eastAsia="zh-CN"/>
        </w:rPr>
      </w:pPr>
    </w:p>
    <w:p w14:paraId="3D63BE00">
      <w:pPr>
        <w:keepNext w:val="0"/>
        <w:keepLines w:val="0"/>
        <w:pageBreakBefore w:val="0"/>
        <w:widowControl/>
        <w:shd w:val="clear" w:color="auto"/>
        <w:kinsoku/>
        <w:wordWrap/>
        <w:overflowPunct/>
        <w:topLinePunct w:val="0"/>
        <w:autoSpaceDE/>
        <w:autoSpaceDN/>
        <w:bidi w:val="0"/>
        <w:adjustRightInd/>
        <w:snapToGrid w:val="0"/>
        <w:spacing w:before="157" w:beforeLines="50"/>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五</w:t>
      </w:r>
      <w:r>
        <w:rPr>
          <w:rFonts w:hint="eastAsia" w:ascii="宋体" w:hAnsi="宋体" w:cs="宋体"/>
          <w:b/>
          <w:bCs/>
          <w:color w:val="auto"/>
          <w:kern w:val="0"/>
          <w:sz w:val="21"/>
          <w:szCs w:val="21"/>
          <w:highlight w:val="none"/>
        </w:rPr>
        <w:t>、采购人对项目的特殊要求及说明</w:t>
      </w:r>
    </w:p>
    <w:tbl>
      <w:tblPr>
        <w:tblStyle w:val="40"/>
        <w:tblpPr w:leftFromText="180" w:rightFromText="180" w:vertAnchor="text" w:horzAnchor="page" w:tblpX="1715" w:tblpY="317"/>
        <w:tblOverlap w:val="never"/>
        <w:tblW w:w="0" w:type="auto"/>
        <w:tblInd w:w="0" w:type="dxa"/>
        <w:shd w:val="clear" w:color="auto" w:fill="FFFFFF"/>
        <w:tblLayout w:type="fixed"/>
        <w:tblCellMar>
          <w:top w:w="0" w:type="dxa"/>
          <w:left w:w="0" w:type="dxa"/>
          <w:bottom w:w="0" w:type="dxa"/>
          <w:right w:w="0" w:type="dxa"/>
        </w:tblCellMar>
      </w:tblPr>
      <w:tblGrid>
        <w:gridCol w:w="1276"/>
        <w:gridCol w:w="7246"/>
      </w:tblGrid>
      <w:tr w14:paraId="67CCE26D">
        <w:tblPrEx>
          <w:tblCellMar>
            <w:top w:w="0" w:type="dxa"/>
            <w:left w:w="0" w:type="dxa"/>
            <w:bottom w:w="0" w:type="dxa"/>
            <w:right w:w="0" w:type="dxa"/>
          </w:tblCellMar>
        </w:tblPrEx>
        <w:trPr>
          <w:trHeight w:val="4193" w:hRule="atLeast"/>
        </w:trPr>
        <w:tc>
          <w:tcPr>
            <w:tcW w:w="1276"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20305393">
            <w:pPr>
              <w:keepNext w:val="0"/>
              <w:keepLines w:val="0"/>
              <w:pageBreakBefore w:val="0"/>
              <w:tabs>
                <w:tab w:val="left" w:pos="847"/>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采购人的特殊要求及说明理由</w:t>
            </w:r>
          </w:p>
        </w:tc>
        <w:tc>
          <w:tcPr>
            <w:tcW w:w="724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3C67A5D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1、本项目是否收取磋商保证金和履约保证金：否</w:t>
            </w:r>
          </w:p>
          <w:p w14:paraId="3415A20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2、是否接受联合体参加磋商：否</w:t>
            </w:r>
            <w:r>
              <w:rPr>
                <w:rFonts w:hint="eastAsia" w:ascii="宋体" w:hAnsi="宋体" w:eastAsia="宋体" w:cs="宋体"/>
                <w:b w:val="0"/>
                <w:bCs w:val="0"/>
                <w:color w:val="auto"/>
                <w:sz w:val="21"/>
                <w:szCs w:val="21"/>
                <w:highlight w:val="none"/>
                <w:lang w:eastAsia="zh-CN"/>
              </w:rPr>
              <w:t>。</w:t>
            </w:r>
          </w:p>
          <w:p w14:paraId="671EF09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3、是否专门面向中小企业采购：</w:t>
            </w:r>
            <w:r>
              <w:rPr>
                <w:rFonts w:hint="eastAsia" w:ascii="宋体" w:hAnsi="宋体" w:cs="宋体"/>
                <w:b w:val="0"/>
                <w:bCs w:val="0"/>
                <w:color w:val="auto"/>
                <w:sz w:val="21"/>
                <w:szCs w:val="21"/>
                <w:highlight w:val="none"/>
                <w:lang w:val="en-US" w:eastAsia="zh-CN"/>
              </w:rPr>
              <w:t>否</w:t>
            </w:r>
            <w:r>
              <w:rPr>
                <w:rFonts w:hint="eastAsia" w:ascii="宋体" w:hAnsi="宋体" w:eastAsia="宋体" w:cs="宋体"/>
                <w:b w:val="0"/>
                <w:bCs w:val="0"/>
                <w:color w:val="auto"/>
                <w:sz w:val="21"/>
                <w:szCs w:val="21"/>
                <w:highlight w:val="none"/>
                <w:lang w:eastAsia="zh-CN"/>
              </w:rPr>
              <w:t>。</w:t>
            </w:r>
          </w:p>
          <w:p w14:paraId="567F46C9">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4、是否授权磋商小组直接确定成交供应商和成交候选供应商：</w:t>
            </w:r>
            <w:r>
              <w:rPr>
                <w:rFonts w:hint="eastAsia" w:ascii="宋体" w:hAnsi="宋体" w:eastAsia="宋体" w:cs="宋体"/>
                <w:b w:val="0"/>
                <w:bCs w:val="0"/>
                <w:color w:val="auto"/>
                <w:sz w:val="21"/>
                <w:szCs w:val="21"/>
                <w:highlight w:val="none"/>
                <w:lang w:val="en-US" w:eastAsia="zh-CN"/>
              </w:rPr>
              <w:t>否。评审委员会根据全体评审成员签字的原始评审记录和评审结果编写评审报告并推荐3名成交候选供应商</w:t>
            </w:r>
            <w:r>
              <w:rPr>
                <w:rFonts w:hint="eastAsia" w:ascii="宋体" w:hAnsi="宋体" w:eastAsia="宋体" w:cs="宋体"/>
                <w:b w:val="0"/>
                <w:bCs w:val="0"/>
                <w:color w:val="auto"/>
                <w:sz w:val="21"/>
                <w:szCs w:val="21"/>
                <w:highlight w:val="none"/>
                <w:lang w:eastAsia="zh-CN"/>
              </w:rPr>
              <w:t>。</w:t>
            </w:r>
          </w:p>
          <w:p w14:paraId="43DBA8D3">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5、采购标的对应的中小企业划分标准所属行业为：</w:t>
            </w:r>
            <w:r>
              <w:rPr>
                <w:rFonts w:hint="eastAsia" w:ascii="宋体" w:hAnsi="宋体" w:cs="宋体"/>
                <w:b w:val="0"/>
                <w:bCs w:val="0"/>
                <w:color w:val="auto"/>
                <w:sz w:val="21"/>
                <w:szCs w:val="21"/>
                <w:highlight w:val="none"/>
                <w:lang w:val="en-US" w:eastAsia="zh-CN"/>
              </w:rPr>
              <w:t>工业</w:t>
            </w:r>
            <w:r>
              <w:rPr>
                <w:rFonts w:hint="eastAsia" w:ascii="宋体" w:hAnsi="宋体" w:eastAsia="宋体" w:cs="宋体"/>
                <w:b w:val="0"/>
                <w:bCs w:val="0"/>
                <w:color w:val="auto"/>
                <w:sz w:val="21"/>
                <w:szCs w:val="21"/>
                <w:highlight w:val="none"/>
                <w:lang w:val="en-US" w:eastAsia="zh-CN"/>
              </w:rPr>
              <w:t>。</w:t>
            </w:r>
          </w:p>
          <w:p w14:paraId="26B4606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、依据《政府采购促进中小企业发展管理办法》(财库〔2020〕46号)的规定享受扶持政策获得政府采购合同的，小微企业不得将合同分包给大中型企业，中型企业不得将合同分包给大型企业。</w:t>
            </w:r>
          </w:p>
          <w:p w14:paraId="087EC22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7、其他要求</w:t>
            </w:r>
          </w:p>
          <w:p w14:paraId="16CC347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7.1 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6363C87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7.2 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3C认证产品）的，该产品应具有由认证机构颁发给制造商的该产品强制性认证证书。 </w:t>
            </w:r>
          </w:p>
          <w:p w14:paraId="29258D2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7.3 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                                      </w:t>
            </w:r>
          </w:p>
          <w:p w14:paraId="68A0C28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7.4 商品包装和快递包装应符合《商品包装政府采购需求标准（试行）》和《快递包装政府采购需求标准（试行）》规定。</w:t>
            </w:r>
          </w:p>
        </w:tc>
      </w:tr>
    </w:tbl>
    <w:p w14:paraId="2D77DDF6">
      <w:pPr>
        <w:keepNext w:val="0"/>
        <w:keepLines w:val="0"/>
        <w:pageBreakBefore w:val="0"/>
        <w:widowControl w:val="0"/>
        <w:kinsoku/>
        <w:wordWrap/>
        <w:overflowPunct/>
        <w:topLinePunct w:val="0"/>
        <w:autoSpaceDE/>
        <w:autoSpaceDN/>
        <w:bidi w:val="0"/>
        <w:adjustRightInd/>
        <w:snapToGrid w:val="0"/>
        <w:textAlignment w:val="auto"/>
        <w:rPr>
          <w:color w:val="auto"/>
          <w:highlight w:val="none"/>
        </w:rPr>
      </w:pPr>
    </w:p>
    <w:p w14:paraId="0D829F19">
      <w:pPr>
        <w:rPr>
          <w:color w:val="auto"/>
          <w:highlight w:val="none"/>
        </w:rPr>
      </w:pPr>
      <w:r>
        <w:rPr>
          <w:color w:val="auto"/>
          <w:highlight w:val="none"/>
        </w:rPr>
        <w:br w:type="page"/>
      </w:r>
    </w:p>
    <w:p w14:paraId="7504E8F4">
      <w:pPr>
        <w:bidi w:val="0"/>
        <w:rPr>
          <w:color w:val="auto"/>
          <w:highlight w:val="none"/>
        </w:rPr>
      </w:pPr>
    </w:p>
    <w:p w14:paraId="1439FB56">
      <w:pPr>
        <w:widowControl/>
        <w:shd w:val="clear" w:color="auto" w:fill="FFFFFF"/>
        <w:spacing w:line="360" w:lineRule="auto"/>
        <w:ind w:firstLine="2570" w:firstLineChars="800"/>
        <w:rPr>
          <w:color w:val="auto"/>
          <w:kern w:val="0"/>
          <w:sz w:val="28"/>
          <w:szCs w:val="28"/>
          <w:highlight w:val="none"/>
        </w:rPr>
      </w:pPr>
      <w:r>
        <w:rPr>
          <w:rFonts w:hint="eastAsia" w:ascii="黑体" w:hAnsi="宋体" w:eastAsia="黑体" w:cs="宋体"/>
          <w:b/>
          <w:bCs/>
          <w:color w:val="auto"/>
          <w:kern w:val="0"/>
          <w:sz w:val="32"/>
          <w:szCs w:val="32"/>
          <w:highlight w:val="none"/>
        </w:rPr>
        <w:t>第三章</w:t>
      </w:r>
      <w:r>
        <w:rPr>
          <w:rFonts w:hint="eastAsia" w:eastAsia="黑体"/>
          <w:b/>
          <w:bCs/>
          <w:color w:val="auto"/>
          <w:kern w:val="0"/>
          <w:sz w:val="32"/>
          <w:szCs w:val="32"/>
          <w:highlight w:val="none"/>
        </w:rPr>
        <w:t xml:space="preserve"> </w:t>
      </w:r>
      <w:r>
        <w:rPr>
          <w:rFonts w:hint="eastAsia" w:ascii="黑体" w:hAnsi="宋体" w:eastAsia="黑体" w:cs="宋体"/>
          <w:b/>
          <w:bCs/>
          <w:color w:val="auto"/>
          <w:kern w:val="0"/>
          <w:sz w:val="32"/>
          <w:szCs w:val="32"/>
          <w:highlight w:val="none"/>
        </w:rPr>
        <w:t xml:space="preserve"> 供应商须知</w:t>
      </w:r>
      <w:r>
        <w:rPr>
          <w:rFonts w:hint="eastAsia" w:ascii="宋体" w:hAnsi="宋体" w:cs="宋体"/>
          <w:b/>
          <w:bCs/>
          <w:color w:val="auto"/>
          <w:kern w:val="0"/>
          <w:sz w:val="24"/>
          <w:highlight w:val="none"/>
        </w:rPr>
        <w:t xml:space="preserve">      </w:t>
      </w:r>
    </w:p>
    <w:p w14:paraId="76839ADD">
      <w:pPr>
        <w:widowControl/>
        <w:shd w:val="clear" w:color="auto" w:fill="FFFFFF"/>
        <w:spacing w:line="460" w:lineRule="atLeast"/>
        <w:jc w:val="center"/>
        <w:rPr>
          <w:color w:val="auto"/>
          <w:kern w:val="0"/>
          <w:sz w:val="28"/>
          <w:szCs w:val="28"/>
          <w:highlight w:val="none"/>
        </w:rPr>
      </w:pPr>
      <w:r>
        <w:rPr>
          <w:rFonts w:hint="eastAsia" w:ascii="宋体" w:hAnsi="宋体"/>
          <w:b/>
          <w:bCs/>
          <w:color w:val="auto"/>
          <w:kern w:val="0"/>
          <w:sz w:val="24"/>
          <w:highlight w:val="none"/>
        </w:rPr>
        <w:t>供应商须知前附表</w:t>
      </w:r>
    </w:p>
    <w:tbl>
      <w:tblPr>
        <w:tblStyle w:val="40"/>
        <w:tblW w:w="0" w:type="auto"/>
        <w:tblInd w:w="0" w:type="dxa"/>
        <w:shd w:val="clear" w:color="auto" w:fill="FFFFFF"/>
        <w:tblLayout w:type="fixed"/>
        <w:tblCellMar>
          <w:top w:w="0" w:type="dxa"/>
          <w:left w:w="0" w:type="dxa"/>
          <w:bottom w:w="0" w:type="dxa"/>
          <w:right w:w="0" w:type="dxa"/>
        </w:tblCellMar>
      </w:tblPr>
      <w:tblGrid>
        <w:gridCol w:w="869"/>
        <w:gridCol w:w="8371"/>
      </w:tblGrid>
      <w:tr w14:paraId="773E59CD">
        <w:tblPrEx>
          <w:shd w:val="clear" w:color="auto" w:fill="FFFFFF"/>
        </w:tblPrEx>
        <w:trPr>
          <w:trHeight w:val="472"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BD8921">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B3C8B6">
            <w:pPr>
              <w:keepNext w:val="0"/>
              <w:keepLines w:val="0"/>
              <w:pageBreakBefore w:val="0"/>
              <w:widowControl/>
              <w:kinsoku/>
              <w:wordWrap/>
              <w:overflowPunct/>
              <w:topLinePunct w:val="0"/>
              <w:autoSpaceDE/>
              <w:autoSpaceDN/>
              <w:bidi w:val="0"/>
              <w:adjustRightInd/>
              <w:snapToGrid w:val="0"/>
              <w:spacing w:line="360" w:lineRule="auto"/>
              <w:ind w:firstLine="324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内容、要求</w:t>
            </w:r>
          </w:p>
        </w:tc>
      </w:tr>
      <w:tr w14:paraId="6B60DD32">
        <w:tblPrEx>
          <w:shd w:val="clear" w:color="auto" w:fill="FFFFFF"/>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F7242">
            <w:pPr>
              <w:keepNext w:val="0"/>
              <w:keepLines w:val="0"/>
              <w:pageBreakBefore w:val="0"/>
              <w:kinsoku/>
              <w:wordWrap/>
              <w:overflowPunct/>
              <w:topLinePunct w:val="0"/>
              <w:autoSpaceDE/>
              <w:autoSpaceDN/>
              <w:bidi w:val="0"/>
              <w:adjustRightInd/>
              <w:snapToGrid w:val="0"/>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E8F5BC">
            <w:pPr>
              <w:keepNext w:val="0"/>
              <w:keepLines w:val="0"/>
              <w:pageBreakBefore w:val="0"/>
              <w:kinsoku/>
              <w:wordWrap/>
              <w:overflowPunct/>
              <w:topLinePunct w:val="0"/>
              <w:autoSpaceDE/>
              <w:autoSpaceDN/>
              <w:bidi w:val="0"/>
              <w:adjustRightInd/>
              <w:snapToGrid w:val="0"/>
              <w:spacing w:line="360" w:lineRule="auto"/>
              <w:outlineLvl w:val="1"/>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 项目名称：详见磋商公告</w:t>
            </w:r>
          </w:p>
          <w:p w14:paraId="1B2F9A8F">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1.2采购人名称：详见磋商公告</w:t>
            </w:r>
          </w:p>
          <w:p w14:paraId="4DE3C6C4">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1.3项目编号：详见磋商公告</w:t>
            </w:r>
          </w:p>
        </w:tc>
      </w:tr>
      <w:tr w14:paraId="4361E58C">
        <w:tblPrEx>
          <w:shd w:val="clear" w:color="auto" w:fill="FFFFFF"/>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670D5E">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66EF28">
            <w:pPr>
              <w:keepNext w:val="0"/>
              <w:keepLines w:val="0"/>
              <w:pageBreakBefore w:val="0"/>
              <w:widowControl/>
              <w:kinsoku/>
              <w:wordWrap/>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合格供应商</w:t>
            </w:r>
            <w:r>
              <w:rPr>
                <w:rFonts w:hint="eastAsia" w:ascii="宋体" w:hAnsi="宋体" w:eastAsia="宋体" w:cs="宋体"/>
                <w:color w:val="auto"/>
                <w:kern w:val="0"/>
                <w:sz w:val="21"/>
                <w:szCs w:val="21"/>
                <w:highlight w:val="none"/>
              </w:rPr>
              <w:t>：具备竞争性磋商公告第二项规定的条件。</w:t>
            </w:r>
          </w:p>
        </w:tc>
      </w:tr>
      <w:tr w14:paraId="4C26A026">
        <w:tblPrEx>
          <w:shd w:val="clear" w:color="auto" w:fill="FFFFFF"/>
          <w:tblCellMar>
            <w:top w:w="0" w:type="dxa"/>
            <w:left w:w="0" w:type="dxa"/>
            <w:bottom w:w="0" w:type="dxa"/>
            <w:right w:w="0" w:type="dxa"/>
          </w:tblCellMar>
        </w:tblPrEx>
        <w:trPr>
          <w:trHeight w:val="84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E92E96">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B430827">
            <w:pPr>
              <w:keepNext w:val="0"/>
              <w:keepLines w:val="0"/>
              <w:pageBreakBefore w:val="0"/>
              <w:widowControl/>
              <w:kinsoku/>
              <w:wordWrap/>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磋商报价及费用</w:t>
            </w:r>
            <w:r>
              <w:rPr>
                <w:rFonts w:hint="eastAsia" w:ascii="宋体" w:hAnsi="宋体" w:eastAsia="宋体" w:cs="宋体"/>
                <w:color w:val="auto"/>
                <w:kern w:val="0"/>
                <w:sz w:val="21"/>
                <w:szCs w:val="21"/>
                <w:highlight w:val="none"/>
              </w:rPr>
              <w:t>：</w:t>
            </w:r>
          </w:p>
          <w:p w14:paraId="25A3C579">
            <w:pPr>
              <w:keepNext w:val="0"/>
              <w:keepLines w:val="0"/>
              <w:pageBreakBefore w:val="0"/>
              <w:widowControl/>
              <w:kinsoku/>
              <w:wordWrap/>
              <w:overflowPunct/>
              <w:topLinePunct w:val="0"/>
              <w:autoSpaceDE/>
              <w:autoSpaceDN/>
              <w:bidi w:val="0"/>
              <w:adjustRightInd/>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 xml:space="preserve"> 本次磋商应以人民币报价，最多保留两位小数。</w:t>
            </w:r>
          </w:p>
          <w:p w14:paraId="43261EDF">
            <w:pPr>
              <w:keepNext w:val="0"/>
              <w:keepLines w:val="0"/>
              <w:pageBreakBefore w:val="0"/>
              <w:widowControl/>
              <w:kinsoku/>
              <w:wordWrap/>
              <w:overflowPunct/>
              <w:topLinePunct w:val="0"/>
              <w:autoSpaceDE/>
              <w:autoSpaceDN/>
              <w:bidi w:val="0"/>
              <w:adjustRightInd/>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3.2供应商的最后一轮报价均高于采购预算或最高限价的，采购人不能支付的，本项目磋商废止。</w:t>
            </w:r>
          </w:p>
          <w:p w14:paraId="36F5353C">
            <w:pPr>
              <w:keepNext w:val="0"/>
              <w:keepLines w:val="0"/>
              <w:pageBreakBefore w:val="0"/>
              <w:widowControl/>
              <w:kinsoku/>
              <w:wordWrap/>
              <w:overflowPunct/>
              <w:topLinePunct w:val="0"/>
              <w:autoSpaceDE/>
              <w:autoSpaceDN/>
              <w:bidi w:val="0"/>
              <w:adjustRightInd/>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 采购人按照驻马店政府采购电子商城合同支付代理服务费</w:t>
            </w:r>
            <w:r>
              <w:rPr>
                <w:rFonts w:hint="eastAsia" w:ascii="宋体" w:hAnsi="宋体" w:cs="宋体"/>
                <w:color w:val="auto"/>
                <w:sz w:val="21"/>
                <w:szCs w:val="21"/>
                <w:highlight w:val="none"/>
                <w:lang w:val="en-US" w:eastAsia="zh-CN"/>
              </w:rPr>
              <w:t>1219</w:t>
            </w:r>
            <w:r>
              <w:rPr>
                <w:rFonts w:hint="eastAsia" w:ascii="宋体" w:hAnsi="宋体" w:eastAsia="宋体" w:cs="宋体"/>
                <w:color w:val="auto"/>
                <w:sz w:val="21"/>
                <w:szCs w:val="21"/>
                <w:highlight w:val="none"/>
                <w:lang w:val="en-US" w:eastAsia="zh-CN"/>
              </w:rPr>
              <w:t>元。</w:t>
            </w:r>
          </w:p>
          <w:p w14:paraId="48FF37E8">
            <w:pPr>
              <w:keepNext w:val="0"/>
              <w:keepLines w:val="0"/>
              <w:pageBreakBefore w:val="0"/>
              <w:widowControl/>
              <w:kinsoku/>
              <w:wordWrap/>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3.4 本项目其它相关费用均由响应人自行承担</w:t>
            </w:r>
            <w:r>
              <w:rPr>
                <w:rFonts w:hint="eastAsia" w:ascii="宋体" w:hAnsi="宋体" w:eastAsia="宋体" w:cs="宋体"/>
                <w:color w:val="auto"/>
                <w:sz w:val="21"/>
                <w:szCs w:val="21"/>
                <w:highlight w:val="none"/>
              </w:rPr>
              <w:t>。</w:t>
            </w:r>
          </w:p>
        </w:tc>
      </w:tr>
      <w:tr w14:paraId="76FDE436">
        <w:tblPrEx>
          <w:shd w:val="clear" w:color="auto" w:fill="FFFFFF"/>
          <w:tblCellMar>
            <w:top w:w="0" w:type="dxa"/>
            <w:left w:w="0" w:type="dxa"/>
            <w:bottom w:w="0" w:type="dxa"/>
            <w:right w:w="0" w:type="dxa"/>
          </w:tblCellMar>
        </w:tblPrEx>
        <w:trPr>
          <w:trHeight w:val="586"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94D7D8">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C4AB4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现场踏勘或标前答疑</w:t>
            </w:r>
            <w:r>
              <w:rPr>
                <w:rFonts w:hint="eastAsia" w:ascii="宋体" w:hAnsi="宋体" w:eastAsia="宋体" w:cs="宋体"/>
                <w:color w:val="auto"/>
                <w:kern w:val="0"/>
                <w:sz w:val="21"/>
                <w:szCs w:val="21"/>
                <w:highlight w:val="none"/>
              </w:rPr>
              <w:t>：无</w:t>
            </w:r>
          </w:p>
        </w:tc>
      </w:tr>
      <w:tr w14:paraId="5BE5D438">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BAF45F">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A265C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响应文件组成</w:t>
            </w:r>
            <w:r>
              <w:rPr>
                <w:rFonts w:hint="eastAsia" w:ascii="宋体" w:hAnsi="宋体" w:eastAsia="宋体" w:cs="宋体"/>
                <w:color w:val="auto"/>
                <w:kern w:val="0"/>
                <w:sz w:val="21"/>
                <w:szCs w:val="21"/>
                <w:highlight w:val="none"/>
              </w:rPr>
              <w:t>：响应性文件组成：加密电子响应性文件（ *.ZMDTF 格式）</w:t>
            </w:r>
            <w:r>
              <w:rPr>
                <w:rFonts w:hint="eastAsia" w:ascii="宋体" w:hAnsi="宋体" w:eastAsia="宋体" w:cs="宋体"/>
                <w:color w:val="auto"/>
                <w:kern w:val="0"/>
                <w:sz w:val="21"/>
                <w:szCs w:val="21"/>
                <w:highlight w:val="none"/>
                <w:lang w:val="en-US" w:eastAsia="zh-CN"/>
              </w:rPr>
              <w:t>1份</w:t>
            </w:r>
            <w:r>
              <w:rPr>
                <w:rFonts w:hint="eastAsia" w:ascii="宋体" w:hAnsi="宋体" w:eastAsia="宋体" w:cs="宋体"/>
                <w:color w:val="auto"/>
                <w:kern w:val="0"/>
                <w:sz w:val="21"/>
                <w:szCs w:val="21"/>
                <w:highlight w:val="none"/>
              </w:rPr>
              <w:t>。</w:t>
            </w:r>
          </w:p>
          <w:p w14:paraId="54EE8991">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纸质响应文件：成交供应商在领取成交通知书时提供与上传电子响应文件一致的纸质响应文件</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份</w:t>
            </w:r>
            <w:r>
              <w:rPr>
                <w:rFonts w:hint="eastAsia" w:ascii="宋体" w:hAnsi="宋体" w:eastAsia="宋体" w:cs="宋体"/>
                <w:color w:val="auto"/>
                <w:kern w:val="0"/>
                <w:sz w:val="21"/>
                <w:szCs w:val="21"/>
                <w:highlight w:val="none"/>
                <w:lang w:eastAsia="zh-CN"/>
              </w:rPr>
              <w:t>。</w:t>
            </w:r>
          </w:p>
        </w:tc>
      </w:tr>
      <w:tr w14:paraId="26F90078">
        <w:tblPrEx>
          <w:shd w:val="clear" w:color="auto" w:fill="FFFFFF"/>
          <w:tblCellMar>
            <w:top w:w="0" w:type="dxa"/>
            <w:left w:w="0" w:type="dxa"/>
            <w:bottom w:w="0" w:type="dxa"/>
            <w:right w:w="0" w:type="dxa"/>
          </w:tblCellMar>
        </w:tblPrEx>
        <w:trPr>
          <w:trHeight w:val="5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0981B6">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B6D3E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递交响应文件截止时间及地点</w:t>
            </w:r>
            <w:r>
              <w:rPr>
                <w:rFonts w:hint="eastAsia" w:ascii="宋体" w:hAnsi="宋体" w:eastAsia="宋体" w:cs="宋体"/>
                <w:color w:val="auto"/>
                <w:kern w:val="0"/>
                <w:sz w:val="21"/>
                <w:szCs w:val="21"/>
                <w:highlight w:val="none"/>
              </w:rPr>
              <w:t>：详见竞争性磋商公告。</w:t>
            </w:r>
          </w:p>
        </w:tc>
      </w:tr>
      <w:tr w14:paraId="5598629F">
        <w:tblPrEx>
          <w:shd w:val="clear" w:color="auto" w:fill="FFFFFF"/>
          <w:tblCellMar>
            <w:top w:w="0" w:type="dxa"/>
            <w:left w:w="0" w:type="dxa"/>
            <w:bottom w:w="0" w:type="dxa"/>
            <w:right w:w="0" w:type="dxa"/>
          </w:tblCellMar>
        </w:tblPrEx>
        <w:trPr>
          <w:trHeight w:val="5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5A7C95">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86465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磋商时间及地点</w:t>
            </w:r>
            <w:r>
              <w:rPr>
                <w:rFonts w:hint="eastAsia" w:ascii="宋体" w:hAnsi="宋体" w:eastAsia="宋体" w:cs="宋体"/>
                <w:color w:val="auto"/>
                <w:kern w:val="0"/>
                <w:sz w:val="21"/>
                <w:szCs w:val="21"/>
                <w:highlight w:val="none"/>
              </w:rPr>
              <w:t>：详见竞争性磋商公告。</w:t>
            </w:r>
          </w:p>
        </w:tc>
      </w:tr>
      <w:tr w14:paraId="1786805E">
        <w:tblPrEx>
          <w:shd w:val="clear" w:color="auto" w:fill="FFFFFF"/>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610858">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10D51A">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评定办法</w:t>
            </w:r>
            <w:r>
              <w:rPr>
                <w:rFonts w:hint="eastAsia" w:ascii="宋体" w:hAnsi="宋体" w:eastAsia="宋体" w:cs="宋体"/>
                <w:color w:val="auto"/>
                <w:kern w:val="0"/>
                <w:sz w:val="21"/>
                <w:szCs w:val="21"/>
                <w:highlight w:val="none"/>
              </w:rPr>
              <w:t>：经磋商确定最终采购需求和提交最后报价的供应商后，由磋商小组采用综合评分法对提交最后报价的供应商的响应文件和最后报价进行综合评分。</w:t>
            </w:r>
          </w:p>
          <w:p w14:paraId="064DCD8F">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综合评分法，是指响应文件满足磋商文件全部实质性要求，且按评审因素的量化指标评审得分最高的供应商为成交候选供应商的评审办法。</w:t>
            </w:r>
          </w:p>
        </w:tc>
      </w:tr>
      <w:tr w14:paraId="4689954A">
        <w:tblPrEx>
          <w:shd w:val="clear" w:color="auto" w:fill="FFFFFF"/>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F1A0BD">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14F6C0">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成交公告及成交通知书</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评审委员会根据全体评审成员签字的原始评审记录和评审结果编写评审报告并推荐成交候选人，由采购人确定成交供应商。确定成交供应商后，采购代理机构及时在河南省政府采购网、驻马店市公共资源交易中心网上发布成交结果公告</w:t>
            </w:r>
            <w:r>
              <w:rPr>
                <w:rFonts w:hint="eastAsia" w:ascii="宋体" w:hAnsi="宋体" w:eastAsia="宋体" w:cs="宋体"/>
                <w:color w:val="auto"/>
                <w:kern w:val="0"/>
                <w:sz w:val="21"/>
                <w:szCs w:val="21"/>
                <w:highlight w:val="none"/>
              </w:rPr>
              <w:t>，同时向成交供应商发出成交通知书</w:t>
            </w:r>
            <w:r>
              <w:rPr>
                <w:rFonts w:hint="eastAsia" w:ascii="宋体" w:hAnsi="宋体" w:cs="宋体"/>
                <w:b w:val="0"/>
                <w:bCs w:val="0"/>
                <w:color w:val="auto"/>
                <w:sz w:val="21"/>
                <w:szCs w:val="21"/>
                <w:highlight w:val="none"/>
                <w:lang w:val="en-US" w:eastAsia="zh-CN"/>
              </w:rPr>
              <w:t>。</w:t>
            </w:r>
          </w:p>
        </w:tc>
      </w:tr>
      <w:tr w14:paraId="43F3B0BB">
        <w:tblPrEx>
          <w:shd w:val="clear" w:color="auto" w:fill="FFFFFF"/>
          <w:tblCellMar>
            <w:top w:w="0" w:type="dxa"/>
            <w:left w:w="0" w:type="dxa"/>
            <w:bottom w:w="0" w:type="dxa"/>
            <w:right w:w="0" w:type="dxa"/>
          </w:tblCellMar>
        </w:tblPrEx>
        <w:trPr>
          <w:trHeight w:val="567"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91720F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145A6158">
            <w:pPr>
              <w:keepNext w:val="0"/>
              <w:keepLines w:val="0"/>
              <w:pageBreakBefore w:val="0"/>
              <w:widowControl/>
              <w:kinsoku/>
              <w:wordWrap/>
              <w:overflowPunct/>
              <w:topLinePunct w:val="0"/>
              <w:autoSpaceDE/>
              <w:autoSpaceDN/>
              <w:bidi w:val="0"/>
              <w:adjustRightInd/>
              <w:snapToGrid w:val="0"/>
              <w:spacing w:line="24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磋商保证金交纳与退还</w:t>
            </w:r>
            <w:r>
              <w:rPr>
                <w:rFonts w:hint="eastAsia" w:ascii="宋体" w:hAnsi="宋体" w:eastAsia="宋体" w:cs="宋体"/>
                <w:color w:val="auto"/>
                <w:kern w:val="0"/>
                <w:sz w:val="21"/>
                <w:szCs w:val="21"/>
                <w:highlight w:val="none"/>
              </w:rPr>
              <w:t>：本项目不收取磋商保证金。</w:t>
            </w:r>
          </w:p>
        </w:tc>
      </w:tr>
      <w:tr w14:paraId="2829B640">
        <w:tblPrEx>
          <w:shd w:val="clear" w:color="auto" w:fill="FFFFFF"/>
          <w:tblCellMar>
            <w:top w:w="0" w:type="dxa"/>
            <w:left w:w="0" w:type="dxa"/>
            <w:bottom w:w="0" w:type="dxa"/>
            <w:right w:w="0"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6E34BB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83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E33AF91">
            <w:pPr>
              <w:keepNext w:val="0"/>
              <w:keepLines w:val="0"/>
              <w:pageBreakBefore w:val="0"/>
              <w:widowControl/>
              <w:kinsoku/>
              <w:wordWrap/>
              <w:overflowPunct/>
              <w:topLinePunct w:val="0"/>
              <w:autoSpaceDE/>
              <w:autoSpaceDN/>
              <w:bidi w:val="0"/>
              <w:adjustRightInd/>
              <w:snapToGrid w:val="0"/>
              <w:spacing w:line="24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签订合同</w:t>
            </w:r>
            <w:r>
              <w:rPr>
                <w:rFonts w:hint="eastAsia" w:ascii="宋体" w:hAnsi="宋体" w:eastAsia="宋体" w:cs="宋体"/>
                <w:color w:val="auto"/>
                <w:kern w:val="0"/>
                <w:sz w:val="21"/>
                <w:szCs w:val="21"/>
                <w:highlight w:val="none"/>
              </w:rPr>
              <w:t>：详见第二章采购需求，</w:t>
            </w:r>
            <w:r>
              <w:rPr>
                <w:rFonts w:hint="eastAsia" w:ascii="宋体" w:hAnsi="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、商务要求。</w:t>
            </w:r>
          </w:p>
        </w:tc>
      </w:tr>
      <w:tr w14:paraId="1D0701D8">
        <w:tblPrEx>
          <w:shd w:val="clear" w:color="auto" w:fill="FFFFFF"/>
          <w:tblCellMar>
            <w:top w:w="0" w:type="dxa"/>
            <w:left w:w="0" w:type="dxa"/>
            <w:bottom w:w="0" w:type="dxa"/>
            <w:right w:w="0" w:type="dxa"/>
          </w:tblCellMar>
        </w:tblPrEx>
        <w:trPr>
          <w:trHeight w:val="567"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65F2D01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BDF0E27">
            <w:pPr>
              <w:keepNext w:val="0"/>
              <w:keepLines w:val="0"/>
              <w:pageBreakBefore w:val="0"/>
              <w:widowControl/>
              <w:kinsoku/>
              <w:wordWrap/>
              <w:overflowPunct/>
              <w:topLinePunct w:val="0"/>
              <w:autoSpaceDE/>
              <w:autoSpaceDN/>
              <w:bidi w:val="0"/>
              <w:adjustRightInd/>
              <w:snapToGrid w:val="0"/>
              <w:spacing w:line="24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履约保证金的收取及退还</w:t>
            </w:r>
            <w:r>
              <w:rPr>
                <w:rFonts w:hint="eastAsia" w:ascii="宋体" w:hAnsi="宋体" w:eastAsia="宋体" w:cs="宋体"/>
                <w:color w:val="auto"/>
                <w:kern w:val="0"/>
                <w:sz w:val="21"/>
                <w:szCs w:val="21"/>
                <w:highlight w:val="none"/>
              </w:rPr>
              <w:t>: 本项目不收取履约保证金。</w:t>
            </w:r>
          </w:p>
        </w:tc>
      </w:tr>
      <w:tr w14:paraId="5E97995D">
        <w:tblPrEx>
          <w:shd w:val="clear" w:color="auto" w:fill="FFFFFF"/>
          <w:tblCellMar>
            <w:top w:w="0" w:type="dxa"/>
            <w:left w:w="0" w:type="dxa"/>
            <w:bottom w:w="0" w:type="dxa"/>
            <w:right w:w="0"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10FBE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83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D8FAFB0">
            <w:pPr>
              <w:keepNext w:val="0"/>
              <w:keepLines w:val="0"/>
              <w:pageBreakBefore w:val="0"/>
              <w:widowControl/>
              <w:kinsoku/>
              <w:wordWrap/>
              <w:overflowPunct/>
              <w:topLinePunct w:val="0"/>
              <w:autoSpaceDE/>
              <w:autoSpaceDN/>
              <w:bidi w:val="0"/>
              <w:adjustRightInd/>
              <w:snapToGrid w:val="0"/>
              <w:spacing w:line="24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采购资金来源</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自筹</w:t>
            </w:r>
            <w:r>
              <w:rPr>
                <w:rFonts w:hint="eastAsia" w:ascii="宋体" w:hAnsi="宋体" w:eastAsia="宋体" w:cs="宋体"/>
                <w:color w:val="auto"/>
                <w:kern w:val="0"/>
                <w:sz w:val="21"/>
                <w:szCs w:val="21"/>
                <w:highlight w:val="none"/>
              </w:rPr>
              <w:t>资金</w:t>
            </w:r>
            <w:r>
              <w:rPr>
                <w:rFonts w:hint="eastAsia" w:ascii="宋体" w:hAnsi="宋体" w:eastAsia="宋体" w:cs="宋体"/>
                <w:color w:val="auto"/>
                <w:kern w:val="0"/>
                <w:sz w:val="21"/>
                <w:szCs w:val="21"/>
                <w:highlight w:val="none"/>
                <w:lang w:val="en-US" w:eastAsia="zh-CN"/>
              </w:rPr>
              <w:t>和财政资金</w:t>
            </w:r>
            <w:r>
              <w:rPr>
                <w:rFonts w:hint="eastAsia" w:ascii="宋体" w:hAnsi="宋体" w:eastAsia="宋体" w:cs="宋体"/>
                <w:color w:val="auto"/>
                <w:kern w:val="0"/>
                <w:sz w:val="21"/>
                <w:szCs w:val="21"/>
                <w:highlight w:val="none"/>
              </w:rPr>
              <w:t>。</w:t>
            </w:r>
          </w:p>
        </w:tc>
      </w:tr>
      <w:tr w14:paraId="27F350A2">
        <w:tblPrEx>
          <w:shd w:val="clear" w:color="auto" w:fill="FFFFFF"/>
          <w:tblCellMar>
            <w:top w:w="0" w:type="dxa"/>
            <w:left w:w="0" w:type="dxa"/>
            <w:bottom w:w="0" w:type="dxa"/>
            <w:right w:w="0"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7A9E69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83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A47A321">
            <w:pPr>
              <w:keepNext w:val="0"/>
              <w:keepLines w:val="0"/>
              <w:pageBreakBefore w:val="0"/>
              <w:widowControl/>
              <w:kinsoku/>
              <w:wordWrap/>
              <w:overflowPunct/>
              <w:topLinePunct w:val="0"/>
              <w:autoSpaceDE/>
              <w:autoSpaceDN/>
              <w:bidi w:val="0"/>
              <w:adjustRightInd/>
              <w:snapToGrid w:val="0"/>
              <w:spacing w:line="24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付款方式</w:t>
            </w:r>
            <w:r>
              <w:rPr>
                <w:rFonts w:hint="eastAsia" w:ascii="宋体" w:hAnsi="宋体" w:eastAsia="宋体" w:cs="宋体"/>
                <w:color w:val="auto"/>
                <w:kern w:val="0"/>
                <w:sz w:val="21"/>
                <w:szCs w:val="21"/>
                <w:highlight w:val="none"/>
              </w:rPr>
              <w:t>：详见第二章采购需求，</w:t>
            </w:r>
            <w:r>
              <w:rPr>
                <w:rFonts w:hint="eastAsia" w:ascii="宋体" w:hAnsi="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、商务要求。</w:t>
            </w:r>
          </w:p>
        </w:tc>
      </w:tr>
      <w:tr w14:paraId="7D1E5814">
        <w:tblPrEx>
          <w:shd w:val="clear" w:color="auto" w:fill="FFFFFF"/>
          <w:tblCellMar>
            <w:top w:w="0" w:type="dxa"/>
            <w:left w:w="0" w:type="dxa"/>
            <w:bottom w:w="0" w:type="dxa"/>
            <w:right w:w="0" w:type="dxa"/>
          </w:tblCellMar>
        </w:tblPrEx>
        <w:trPr>
          <w:trHeight w:val="567"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34F259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3F025D24">
            <w:pPr>
              <w:keepNext w:val="0"/>
              <w:keepLines w:val="0"/>
              <w:pageBreakBefore w:val="0"/>
              <w:kinsoku/>
              <w:wordWrap/>
              <w:overflowPunct/>
              <w:topLinePunct w:val="0"/>
              <w:autoSpaceDE/>
              <w:autoSpaceDN/>
              <w:bidi w:val="0"/>
              <w:adjustRightInd/>
              <w:snapToGrid w:val="0"/>
              <w:spacing w:line="24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成交供应商可以以政府采购合同为担保向金融机构进行贷款融资。</w:t>
            </w:r>
          </w:p>
        </w:tc>
      </w:tr>
      <w:tr w14:paraId="047226DE">
        <w:tblPrEx>
          <w:shd w:val="clear" w:color="auto" w:fill="FFFFFF"/>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4B1124E">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455C997C">
            <w:pPr>
              <w:keepNext w:val="0"/>
              <w:keepLines w:val="0"/>
              <w:pageBreakBefore w:val="0"/>
              <w:kinsoku/>
              <w:wordWrap/>
              <w:overflowPunct/>
              <w:topLinePunct w:val="0"/>
              <w:autoSpaceDE/>
              <w:autoSpaceDN/>
              <w:bidi w:val="0"/>
              <w:adjustRightInd/>
              <w:snapToGrid w:val="0"/>
              <w:spacing w:line="36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响应文件有效期</w:t>
            </w:r>
            <w:r>
              <w:rPr>
                <w:rFonts w:hint="eastAsia" w:ascii="宋体" w:hAnsi="宋体" w:eastAsia="宋体" w:cs="宋体"/>
                <w:color w:val="auto"/>
                <w:kern w:val="0"/>
                <w:sz w:val="21"/>
                <w:szCs w:val="21"/>
                <w:highlight w:val="none"/>
              </w:rPr>
              <w:t>：递交响应文件截止</w:t>
            </w:r>
            <w:r>
              <w:rPr>
                <w:rFonts w:hint="eastAsia" w:ascii="宋体" w:hAnsi="宋体" w:eastAsia="宋体" w:cs="宋体"/>
                <w:color w:val="auto"/>
                <w:kern w:val="0"/>
                <w:sz w:val="21"/>
                <w:szCs w:val="21"/>
                <w:highlight w:val="none"/>
                <w:lang w:eastAsia="zh-CN"/>
              </w:rPr>
              <w:t>之日起</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lang w:eastAsia="zh-CN"/>
              </w:rPr>
              <w:t>日历天</w:t>
            </w:r>
            <w:r>
              <w:rPr>
                <w:rFonts w:hint="eastAsia" w:ascii="宋体" w:hAnsi="宋体" w:eastAsia="宋体" w:cs="宋体"/>
                <w:color w:val="auto"/>
                <w:kern w:val="0"/>
                <w:sz w:val="21"/>
                <w:szCs w:val="21"/>
                <w:highlight w:val="none"/>
              </w:rPr>
              <w:t>。成交供应商的响应文件是合同的组成部分,有效期至合同完全履行止。</w:t>
            </w:r>
          </w:p>
        </w:tc>
      </w:tr>
      <w:tr w14:paraId="05E6F6C6">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0AD28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5A565E">
            <w:pPr>
              <w:keepNext w:val="0"/>
              <w:keepLines w:val="0"/>
              <w:pageBreakBefore w:val="0"/>
              <w:kinsoku/>
              <w:wordWrap/>
              <w:overflowPunct/>
              <w:topLinePunct w:val="0"/>
              <w:autoSpaceDE/>
              <w:autoSpaceDN/>
              <w:bidi w:val="0"/>
              <w:adjustRightInd/>
              <w:snapToGrid w:val="0"/>
              <w:spacing w:line="36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开启时间）。在本公告规定的查询时间之后，网站信息发生的任何变更均不再作为评标依据。供应商自行提供的与网站信息不一致的其他证明材料亦不作为资格审查的依据。</w:t>
            </w:r>
          </w:p>
        </w:tc>
      </w:tr>
      <w:tr w14:paraId="7A469F09">
        <w:tblPrEx>
          <w:shd w:val="clear" w:color="auto" w:fill="FFFFFF"/>
          <w:tblCellMar>
            <w:top w:w="0" w:type="dxa"/>
            <w:left w:w="0" w:type="dxa"/>
            <w:bottom w:w="0" w:type="dxa"/>
            <w:right w:w="0" w:type="dxa"/>
          </w:tblCellMar>
        </w:tblPrEx>
        <w:trPr>
          <w:trHeight w:val="478"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67D3E1">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2ED1A5">
            <w:pPr>
              <w:keepNext w:val="0"/>
              <w:keepLines w:val="0"/>
              <w:pageBreakBefore w:val="0"/>
              <w:kinsoku/>
              <w:wordWrap/>
              <w:overflowPunct/>
              <w:topLinePunct w:val="0"/>
              <w:autoSpaceDE/>
              <w:autoSpaceDN/>
              <w:bidi w:val="0"/>
              <w:adjustRightInd/>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质疑和投诉</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详见第三章供应商须知第10条</w:t>
            </w:r>
            <w:r>
              <w:rPr>
                <w:rFonts w:hint="eastAsia" w:ascii="宋体" w:hAnsi="宋体" w:eastAsia="宋体" w:cs="宋体"/>
                <w:color w:val="auto"/>
                <w:kern w:val="0"/>
                <w:sz w:val="21"/>
                <w:szCs w:val="21"/>
                <w:highlight w:val="none"/>
              </w:rPr>
              <w:t>。</w:t>
            </w:r>
          </w:p>
        </w:tc>
      </w:tr>
      <w:tr w14:paraId="1C28014E">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D2AF04">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FF88FE">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本项目使用远程不见面交易的模式。供应商应于提交响应文件截止时间前将加密电子响应文件(.zmdtf格式)在驻马店市公共资源交易中心电子交易平台加密上传，逾期上传其响应将被拒绝。</w:t>
            </w:r>
          </w:p>
        </w:tc>
      </w:tr>
      <w:tr w14:paraId="25AD5E8C">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F3D204">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E995F2">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供应商注册:</w:t>
            </w:r>
          </w:p>
          <w:p w14:paraId="10F10997">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kern w:val="0"/>
                <w:sz w:val="21"/>
                <w:szCs w:val="21"/>
                <w:highlight w:val="none"/>
              </w:rPr>
              <w:t>供应商首先通过“驻马店市公共资源交易中心（</w:t>
            </w:r>
            <w:r>
              <w:rPr>
                <w:rFonts w:hint="eastAsia" w:ascii="宋体" w:hAnsi="宋体" w:eastAsia="宋体" w:cs="宋体"/>
                <w:color w:val="auto"/>
                <w:kern w:val="0"/>
                <w:sz w:val="21"/>
                <w:szCs w:val="21"/>
                <w:highlight w:val="none"/>
                <w:lang w:val="en-US" w:eastAsia="zh-CN"/>
              </w:rPr>
              <w:t>https://ggzy.zhumadian.gov.cn/</w:t>
            </w:r>
            <w:r>
              <w:rPr>
                <w:rFonts w:hint="eastAsia" w:ascii="宋体" w:hAnsi="宋体" w:eastAsia="宋体" w:cs="宋体"/>
                <w:bCs/>
                <w:color w:val="auto"/>
                <w:kern w:val="0"/>
                <w:sz w:val="21"/>
                <w:szCs w:val="21"/>
                <w:highlight w:val="none"/>
              </w:rPr>
              <w:t>tpfront）”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w:t>
            </w:r>
            <w:r>
              <w:rPr>
                <w:rFonts w:hint="eastAsia" w:ascii="宋体" w:hAnsi="宋体" w:eastAsia="宋体" w:cs="宋体"/>
                <w:color w:val="auto"/>
                <w:sz w:val="21"/>
                <w:szCs w:val="21"/>
                <w:highlight w:val="none"/>
              </w:rPr>
              <w:t>完成注册。</w:t>
            </w:r>
          </w:p>
        </w:tc>
      </w:tr>
      <w:tr w14:paraId="276A8B88">
        <w:tblPrEx>
          <w:shd w:val="clear" w:color="auto" w:fill="FFFFFF"/>
          <w:tblCellMar>
            <w:top w:w="0" w:type="dxa"/>
            <w:left w:w="0" w:type="dxa"/>
            <w:bottom w:w="0" w:type="dxa"/>
            <w:right w:w="0" w:type="dxa"/>
          </w:tblCellMar>
        </w:tblPrEx>
        <w:trPr>
          <w:trHeight w:val="406"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B40EC6">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88360F">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磋商文件下载:</w:t>
            </w:r>
            <w:r>
              <w:rPr>
                <w:rFonts w:hint="eastAsia" w:ascii="宋体" w:hAnsi="宋体" w:eastAsia="宋体" w:cs="宋体"/>
                <w:color w:val="auto"/>
                <w:sz w:val="21"/>
                <w:szCs w:val="21"/>
                <w:highlight w:val="none"/>
              </w:rPr>
              <w:t xml:space="preserve"> </w:t>
            </w:r>
          </w:p>
          <w:p w14:paraId="4589682F">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凡有意参加磋商者，登录“驻马店市公共资源交易中心（</w:t>
            </w:r>
            <w:r>
              <w:rPr>
                <w:rFonts w:hint="eastAsia" w:ascii="宋体" w:hAnsi="宋体" w:cs="宋体"/>
                <w:bCs/>
                <w:color w:val="auto"/>
                <w:kern w:val="0"/>
                <w:sz w:val="21"/>
                <w:szCs w:val="21"/>
                <w:highlight w:val="none"/>
                <w:lang w:eastAsia="zh-CN"/>
              </w:rPr>
              <w:t>https://ggzy.zhumadian.gov.cn/</w:t>
            </w:r>
            <w:r>
              <w:rPr>
                <w:rFonts w:hint="eastAsia" w:ascii="宋体" w:hAnsi="宋体" w:eastAsia="宋体" w:cs="宋体"/>
                <w:bCs/>
                <w:color w:val="auto"/>
                <w:kern w:val="0"/>
                <w:sz w:val="21"/>
                <w:szCs w:val="21"/>
                <w:highlight w:val="none"/>
              </w:rPr>
              <w:t>）”网站，凭领取的企业身份认证锁（CA密钥）登录系统进行网上免费下载磋商文件。供应商未按规定在网上下载磋商文件的，其磋商将被拒绝。</w:t>
            </w:r>
          </w:p>
        </w:tc>
      </w:tr>
      <w:tr w14:paraId="5613800B">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F4AE55">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C7FA9E">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磋商文件制作:</w:t>
            </w:r>
            <w:r>
              <w:rPr>
                <w:rFonts w:hint="eastAsia" w:ascii="宋体" w:hAnsi="宋体" w:eastAsia="宋体" w:cs="宋体"/>
                <w:color w:val="auto"/>
                <w:sz w:val="21"/>
                <w:szCs w:val="21"/>
                <w:highlight w:val="none"/>
              </w:rPr>
              <w:t xml:space="preserve"> </w:t>
            </w:r>
          </w:p>
          <w:p w14:paraId="721377FC">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1、供应商通过“驻马店市公共资源交易中心（</w:t>
            </w:r>
            <w:r>
              <w:rPr>
                <w:rFonts w:hint="eastAsia" w:ascii="宋体" w:hAnsi="宋体" w:eastAsia="宋体" w:cs="宋体"/>
                <w:bCs/>
                <w:color w:val="auto"/>
                <w:kern w:val="0"/>
                <w:sz w:val="21"/>
                <w:szCs w:val="21"/>
                <w:highlight w:val="none"/>
                <w:lang w:val="en-US" w:eastAsia="zh-CN"/>
              </w:rPr>
              <w:t>https://ggzy.zhumadian.gov.cn</w:t>
            </w:r>
            <w:r>
              <w:rPr>
                <w:rFonts w:hint="eastAsia" w:ascii="宋体" w:hAnsi="宋体" w:eastAsia="宋体" w:cs="宋体"/>
                <w:bCs/>
                <w:color w:val="auto"/>
                <w:kern w:val="0"/>
                <w:sz w:val="21"/>
                <w:szCs w:val="21"/>
                <w:highlight w:val="none"/>
              </w:rPr>
              <w:t>/tpfront）”网站下载中心（政府采购类）：下载“新点投标文件制作软件（驻马店）”。</w:t>
            </w:r>
          </w:p>
          <w:p w14:paraId="5974C1C2">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2、供应商凭 CA 密钥登陆交易系统下载磋商文件(.zmdzf 格 式)。</w:t>
            </w:r>
          </w:p>
          <w:p w14:paraId="0B3D80F5">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3、供应商须在提交响应文件截止时间前制作并提交：加密的电子响应文件（.zmdtf 格式）,应在提交响应文件截止时间前通过“驻马店市公共资源交易中心（</w:t>
            </w:r>
            <w:r>
              <w:rPr>
                <w:rFonts w:hint="eastAsia" w:ascii="宋体" w:hAnsi="宋体" w:eastAsia="宋体" w:cs="宋体"/>
                <w:color w:val="auto"/>
                <w:kern w:val="0"/>
                <w:sz w:val="21"/>
                <w:szCs w:val="21"/>
                <w:highlight w:val="none"/>
                <w:lang w:val="en-US" w:eastAsia="zh-CN"/>
              </w:rPr>
              <w:t>https://ggzy.zhumadian.gov.cn/</w:t>
            </w:r>
            <w:r>
              <w:rPr>
                <w:rFonts w:hint="eastAsia" w:ascii="宋体" w:hAnsi="宋体" w:eastAsia="宋体" w:cs="宋体"/>
                <w:bCs/>
                <w:color w:val="auto"/>
                <w:kern w:val="0"/>
                <w:sz w:val="21"/>
                <w:szCs w:val="21"/>
                <w:highlight w:val="none"/>
              </w:rPr>
              <w:t>tpfront）”电子交易平台内上传；</w:t>
            </w:r>
          </w:p>
          <w:p w14:paraId="25B62BC1">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4、加密的电子响应文件为“驻马店市公共资源交易中心（</w:t>
            </w:r>
            <w:r>
              <w:rPr>
                <w:rFonts w:hint="eastAsia" w:ascii="宋体" w:hAnsi="宋体" w:eastAsia="宋体" w:cs="宋体"/>
                <w:color w:val="auto"/>
                <w:kern w:val="0"/>
                <w:sz w:val="21"/>
                <w:szCs w:val="21"/>
                <w:highlight w:val="none"/>
                <w:lang w:val="en-US" w:eastAsia="zh-CN"/>
              </w:rPr>
              <w:t>https://ggzy.zhumadian.gov.cn/</w:t>
            </w:r>
            <w:r>
              <w:rPr>
                <w:rFonts w:hint="eastAsia" w:ascii="宋体" w:hAnsi="宋体" w:eastAsia="宋体" w:cs="宋体"/>
                <w:bCs/>
                <w:color w:val="auto"/>
                <w:kern w:val="0"/>
                <w:sz w:val="21"/>
                <w:szCs w:val="21"/>
                <w:highlight w:val="none"/>
              </w:rPr>
              <w:t>tpfront）”网站提供的“新点投标文件制作软件（驻马店）”制作生成的加密版响应文件。</w:t>
            </w:r>
          </w:p>
          <w:p w14:paraId="284B0767">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5、供应商在编制电子响应文件时，生成后的电子响应文件须按磋商文件的格式要求完成电子签字或盖章。供应商授权代表签字的磋商响应文件格式内容，供应商可以将签字后的扫描图片替换到相应格式中。</w:t>
            </w:r>
          </w:p>
          <w:p w14:paraId="7047C2DE">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6、磋商文件格式所要求包含的全部资料应全部制作在响应文件内，严格按照本项目磋商文件所有格式如实填写（不涉及的内容除外），不应存在漏项或缺项，否则将存在响应文件被拒绝的风险。</w:t>
            </w:r>
          </w:p>
          <w:p w14:paraId="21A73688">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7、响应文件以外的任何资料采购人和代理机构将拒收。</w:t>
            </w:r>
          </w:p>
          <w:p w14:paraId="152BB165">
            <w:pPr>
              <w:keepNext w:val="0"/>
              <w:keepLines w:val="0"/>
              <w:pageBreakBefore w:val="0"/>
              <w:kinsoku/>
              <w:wordWrap/>
              <w:overflowPunct/>
              <w:topLinePunct w:val="0"/>
              <w:autoSpaceDE/>
              <w:autoSpaceDN/>
              <w:bidi w:val="0"/>
              <w:adjustRightInd/>
              <w:snapToGrid w:val="0"/>
              <w:spacing w:line="360" w:lineRule="auto"/>
              <w:contextualSpacing/>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8、供应商编辑电子响应文件时，根据磋商文件要求用法人 CA 密钥和企业CA 密钥进行签章制作；最后一步生成电子响应文件（.zmdtf 格式和.nzmdtf 格式）时，只能用本单位的企业 CA 密钥。</w:t>
            </w:r>
          </w:p>
          <w:p w14:paraId="44BD7541">
            <w:pPr>
              <w:keepNext w:val="0"/>
              <w:keepLines w:val="0"/>
              <w:pageBreakBefore w:val="0"/>
              <w:kinsoku/>
              <w:wordWrap/>
              <w:overflowPunct/>
              <w:topLinePunct w:val="0"/>
              <w:autoSpaceDE/>
              <w:autoSpaceDN/>
              <w:bidi w:val="0"/>
              <w:adjustRightInd/>
              <w:snapToGrid w:val="0"/>
              <w:spacing w:line="360" w:lineRule="auto"/>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9、电子响应文件制作流程，可参考驻马店市公共资源交易中心官方网站的，下载中心板块的视频（</w:t>
            </w:r>
            <w:r>
              <w:rPr>
                <w:rFonts w:hint="eastAsia" w:ascii="宋体" w:hAnsi="宋体" w:cs="宋体"/>
                <w:bCs/>
                <w:color w:val="auto"/>
                <w:kern w:val="0"/>
                <w:sz w:val="21"/>
                <w:szCs w:val="21"/>
                <w:highlight w:val="none"/>
                <w:lang w:eastAsia="zh-CN"/>
              </w:rPr>
              <w:t>https://ggzy.zhumadian.gov.cn</w:t>
            </w:r>
            <w:r>
              <w:rPr>
                <w:rFonts w:hint="eastAsia" w:ascii="宋体" w:hAnsi="宋体" w:eastAsia="宋体" w:cs="宋体"/>
                <w:bCs/>
                <w:color w:val="auto"/>
                <w:kern w:val="0"/>
                <w:sz w:val="21"/>
                <w:szCs w:val="21"/>
                <w:highlight w:val="none"/>
              </w:rPr>
              <w:t>/TPFront/InfoDetail/?InfoID=844e0ea7-2b6c-425d-99f6-91bd5b500e5e&amp;CategoryNum=026002）</w:t>
            </w:r>
          </w:p>
        </w:tc>
      </w:tr>
      <w:tr w14:paraId="413F02B1">
        <w:tblPrEx>
          <w:shd w:val="clear" w:color="auto" w:fill="FFFFFF"/>
          <w:tblCellMar>
            <w:top w:w="0" w:type="dxa"/>
            <w:left w:w="0" w:type="dxa"/>
            <w:bottom w:w="0" w:type="dxa"/>
            <w:right w:w="0" w:type="dxa"/>
          </w:tblCellMar>
        </w:tblPrEx>
        <w:trPr>
          <w:trHeight w:val="503"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79FE44A">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5CABEA">
            <w:pPr>
              <w:keepNext w:val="0"/>
              <w:keepLines w:val="0"/>
              <w:pageBreakBefore w:val="0"/>
              <w:kinsoku/>
              <w:wordWrap/>
              <w:overflowPunct/>
              <w:topLinePunct w:val="0"/>
              <w:autoSpaceDE/>
              <w:autoSpaceDN/>
              <w:bidi w:val="0"/>
              <w:adjustRightInd/>
              <w:snapToGrid w:val="0"/>
              <w:spacing w:line="24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响应文件上传:</w:t>
            </w:r>
            <w:r>
              <w:rPr>
                <w:rFonts w:hint="eastAsia" w:ascii="宋体" w:hAnsi="宋体" w:eastAsia="宋体" w:cs="宋体"/>
                <w:bCs/>
                <w:color w:val="auto"/>
                <w:kern w:val="0"/>
                <w:sz w:val="21"/>
                <w:szCs w:val="21"/>
                <w:highlight w:val="none"/>
              </w:rPr>
              <w:t>详见第三章供应商须知第22条</w:t>
            </w:r>
          </w:p>
        </w:tc>
      </w:tr>
      <w:tr w14:paraId="3E426513">
        <w:tblPrEx>
          <w:shd w:val="clear" w:color="auto" w:fill="FFFFFF"/>
          <w:tblCellMar>
            <w:top w:w="0" w:type="dxa"/>
            <w:left w:w="0" w:type="dxa"/>
            <w:bottom w:w="0" w:type="dxa"/>
            <w:right w:w="0" w:type="dxa"/>
          </w:tblCellMar>
        </w:tblPrEx>
        <w:trPr>
          <w:trHeight w:val="41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F85289">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42A2DF">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磋商文件的澄清与变更:</w:t>
            </w:r>
            <w:r>
              <w:rPr>
                <w:rFonts w:hint="eastAsia" w:ascii="宋体" w:hAnsi="宋体" w:eastAsia="宋体" w:cs="宋体"/>
                <w:b/>
                <w:color w:val="auto"/>
                <w:sz w:val="21"/>
                <w:szCs w:val="21"/>
                <w:highlight w:val="none"/>
              </w:rPr>
              <w:t xml:space="preserve"> </w:t>
            </w:r>
          </w:p>
          <w:p w14:paraId="200A85D6">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采购人、代理机构对已发出的磋商文件进行的澄清、更正或更改，澄清、更正或更改的内容将作为磋商文件的组成部分。代理机构将通过网站“变更公告”和“答疑文件”告知供应商。各供应商须下载磋商文件和最新的答疑文件，以此编制响应文件。</w:t>
            </w:r>
          </w:p>
          <w:p w14:paraId="491B0344">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2、因驻马店市公共资源交易中心平台在开标前具有保密性，供应商在响应文件提交截止时间前须自行查看项目进展、变更通知、澄清及回复，因供应商未及时查看而造成的后果自负。</w:t>
            </w:r>
          </w:p>
        </w:tc>
      </w:tr>
      <w:tr w14:paraId="41F5FF45">
        <w:tblPrEx>
          <w:shd w:val="clear" w:color="auto" w:fill="FFFFFF"/>
          <w:tblCellMar>
            <w:top w:w="0" w:type="dxa"/>
            <w:left w:w="0" w:type="dxa"/>
            <w:bottom w:w="0" w:type="dxa"/>
            <w:right w:w="0" w:type="dxa"/>
          </w:tblCellMar>
        </w:tblPrEx>
        <w:trPr>
          <w:trHeight w:val="109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8FA0A7">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7E866B">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开启（解密）：</w:t>
            </w:r>
          </w:p>
          <w:p w14:paraId="15486581">
            <w:pPr>
              <w:keepNext w:val="0"/>
              <w:keepLines w:val="0"/>
              <w:pageBreakBefore w:val="0"/>
              <w:kinsoku/>
              <w:wordWrap/>
              <w:overflowPunct/>
              <w:topLinePunct w:val="0"/>
              <w:autoSpaceDE/>
              <w:autoSpaceDN/>
              <w:bidi w:val="0"/>
              <w:adjustRightInd/>
              <w:snapToGrid w:val="0"/>
              <w:spacing w:line="360" w:lineRule="auto"/>
              <w:contextualSpacing/>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1、磋商当日，供应商无需到达磋商现场，仅需在任意地点使用企业CA 密钥登入驻马店市公共资源交易中心不见面开标大厅（</w:t>
            </w:r>
            <w:r>
              <w:rPr>
                <w:rFonts w:hint="eastAsia" w:ascii="宋体" w:hAnsi="宋体" w:eastAsia="宋体" w:cs="宋体"/>
                <w:bCs/>
                <w:color w:val="auto"/>
                <w:kern w:val="0"/>
                <w:sz w:val="21"/>
                <w:szCs w:val="21"/>
                <w:highlight w:val="none"/>
                <w:lang w:val="en-US" w:eastAsia="zh-CN"/>
              </w:rPr>
              <w:t>https://ggzy.zhumadian.gov.cn</w:t>
            </w:r>
            <w:r>
              <w:rPr>
                <w:rFonts w:hint="eastAsia" w:ascii="宋体" w:hAnsi="宋体" w:eastAsia="宋体" w:cs="宋体"/>
                <w:bCs/>
                <w:color w:val="auto"/>
                <w:kern w:val="0"/>
                <w:sz w:val="21"/>
                <w:szCs w:val="21"/>
                <w:highlight w:val="none"/>
              </w:rPr>
              <w:t>:9190/BidOpening/bidopeninghallaction/hall/login）及相应的配套硬件设备（摄像头、话筒、麦克风等）参加磋商活动。</w:t>
            </w:r>
          </w:p>
          <w:p w14:paraId="01913B0B">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磋商评审工作无法进行的，可根据实际情况报请批准后相应延迟解密时间或调整磋商评审时间（友情提示：若供应商已领取副锁（含多把副锁）请注意正副锁的使用差别）。</w:t>
            </w:r>
          </w:p>
          <w:p w14:paraId="45CB91EE">
            <w:pPr>
              <w:keepNext w:val="0"/>
              <w:keepLines w:val="0"/>
              <w:pageBreakBefore w:val="0"/>
              <w:kinsoku/>
              <w:wordWrap/>
              <w:overflowPunct/>
              <w:topLinePunct w:val="0"/>
              <w:autoSpaceDE/>
              <w:autoSpaceDN/>
              <w:bidi w:val="0"/>
              <w:adjustRightInd/>
              <w:snapToGrid w:val="0"/>
              <w:spacing w:line="360" w:lineRule="auto"/>
              <w:contextualSpacing/>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3、远程解密前，供应商务必在驻马店市公共资源交易电子交易平台（</w:t>
            </w:r>
            <w:r>
              <w:rPr>
                <w:rFonts w:hint="eastAsia" w:ascii="宋体" w:hAnsi="宋体" w:cs="宋体"/>
                <w:bCs/>
                <w:color w:val="auto"/>
                <w:kern w:val="0"/>
                <w:sz w:val="21"/>
                <w:szCs w:val="21"/>
                <w:highlight w:val="none"/>
                <w:lang w:eastAsia="zh-CN"/>
              </w:rPr>
              <w:t>https://ggzy.zhumadian.gov.cn/</w:t>
            </w:r>
            <w:r>
              <w:rPr>
                <w:rFonts w:hint="eastAsia" w:ascii="宋体" w:hAnsi="宋体" w:eastAsia="宋体" w:cs="宋体"/>
                <w:bCs/>
                <w:color w:val="auto"/>
                <w:kern w:val="0"/>
                <w:sz w:val="21"/>
                <w:szCs w:val="21"/>
                <w:highlight w:val="none"/>
              </w:rPr>
              <w:t>:8820/TPBidder）投标文件上传模块中使用“模拟解密”功能，验证本机远程自助解密环境。</w:t>
            </w:r>
          </w:p>
          <w:p w14:paraId="179EFFCF">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w:t>
            </w:r>
            <w:r>
              <w:rPr>
                <w:rFonts w:hint="eastAsia" w:ascii="宋体" w:hAnsi="宋体" w:eastAsia="宋体" w:cs="宋体"/>
                <w:b/>
                <w:bCs/>
                <w:color w:val="auto"/>
                <w:kern w:val="0"/>
                <w:sz w:val="21"/>
                <w:szCs w:val="21"/>
                <w:highlight w:val="none"/>
              </w:rPr>
              <w:t>特别提醒：</w:t>
            </w:r>
          </w:p>
          <w:p w14:paraId="4F5EC09C">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    因驻马店市公共资源不见面交易系统具备视频直播、语音通话等，对网络带宽及硬件要求相对较高的功能，故供应商在参与使用不见面交易系统磋商的项目时，需确认是否满足如下要求：</w:t>
            </w:r>
          </w:p>
          <w:p w14:paraId="17585332">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（1）网络要求：网络带宽4M以上。</w:t>
            </w:r>
          </w:p>
          <w:p w14:paraId="57339633">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（2）硬件要求：电脑要求内存4G及以上，且需配套网络摄像头、麦克风、音箱等，并确保其均能正常运转。操作系统要求Windows7及以上，IE浏览器IE11及以上。</w:t>
            </w:r>
          </w:p>
          <w:p w14:paraId="5C04527D">
            <w:pPr>
              <w:keepNext w:val="0"/>
              <w:keepLines w:val="0"/>
              <w:pageBreakBefore w:val="0"/>
              <w:kinsoku/>
              <w:wordWrap/>
              <w:overflowPunct/>
              <w:topLinePunct w:val="0"/>
              <w:autoSpaceDE/>
              <w:autoSpaceDN/>
              <w:bidi w:val="0"/>
              <w:adjustRightInd/>
              <w:snapToGrid w:val="0"/>
              <w:spacing w:line="360" w:lineRule="auto"/>
              <w:contextualSpacing/>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（3）人员要求：对于参与驻马店不见面交易系统磋商的供应商，要求能熟练掌握电脑基础操作。不见面开标操作手册下载地址：</w:t>
            </w:r>
          </w:p>
          <w:p w14:paraId="74C3083A">
            <w:pPr>
              <w:keepNext w:val="0"/>
              <w:keepLines w:val="0"/>
              <w:pageBreakBefore w:val="0"/>
              <w:kinsoku/>
              <w:wordWrap/>
              <w:overflowPunct/>
              <w:topLinePunct w:val="0"/>
              <w:autoSpaceDE/>
              <w:autoSpaceDN/>
              <w:bidi w:val="0"/>
              <w:adjustRightInd/>
              <w:snapToGrid w:val="0"/>
              <w:spacing w:line="36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w:t>
            </w:r>
            <w:r>
              <w:rPr>
                <w:rFonts w:hint="eastAsia" w:ascii="宋体" w:hAnsi="宋体" w:cs="宋体"/>
                <w:bCs/>
                <w:color w:val="auto"/>
                <w:kern w:val="0"/>
                <w:sz w:val="21"/>
                <w:szCs w:val="21"/>
                <w:highlight w:val="none"/>
                <w:lang w:eastAsia="zh-CN"/>
              </w:rPr>
              <w:t>https://ggzy.zhumadian.gov.cn</w:t>
            </w:r>
            <w:r>
              <w:rPr>
                <w:rFonts w:hint="eastAsia" w:ascii="宋体" w:hAnsi="宋体" w:eastAsia="宋体" w:cs="宋体"/>
                <w:bCs/>
                <w:color w:val="auto"/>
                <w:kern w:val="0"/>
                <w:sz w:val="21"/>
                <w:szCs w:val="21"/>
                <w:highlight w:val="none"/>
              </w:rPr>
              <w:t>/TPFront/InfoDetail/?InfoID=6e085538-6be5-4d25-80b2-12f5fc669ba1&amp;CategoryNum=026005）</w:t>
            </w:r>
          </w:p>
        </w:tc>
      </w:tr>
      <w:tr w14:paraId="6E1EE5CD">
        <w:tblPrEx>
          <w:shd w:val="clear" w:color="auto" w:fill="FFFFFF"/>
          <w:tblCellMar>
            <w:top w:w="0" w:type="dxa"/>
            <w:left w:w="0" w:type="dxa"/>
            <w:bottom w:w="0" w:type="dxa"/>
            <w:right w:w="0" w:type="dxa"/>
          </w:tblCellMar>
        </w:tblPrEx>
        <w:trPr>
          <w:trHeight w:val="525"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8A2AE8">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CC9B3A">
            <w:pPr>
              <w:keepNext w:val="0"/>
              <w:keepLines w:val="0"/>
              <w:pageBreakBefore w:val="0"/>
              <w:kinsoku/>
              <w:wordWrap/>
              <w:overflowPunct/>
              <w:topLinePunct w:val="0"/>
              <w:autoSpaceDE/>
              <w:autoSpaceDN/>
              <w:bidi w:val="0"/>
              <w:adjustRightInd/>
              <w:snapToGrid w:val="0"/>
              <w:spacing w:line="24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w:t>
            </w:r>
            <w:r>
              <w:rPr>
                <w:rFonts w:hint="eastAsia" w:ascii="宋体" w:hAnsi="宋体" w:eastAsia="宋体" w:cs="宋体"/>
                <w:bCs/>
                <w:color w:val="auto"/>
                <w:kern w:val="0"/>
                <w:sz w:val="21"/>
                <w:szCs w:val="21"/>
                <w:highlight w:val="none"/>
              </w:rPr>
              <w:t>详见第三章供应商须知第25、26、27、28、29条</w:t>
            </w:r>
          </w:p>
        </w:tc>
      </w:tr>
      <w:tr w14:paraId="599F8941">
        <w:tblPrEx>
          <w:shd w:val="clear" w:color="auto" w:fill="FFFFFF"/>
          <w:tblCellMar>
            <w:top w:w="0" w:type="dxa"/>
            <w:left w:w="0" w:type="dxa"/>
            <w:bottom w:w="0" w:type="dxa"/>
            <w:right w:w="0" w:type="dxa"/>
          </w:tblCellMar>
        </w:tblPrEx>
        <w:trPr>
          <w:trHeight w:val="1387"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DFEC2E">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76FA57">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1BE74961">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按本款前述规定仍不能形成结论的，由采购人（或采购代理机构）负责解释。</w:t>
            </w:r>
          </w:p>
        </w:tc>
      </w:tr>
    </w:tbl>
    <w:p w14:paraId="4F69D1B2">
      <w:pPr>
        <w:widowControl/>
        <w:shd w:val="clear" w:color="auto" w:fill="FFFFFF"/>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一  说</w:t>
      </w:r>
      <w:r>
        <w:rPr>
          <w:rFonts w:hint="eastAsia" w:ascii="宋体" w:hAnsi="宋体" w:cs="宋体"/>
          <w:b/>
          <w:bCs/>
          <w:color w:val="auto"/>
          <w:kern w:val="0"/>
          <w:sz w:val="32"/>
          <w:szCs w:val="32"/>
          <w:highlight w:val="none"/>
        </w:rPr>
        <w:t xml:space="preserve">   </w:t>
      </w:r>
      <w:r>
        <w:rPr>
          <w:rFonts w:hint="eastAsia" w:ascii="黑体" w:hAnsi="宋体" w:eastAsia="黑体" w:cs="宋体"/>
          <w:b/>
          <w:bCs/>
          <w:color w:val="auto"/>
          <w:kern w:val="0"/>
          <w:sz w:val="32"/>
          <w:szCs w:val="32"/>
          <w:highlight w:val="none"/>
        </w:rPr>
        <w:t xml:space="preserve"> 明</w:t>
      </w:r>
    </w:p>
    <w:p w14:paraId="3302406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1.适用范围</w:t>
      </w:r>
    </w:p>
    <w:p w14:paraId="2F818941">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color w:val="auto"/>
          <w:kern w:val="0"/>
          <w:sz w:val="21"/>
          <w:szCs w:val="21"/>
          <w:highlight w:val="none"/>
        </w:rPr>
      </w:pPr>
      <w:r>
        <w:rPr>
          <w:rFonts w:hint="eastAsia" w:ascii="宋体" w:hAnsi="宋体"/>
          <w:color w:val="auto"/>
          <w:kern w:val="0"/>
          <w:sz w:val="21"/>
          <w:szCs w:val="21"/>
          <w:highlight w:val="none"/>
        </w:rPr>
        <w:t>本竞争性磋商文件仅适用于竞争性磋商公告中所叙述项目的</w:t>
      </w:r>
      <w:r>
        <w:rPr>
          <w:rFonts w:hint="eastAsia" w:ascii="宋体" w:hAnsi="宋体"/>
          <w:color w:val="auto"/>
          <w:kern w:val="0"/>
          <w:sz w:val="21"/>
          <w:szCs w:val="21"/>
          <w:highlight w:val="none"/>
          <w:lang w:val="en-US" w:eastAsia="zh-CN"/>
        </w:rPr>
        <w:t>货物</w:t>
      </w:r>
      <w:r>
        <w:rPr>
          <w:rFonts w:hint="eastAsia" w:ascii="宋体" w:hAnsi="宋体"/>
          <w:color w:val="auto"/>
          <w:kern w:val="0"/>
          <w:sz w:val="21"/>
          <w:szCs w:val="21"/>
          <w:highlight w:val="none"/>
        </w:rPr>
        <w:t>采购。</w:t>
      </w:r>
    </w:p>
    <w:p w14:paraId="7CDD1BF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color w:val="auto"/>
          <w:kern w:val="0"/>
          <w:sz w:val="21"/>
          <w:szCs w:val="21"/>
          <w:highlight w:val="none"/>
        </w:rPr>
      </w:pPr>
      <w:r>
        <w:rPr>
          <w:rFonts w:hint="eastAsia" w:ascii="宋体" w:hAnsi="宋体"/>
          <w:b/>
          <w:bCs/>
          <w:color w:val="auto"/>
          <w:kern w:val="0"/>
          <w:sz w:val="21"/>
          <w:szCs w:val="21"/>
          <w:highlight w:val="none"/>
        </w:rPr>
        <w:t>2.定义</w:t>
      </w:r>
    </w:p>
    <w:p w14:paraId="49AC103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color w:val="auto"/>
          <w:kern w:val="0"/>
          <w:sz w:val="21"/>
          <w:szCs w:val="21"/>
          <w:highlight w:val="none"/>
        </w:rPr>
      </w:pPr>
      <w:r>
        <w:rPr>
          <w:rFonts w:hint="eastAsia" w:ascii="宋体" w:hAnsi="宋体"/>
          <w:color w:val="auto"/>
          <w:kern w:val="0"/>
          <w:sz w:val="21"/>
          <w:szCs w:val="21"/>
          <w:highlight w:val="none"/>
        </w:rPr>
        <w:t>2.1</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“采购人”系指</w:t>
      </w:r>
      <w:r>
        <w:rPr>
          <w:rFonts w:hint="eastAsia" w:ascii="宋体" w:hAnsi="宋体" w:cs="ISOCTEUR"/>
          <w:color w:val="auto"/>
          <w:kern w:val="0"/>
          <w:sz w:val="21"/>
          <w:szCs w:val="21"/>
          <w:highlight w:val="none"/>
          <w:lang w:eastAsia="zh-CN"/>
        </w:rPr>
        <w:t>驻马店市中心医院</w:t>
      </w:r>
      <w:r>
        <w:rPr>
          <w:rFonts w:hint="eastAsia" w:ascii="宋体" w:hAnsi="宋体"/>
          <w:color w:val="auto"/>
          <w:kern w:val="0"/>
          <w:sz w:val="21"/>
          <w:szCs w:val="21"/>
          <w:highlight w:val="none"/>
        </w:rPr>
        <w:t>。</w:t>
      </w:r>
    </w:p>
    <w:p w14:paraId="5BEF774C">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color w:val="auto"/>
          <w:kern w:val="0"/>
          <w:sz w:val="21"/>
          <w:szCs w:val="21"/>
          <w:highlight w:val="none"/>
        </w:rPr>
      </w:pPr>
      <w:r>
        <w:rPr>
          <w:rFonts w:hint="eastAsia" w:ascii="宋体" w:hAnsi="宋体"/>
          <w:color w:val="auto"/>
          <w:kern w:val="0"/>
          <w:sz w:val="21"/>
          <w:szCs w:val="21"/>
          <w:highlight w:val="none"/>
        </w:rPr>
        <w:t>2.2</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“采购代理机构”系指</w:t>
      </w:r>
      <w:r>
        <w:rPr>
          <w:rFonts w:hint="eastAsia" w:ascii="宋体" w:hAnsi="宋体"/>
          <w:color w:val="auto"/>
          <w:sz w:val="21"/>
          <w:szCs w:val="21"/>
          <w:highlight w:val="none"/>
          <w:lang w:eastAsia="zh-CN"/>
        </w:rPr>
        <w:t>恒信咨询管理有限公司</w:t>
      </w:r>
      <w:r>
        <w:rPr>
          <w:rFonts w:hint="eastAsia" w:ascii="宋体" w:hAnsi="宋体"/>
          <w:color w:val="auto"/>
          <w:kern w:val="0"/>
          <w:sz w:val="21"/>
          <w:szCs w:val="21"/>
          <w:highlight w:val="none"/>
        </w:rPr>
        <w:t>。</w:t>
      </w:r>
    </w:p>
    <w:p w14:paraId="01077E8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color w:val="auto"/>
          <w:kern w:val="0"/>
          <w:sz w:val="21"/>
          <w:szCs w:val="21"/>
          <w:highlight w:val="none"/>
        </w:rPr>
      </w:pPr>
      <w:r>
        <w:rPr>
          <w:rFonts w:hint="eastAsia" w:ascii="宋体" w:hAnsi="宋体"/>
          <w:color w:val="auto"/>
          <w:kern w:val="0"/>
          <w:sz w:val="21"/>
          <w:szCs w:val="21"/>
          <w:highlight w:val="none"/>
        </w:rPr>
        <w:t>2.3</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“供应商”系指下载了本竞争性磋商文件，且已经提交本次响应文件的参加磋商主体。</w:t>
      </w:r>
    </w:p>
    <w:p w14:paraId="340356D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olor w:val="auto"/>
          <w:kern w:val="0"/>
          <w:sz w:val="21"/>
          <w:szCs w:val="21"/>
          <w:highlight w:val="none"/>
        </w:rPr>
        <w:t>2.4</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“供应商代表”系指代表供应商参加本次磋商活动的供应商的法定代表人或其委托代理人。</w:t>
      </w:r>
    </w:p>
    <w:p w14:paraId="7A35F2E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ascii="宋体" w:hAnsi="宋体"/>
          <w:color w:val="auto"/>
          <w:kern w:val="0"/>
          <w:sz w:val="21"/>
          <w:szCs w:val="21"/>
          <w:highlight w:val="none"/>
        </w:rPr>
      </w:pPr>
      <w:r>
        <w:rPr>
          <w:rFonts w:hint="eastAsia" w:ascii="宋体" w:hAnsi="宋体" w:cs="宋体"/>
          <w:color w:val="auto"/>
          <w:kern w:val="0"/>
          <w:sz w:val="21"/>
          <w:szCs w:val="21"/>
          <w:highlight w:val="none"/>
        </w:rPr>
        <w:t xml:space="preserve">2.5 </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货物</w:t>
      </w:r>
      <w:r>
        <w:rPr>
          <w:rFonts w:hint="eastAsia" w:ascii="宋体" w:hAnsi="宋体"/>
          <w:color w:val="auto"/>
          <w:kern w:val="0"/>
          <w:sz w:val="21"/>
          <w:szCs w:val="21"/>
          <w:highlight w:val="none"/>
        </w:rPr>
        <w:t>”系指按采购文件规定供应商须承担的与本次采购</w:t>
      </w:r>
      <w:r>
        <w:rPr>
          <w:rFonts w:hint="eastAsia" w:ascii="宋体" w:hAnsi="宋体"/>
          <w:color w:val="auto"/>
          <w:kern w:val="0"/>
          <w:sz w:val="21"/>
          <w:szCs w:val="21"/>
          <w:highlight w:val="none"/>
          <w:lang w:val="en-US" w:eastAsia="zh-CN"/>
        </w:rPr>
        <w:t>货物</w:t>
      </w:r>
      <w:r>
        <w:rPr>
          <w:rFonts w:hint="eastAsia" w:ascii="宋体" w:hAnsi="宋体"/>
          <w:color w:val="auto"/>
          <w:kern w:val="0"/>
          <w:sz w:val="21"/>
          <w:szCs w:val="21"/>
          <w:highlight w:val="none"/>
        </w:rPr>
        <w:t>相关的内容。</w:t>
      </w:r>
    </w:p>
    <w:p w14:paraId="1648EEB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2.6</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“响应文件有效期” 系指本次采购项目递交响应文件截止</w:t>
      </w:r>
      <w:r>
        <w:rPr>
          <w:rFonts w:hint="eastAsia" w:ascii="宋体" w:hAnsi="宋体"/>
          <w:color w:val="auto"/>
          <w:kern w:val="0"/>
          <w:sz w:val="21"/>
          <w:szCs w:val="21"/>
          <w:highlight w:val="none"/>
          <w:lang w:eastAsia="zh-CN"/>
        </w:rPr>
        <w:t>之日起</w:t>
      </w:r>
      <w:r>
        <w:rPr>
          <w:rFonts w:hint="eastAsia" w:ascii="宋体" w:hAnsi="宋体"/>
          <w:color w:val="auto"/>
          <w:kern w:val="0"/>
          <w:sz w:val="21"/>
          <w:szCs w:val="21"/>
          <w:highlight w:val="none"/>
          <w:lang w:val="en-US" w:eastAsia="zh-CN"/>
        </w:rPr>
        <w:t>9</w:t>
      </w:r>
      <w:r>
        <w:rPr>
          <w:rFonts w:hint="eastAsia" w:ascii="宋体" w:hAnsi="宋体"/>
          <w:color w:val="auto"/>
          <w:kern w:val="0"/>
          <w:sz w:val="21"/>
          <w:szCs w:val="21"/>
          <w:highlight w:val="none"/>
        </w:rPr>
        <w:t>0</w:t>
      </w:r>
      <w:r>
        <w:rPr>
          <w:rFonts w:hint="eastAsia" w:ascii="宋体" w:hAnsi="宋体"/>
          <w:color w:val="auto"/>
          <w:kern w:val="0"/>
          <w:sz w:val="21"/>
          <w:szCs w:val="21"/>
          <w:highlight w:val="none"/>
          <w:lang w:eastAsia="zh-CN"/>
        </w:rPr>
        <w:t>日历天</w:t>
      </w:r>
      <w:r>
        <w:rPr>
          <w:rFonts w:hint="eastAsia" w:ascii="宋体" w:hAnsi="宋体"/>
          <w:color w:val="auto"/>
          <w:kern w:val="0"/>
          <w:sz w:val="21"/>
          <w:szCs w:val="21"/>
          <w:highlight w:val="none"/>
        </w:rPr>
        <w:t>。成交供应商的响应文件是合同的组成部分,有效期至合同完全履行止。</w:t>
      </w:r>
    </w:p>
    <w:p w14:paraId="022F1F3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color w:val="auto"/>
          <w:kern w:val="0"/>
          <w:sz w:val="21"/>
          <w:szCs w:val="21"/>
          <w:highlight w:val="none"/>
        </w:rPr>
      </w:pPr>
      <w:r>
        <w:rPr>
          <w:rFonts w:hint="eastAsia" w:ascii="宋体" w:hAnsi="宋体" w:cs="宋体"/>
          <w:b/>
          <w:bCs/>
          <w:color w:val="auto"/>
          <w:kern w:val="0"/>
          <w:sz w:val="21"/>
          <w:szCs w:val="21"/>
          <w:highlight w:val="none"/>
        </w:rPr>
        <w:t>3.采购预算</w:t>
      </w:r>
    </w:p>
    <w:p w14:paraId="0B5D09AB">
      <w:pPr>
        <w:keepNext w:val="0"/>
        <w:keepLines w:val="0"/>
        <w:pageBreakBefore w:val="0"/>
        <w:kinsoku/>
        <w:wordWrap/>
        <w:overflowPunct/>
        <w:topLinePunct w:val="0"/>
        <w:autoSpaceDE/>
        <w:autoSpaceDN/>
        <w:bidi w:val="0"/>
        <w:adjustRightInd/>
        <w:snapToGrid w:val="0"/>
        <w:spacing w:line="360" w:lineRule="auto"/>
        <w:ind w:left="2405" w:leftChars="342" w:hanging="1687" w:hangingChars="800"/>
        <w:textAlignment w:val="auto"/>
        <w:rPr>
          <w:rFonts w:ascii="宋体" w:hAnsi="宋体"/>
          <w:color w:val="auto"/>
          <w:sz w:val="21"/>
          <w:szCs w:val="21"/>
          <w:highlight w:val="none"/>
        </w:rPr>
      </w:pPr>
      <w:r>
        <w:rPr>
          <w:rFonts w:hint="eastAsia" w:ascii="宋体" w:hAnsi="宋体" w:cs="宋体"/>
          <w:b/>
          <w:bCs/>
          <w:color w:val="auto"/>
          <w:kern w:val="0"/>
          <w:sz w:val="21"/>
          <w:szCs w:val="21"/>
          <w:highlight w:val="none"/>
        </w:rPr>
        <w:t>采购预算</w:t>
      </w:r>
      <w:r>
        <w:rPr>
          <w:rFonts w:hint="eastAsia"/>
          <w:b/>
          <w:bCs/>
          <w:color w:val="auto"/>
          <w:highlight w:val="none"/>
          <w:lang w:val="en-US" w:eastAsia="zh-CN"/>
        </w:rPr>
        <w:t>：185万元；最高限价：185万元</w:t>
      </w:r>
      <w:r>
        <w:rPr>
          <w:rFonts w:hint="eastAsia" w:ascii="宋体" w:hAnsi="宋体"/>
          <w:color w:val="auto"/>
          <w:sz w:val="21"/>
          <w:szCs w:val="21"/>
          <w:highlight w:val="none"/>
        </w:rPr>
        <w:t>。</w:t>
      </w:r>
    </w:p>
    <w:p w14:paraId="70E97EBC">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4.供应商应提交的证明文件</w:t>
      </w:r>
    </w:p>
    <w:p w14:paraId="18DC970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 w:val="21"/>
          <w:szCs w:val="21"/>
          <w:highlight w:val="none"/>
          <w:u w:val="none"/>
        </w:rPr>
      </w:pPr>
      <w:r>
        <w:rPr>
          <w:rFonts w:hint="eastAsia" w:ascii="宋体" w:hAnsi="宋体" w:cs="宋体"/>
          <w:color w:val="auto"/>
          <w:kern w:val="0"/>
          <w:sz w:val="21"/>
          <w:szCs w:val="21"/>
          <w:highlight w:val="none"/>
        </w:rPr>
        <w:t>4.1 投标人应提供符合《中华人民共和国政府采购法》第二十二条规定的条件的承诺函（格式</w:t>
      </w:r>
      <w:r>
        <w:rPr>
          <w:rFonts w:hint="eastAsia" w:ascii="宋体" w:hAnsi="宋体" w:cs="宋体"/>
          <w:color w:val="auto"/>
          <w:kern w:val="0"/>
          <w:sz w:val="21"/>
          <w:szCs w:val="21"/>
          <w:highlight w:val="none"/>
          <w:u w:val="none"/>
        </w:rPr>
        <w:t>见第五章附件</w:t>
      </w:r>
      <w:r>
        <w:rPr>
          <w:rFonts w:hint="eastAsia" w:ascii="宋体" w:hAnsi="宋体" w:cs="宋体"/>
          <w:color w:val="auto"/>
          <w:kern w:val="0"/>
          <w:sz w:val="21"/>
          <w:szCs w:val="21"/>
          <w:highlight w:val="none"/>
          <w:u w:val="none"/>
          <w:lang w:val="en-US" w:eastAsia="zh-CN"/>
        </w:rPr>
        <w:t>10.1</w:t>
      </w:r>
      <w:r>
        <w:rPr>
          <w:rFonts w:hint="eastAsia" w:ascii="宋体" w:hAnsi="宋体" w:cs="宋体"/>
          <w:color w:val="auto"/>
          <w:kern w:val="0"/>
          <w:sz w:val="21"/>
          <w:szCs w:val="21"/>
          <w:highlight w:val="none"/>
          <w:u w:val="none"/>
        </w:rPr>
        <w:t>）；</w:t>
      </w:r>
    </w:p>
    <w:p w14:paraId="2938747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 w:val="21"/>
          <w:szCs w:val="21"/>
          <w:highlight w:val="none"/>
          <w:u w:val="none"/>
        </w:rPr>
      </w:pPr>
      <w:r>
        <w:rPr>
          <w:rFonts w:hint="eastAsia" w:ascii="宋体" w:hAnsi="宋体" w:cs="宋体"/>
          <w:color w:val="auto"/>
          <w:kern w:val="0"/>
          <w:sz w:val="21"/>
          <w:szCs w:val="21"/>
          <w:highlight w:val="none"/>
          <w:u w:val="none"/>
        </w:rPr>
        <w:t>注:根据《关于推行政府采购资格审查环节信用承诺制的通知》(驻财购[2022]15号)的规定，供应商在投标时无需提交上述证明材料，按照规定提供《政府采购供应商信用承诺函》备查。采购人有权在发放中标通知书前要求中标(成交)供应商提供证明材料，以备核实供应商承诺事项的真实性；</w:t>
      </w:r>
    </w:p>
    <w:p w14:paraId="2B0EB08C">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4.2</w:t>
      </w:r>
      <w:r>
        <w:rPr>
          <w:rFonts w:hint="eastAsia" w:ascii="宋体" w:hAnsi="宋体" w:cs="宋体"/>
          <w:color w:val="auto"/>
          <w:kern w:val="0"/>
          <w:sz w:val="21"/>
          <w:szCs w:val="21"/>
          <w:highlight w:val="none"/>
          <w:lang w:val="en-US" w:eastAsia="zh-CN"/>
        </w:rPr>
        <w:t xml:space="preserve"> 单位负责人为同一人或者存在直接控股、管理关系的不同投标公司，不得参加同一合同项下的政府采购活动。提供在“国家企业信用信息公示系统”中查询的相关材料并加盖公章（需包含公司基本信息、股东信息及股权变更信息）或提供承诺书</w:t>
      </w:r>
      <w:r>
        <w:rPr>
          <w:rFonts w:hint="eastAsia" w:ascii="宋体" w:hAnsi="宋体" w:cs="宋体"/>
          <w:color w:val="auto"/>
          <w:kern w:val="0"/>
          <w:sz w:val="21"/>
          <w:szCs w:val="21"/>
          <w:highlight w:val="none"/>
        </w:rPr>
        <w:t>。</w:t>
      </w:r>
    </w:p>
    <w:p w14:paraId="1E082D9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4.3</w:t>
      </w:r>
      <w:r>
        <w:rPr>
          <w:rFonts w:hint="eastAsia" w:ascii="宋体" w:hAnsi="宋体" w:cs="宋体"/>
          <w:color w:val="auto"/>
          <w:sz w:val="21"/>
          <w:szCs w:val="21"/>
          <w:highlight w:val="none"/>
          <w:lang w:val="en-US" w:eastAsia="zh-CN"/>
        </w:rPr>
        <w:t xml:space="preserve"> 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1"/>
          <w:szCs w:val="21"/>
          <w:highlight w:val="none"/>
          <w:lang w:eastAsia="zh-CN"/>
        </w:rPr>
        <w:t>。</w:t>
      </w:r>
    </w:p>
    <w:p w14:paraId="3EF2258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4.4</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法定代表人本人参加</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的，提供法定代表人身份证明</w:t>
      </w:r>
      <w:r>
        <w:rPr>
          <w:rFonts w:hint="eastAsia" w:ascii="宋体" w:hAnsi="宋体" w:cs="宋体"/>
          <w:color w:val="auto"/>
          <w:sz w:val="21"/>
          <w:szCs w:val="21"/>
          <w:highlight w:val="none"/>
          <w:lang w:eastAsia="zh-CN"/>
        </w:rPr>
        <w:t>（格式</w:t>
      </w:r>
      <w:r>
        <w:rPr>
          <w:rFonts w:hint="eastAsia" w:ascii="宋体" w:hAnsi="宋体" w:cs="宋体"/>
          <w:color w:val="auto"/>
          <w:sz w:val="21"/>
          <w:szCs w:val="21"/>
          <w:highlight w:val="none"/>
          <w:lang w:val="en-US" w:eastAsia="zh-CN"/>
        </w:rPr>
        <w:t>详</w:t>
      </w:r>
      <w:r>
        <w:rPr>
          <w:rFonts w:hint="eastAsia" w:ascii="宋体" w:hAnsi="宋体" w:cs="宋体"/>
          <w:color w:val="auto"/>
          <w:sz w:val="21"/>
          <w:szCs w:val="21"/>
          <w:highlight w:val="none"/>
          <w:lang w:eastAsia="zh-CN"/>
        </w:rPr>
        <w:t>见第五章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附件</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；法定代表人委托代理人参加</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的，提供法定代表人授权书、委托代理人的身份证</w:t>
      </w:r>
      <w:r>
        <w:rPr>
          <w:rFonts w:hint="eastAsia" w:ascii="宋体" w:hAnsi="宋体" w:cs="宋体"/>
          <w:color w:val="auto"/>
          <w:sz w:val="21"/>
          <w:szCs w:val="21"/>
          <w:highlight w:val="none"/>
          <w:lang w:val="en-US" w:eastAsia="zh-CN"/>
        </w:rPr>
        <w:t>明</w:t>
      </w:r>
      <w:r>
        <w:rPr>
          <w:rFonts w:hint="eastAsia" w:ascii="宋体" w:hAnsi="宋体" w:cs="宋体"/>
          <w:color w:val="auto"/>
          <w:sz w:val="21"/>
          <w:szCs w:val="21"/>
          <w:highlight w:val="none"/>
          <w:lang w:eastAsia="zh-CN"/>
        </w:rPr>
        <w:t>（格式</w:t>
      </w:r>
      <w:r>
        <w:rPr>
          <w:rFonts w:hint="eastAsia" w:ascii="宋体" w:hAnsi="宋体" w:cs="宋体"/>
          <w:color w:val="auto"/>
          <w:sz w:val="21"/>
          <w:szCs w:val="21"/>
          <w:highlight w:val="none"/>
          <w:lang w:val="en-US" w:eastAsia="zh-CN"/>
        </w:rPr>
        <w:t>详</w:t>
      </w:r>
      <w:r>
        <w:rPr>
          <w:rFonts w:hint="eastAsia" w:ascii="宋体" w:hAnsi="宋体" w:cs="宋体"/>
          <w:color w:val="auto"/>
          <w:sz w:val="21"/>
          <w:szCs w:val="21"/>
          <w:highlight w:val="none"/>
          <w:lang w:eastAsia="zh-CN"/>
        </w:rPr>
        <w:t>见第五章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附件</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p>
    <w:p w14:paraId="483D621E">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b/>
          <w:color w:val="auto"/>
          <w:sz w:val="21"/>
          <w:szCs w:val="21"/>
          <w:highlight w:val="none"/>
        </w:rPr>
      </w:pPr>
      <w:r>
        <w:rPr>
          <w:rFonts w:hint="eastAsia" w:ascii="宋体" w:hAnsi="宋体" w:eastAsia="宋体" w:cs="宋体"/>
          <w:b/>
          <w:bCs/>
          <w:color w:val="auto"/>
          <w:kern w:val="0"/>
          <w:sz w:val="21"/>
          <w:szCs w:val="21"/>
          <w:highlight w:val="none"/>
        </w:rPr>
        <w:t>注：以上为必须提供的材料。本项目采用不见面交易，供应商在上传</w:t>
      </w:r>
      <w:r>
        <w:rPr>
          <w:rFonts w:hint="eastAsia" w:ascii="宋体" w:hAnsi="宋体" w:cs="宋体"/>
          <w:b/>
          <w:bCs/>
          <w:color w:val="auto"/>
          <w:kern w:val="0"/>
          <w:sz w:val="21"/>
          <w:szCs w:val="21"/>
          <w:highlight w:val="none"/>
          <w:lang w:eastAsia="zh-CN"/>
        </w:rPr>
        <w:t>磋商</w:t>
      </w:r>
      <w:r>
        <w:rPr>
          <w:rFonts w:hint="eastAsia" w:ascii="宋体" w:hAnsi="宋体" w:eastAsia="宋体" w:cs="宋体"/>
          <w:b/>
          <w:bCs/>
          <w:color w:val="auto"/>
          <w:kern w:val="0"/>
          <w:sz w:val="21"/>
          <w:szCs w:val="21"/>
          <w:highlight w:val="none"/>
        </w:rPr>
        <w:t>响应文件截止时间前应及时完善主体诚信库中企业信息及扫描件，提交并自行核验通过，</w:t>
      </w:r>
      <w:r>
        <w:rPr>
          <w:rFonts w:hint="eastAsia" w:ascii="宋体" w:hAnsi="宋体" w:eastAsia="宋体" w:cs="宋体"/>
          <w:b/>
          <w:bCs/>
          <w:color w:val="auto"/>
          <w:kern w:val="0"/>
          <w:sz w:val="21"/>
          <w:szCs w:val="21"/>
          <w:highlight w:val="none"/>
          <w:lang w:val="en-US" w:eastAsia="zh-CN"/>
        </w:rPr>
        <w:t>同时在“资格审查及评审材料”菜单下按分包挑选该包所用资格审查材料（4.1、4.2、4.3、4.4项所需材料），以供评审过程中</w:t>
      </w:r>
      <w:r>
        <w:rPr>
          <w:rFonts w:hint="eastAsia" w:ascii="宋体" w:hAnsi="宋体" w:cs="宋体"/>
          <w:b/>
          <w:bCs/>
          <w:color w:val="auto"/>
          <w:kern w:val="0"/>
          <w:sz w:val="21"/>
          <w:szCs w:val="21"/>
          <w:highlight w:val="none"/>
          <w:lang w:val="en-US" w:eastAsia="zh-CN"/>
        </w:rPr>
        <w:t>磋商</w:t>
      </w:r>
      <w:r>
        <w:rPr>
          <w:rFonts w:hint="eastAsia" w:ascii="宋体" w:hAnsi="宋体" w:eastAsia="宋体" w:cs="宋体"/>
          <w:b/>
          <w:bCs/>
          <w:color w:val="auto"/>
          <w:kern w:val="0"/>
          <w:sz w:val="21"/>
          <w:szCs w:val="21"/>
          <w:highlight w:val="none"/>
          <w:lang w:val="en-US" w:eastAsia="zh-CN"/>
        </w:rPr>
        <w:t>小组查阅。供应商应</w:t>
      </w:r>
      <w:r>
        <w:rPr>
          <w:rFonts w:hint="eastAsia" w:ascii="宋体" w:hAnsi="宋体" w:eastAsia="宋体" w:cs="宋体"/>
          <w:b/>
          <w:bCs/>
          <w:color w:val="auto"/>
          <w:kern w:val="0"/>
          <w:sz w:val="21"/>
          <w:szCs w:val="21"/>
          <w:highlight w:val="none"/>
        </w:rPr>
        <w:t>确保主体诚信库信息与电子响应文件信息一致，上传的资料要清晰可辨。评审时以电子响应文件及</w:t>
      </w:r>
      <w:r>
        <w:rPr>
          <w:rFonts w:hint="eastAsia" w:ascii="宋体" w:hAnsi="宋体" w:eastAsia="宋体" w:cs="宋体"/>
          <w:b/>
          <w:bCs/>
          <w:color w:val="auto"/>
          <w:kern w:val="0"/>
          <w:sz w:val="21"/>
          <w:szCs w:val="21"/>
          <w:highlight w:val="none"/>
          <w:lang w:val="en-US" w:eastAsia="zh-CN"/>
        </w:rPr>
        <w:t>“资格审查及评审材料”菜单中选取</w:t>
      </w:r>
      <w:r>
        <w:rPr>
          <w:rFonts w:hint="eastAsia" w:ascii="宋体" w:hAnsi="宋体" w:eastAsia="宋体" w:cs="宋体"/>
          <w:b/>
          <w:bCs/>
          <w:color w:val="auto"/>
          <w:kern w:val="0"/>
          <w:sz w:val="21"/>
          <w:szCs w:val="21"/>
          <w:highlight w:val="none"/>
        </w:rPr>
        <w:t>的企业信息为准</w:t>
      </w:r>
      <w:r>
        <w:rPr>
          <w:rFonts w:hint="eastAsia"/>
          <w:b/>
          <w:color w:val="auto"/>
          <w:sz w:val="21"/>
          <w:szCs w:val="21"/>
          <w:highlight w:val="none"/>
        </w:rPr>
        <w:t>。</w:t>
      </w:r>
    </w:p>
    <w:p w14:paraId="500206F3">
      <w:pPr>
        <w:pStyle w:val="65"/>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auto"/>
        <w:rPr>
          <w:color w:val="auto"/>
          <w:kern w:val="0"/>
          <w:sz w:val="21"/>
          <w:szCs w:val="21"/>
          <w:highlight w:val="none"/>
        </w:rPr>
      </w:pPr>
      <w:r>
        <w:rPr>
          <w:rFonts w:hint="eastAsia" w:ascii="宋体" w:hAnsi="宋体" w:cs="宋体"/>
          <w:b/>
          <w:bCs/>
          <w:color w:val="auto"/>
          <w:kern w:val="0"/>
          <w:sz w:val="21"/>
          <w:szCs w:val="21"/>
          <w:highlight w:val="none"/>
        </w:rPr>
        <w:t>5.磋商费用</w:t>
      </w:r>
    </w:p>
    <w:p w14:paraId="1F0D236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不论磋商结果如何，供应商均应自行承担所有与磋商有关的全部费用。</w:t>
      </w:r>
    </w:p>
    <w:p w14:paraId="7B9A4A61">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color w:val="auto"/>
          <w:kern w:val="0"/>
          <w:sz w:val="21"/>
          <w:szCs w:val="21"/>
          <w:highlight w:val="none"/>
        </w:rPr>
      </w:pPr>
      <w:r>
        <w:rPr>
          <w:rFonts w:hint="eastAsia" w:ascii="宋体" w:hAnsi="宋体" w:cs="宋体"/>
          <w:b/>
          <w:bCs/>
          <w:color w:val="auto"/>
          <w:kern w:val="0"/>
          <w:sz w:val="21"/>
          <w:szCs w:val="21"/>
          <w:highlight w:val="none"/>
        </w:rPr>
        <w:t>6.联合体参加磋商</w:t>
      </w:r>
    </w:p>
    <w:p w14:paraId="7A76C8D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本项目不接受联合体参加磋商。</w:t>
      </w:r>
    </w:p>
    <w:p w14:paraId="0A333AF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color w:val="auto"/>
          <w:kern w:val="0"/>
          <w:sz w:val="21"/>
          <w:szCs w:val="21"/>
          <w:highlight w:val="none"/>
        </w:rPr>
      </w:pPr>
      <w:r>
        <w:rPr>
          <w:rFonts w:hint="eastAsia" w:ascii="宋体" w:hAnsi="宋体" w:cs="宋体"/>
          <w:b/>
          <w:bCs/>
          <w:color w:val="auto"/>
          <w:kern w:val="0"/>
          <w:sz w:val="21"/>
          <w:szCs w:val="21"/>
          <w:highlight w:val="none"/>
        </w:rPr>
        <w:t>7.转包与分包</w:t>
      </w:r>
    </w:p>
    <w:p w14:paraId="6D42FEA0">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7.1</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本项目不允许采取转包方式履行合同。</w:t>
      </w:r>
    </w:p>
    <w:p w14:paraId="19063A0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7.2</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本项目不允许采取分包方式履行合同。</w:t>
      </w:r>
    </w:p>
    <w:p w14:paraId="31B9E5C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8.</w:t>
      </w:r>
      <w:r>
        <w:rPr>
          <w:rFonts w:hint="eastAsia" w:ascii="宋体" w:hAnsi="宋体" w:cs="宋体"/>
          <w:b/>
          <w:color w:val="auto"/>
          <w:kern w:val="0"/>
          <w:sz w:val="21"/>
          <w:szCs w:val="21"/>
          <w:highlight w:val="none"/>
        </w:rPr>
        <w:t>关联企业参加磋商</w:t>
      </w:r>
    </w:p>
    <w:p w14:paraId="603B1CF9">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8.1 本磋商文件所称关联企业,是指存在关联关系的企业。“关联关系”的界定适用《中华人民共和国公司法》第二百一十七条、《中华人民共和国政府采购法实施条例》第十八条之规定。</w:t>
      </w:r>
    </w:p>
    <w:p w14:paraId="4A37FE6A">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8.2 关联企业中, 同一个法定代表人的两个及两个以上法人，母公司、全资子公司及其控股公司，都不得同时磋商活动。单位负责人为同一人或者存在直接控股、管理关系的不同供应商，不得参加同一合同项下的磋商活动。一经发现，将导致磋商同时被拒绝。</w:t>
      </w:r>
    </w:p>
    <w:p w14:paraId="12E41280">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8.3 为采购项目提供整体设计、规范编制或者项目管理、监理、检测等服务的供应商，不得再参加该采购项目的其他采购活动。</w:t>
      </w:r>
    </w:p>
    <w:p w14:paraId="61B54A4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color w:val="auto"/>
          <w:kern w:val="0"/>
          <w:sz w:val="21"/>
          <w:szCs w:val="21"/>
          <w:highlight w:val="none"/>
        </w:rPr>
      </w:pPr>
      <w:r>
        <w:rPr>
          <w:rFonts w:hint="eastAsia" w:ascii="宋体" w:hAnsi="宋体" w:cs="宋体"/>
          <w:b/>
          <w:bCs/>
          <w:color w:val="auto"/>
          <w:kern w:val="0"/>
          <w:sz w:val="21"/>
          <w:szCs w:val="21"/>
          <w:highlight w:val="none"/>
        </w:rPr>
        <w:t>9.特别说明：</w:t>
      </w:r>
    </w:p>
    <w:p w14:paraId="17118F4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9.1供应商参加磋商所使用的资格、信誉、荣誉、业绩与企业认证必须为本法人所拥有。  </w:t>
      </w:r>
    </w:p>
    <w:p w14:paraId="115316B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9.2供应商代表只能接受一个供应商的委托参加磋商。</w:t>
      </w:r>
    </w:p>
    <w:p w14:paraId="435468F9">
      <w:pPr>
        <w:pStyle w:val="61"/>
        <w:keepNext w:val="0"/>
        <w:keepLines w:val="0"/>
        <w:pageBreakBefore w:val="0"/>
        <w:shd w:val="clear" w:color="auto" w:fill="FFFFFF"/>
        <w:kinsoku/>
        <w:wordWrap/>
        <w:overflowPunct/>
        <w:topLinePunct w:val="0"/>
        <w:autoSpaceDE/>
        <w:autoSpaceDN/>
        <w:bidi w:val="0"/>
        <w:adjustRightInd/>
        <w:snapToGrid w:val="0"/>
        <w:spacing w:line="360" w:lineRule="auto"/>
        <w:ind w:firstLine="420" w:firstLineChars="200"/>
        <w:textAlignment w:val="auto"/>
        <w:rPr>
          <w:color w:val="auto"/>
          <w:sz w:val="21"/>
          <w:szCs w:val="21"/>
          <w:highlight w:val="none"/>
        </w:rPr>
      </w:pPr>
      <w:r>
        <w:rPr>
          <w:rFonts w:hint="eastAsia"/>
          <w:color w:val="auto"/>
          <w:sz w:val="21"/>
          <w:szCs w:val="21"/>
          <w:highlight w:val="none"/>
        </w:rPr>
        <w:t>9.3 《政府采购法》第二十二条第五款“参加政府采购活动前三年内，在经营活动中没有重大违法记录”，“重大违法记录”是指</w:t>
      </w:r>
      <w:r>
        <w:rPr>
          <w:rFonts w:hint="eastAsia"/>
          <w:color w:val="auto"/>
          <w:sz w:val="21"/>
          <w:szCs w:val="21"/>
          <w:highlight w:val="none"/>
          <w:shd w:val="clear" w:color="auto" w:fill="FFFFFF"/>
        </w:rPr>
        <w:t>供应商因违法经营受到刑事处罚或者责令停产停业、吊销许可证或者执照、较大数额罚款等行政处罚。</w:t>
      </w:r>
    </w:p>
    <w:p w14:paraId="119E6A0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ascii="宋体" w:hAnsi="宋体" w:cs="宋体"/>
          <w:b/>
          <w:bCs/>
          <w:color w:val="auto"/>
          <w:kern w:val="0"/>
          <w:sz w:val="21"/>
          <w:szCs w:val="21"/>
          <w:highlight w:val="none"/>
        </w:rPr>
      </w:pPr>
      <w:r>
        <w:rPr>
          <w:rFonts w:hint="eastAsia" w:ascii="宋体" w:hAnsi="宋体" w:cs="宋体"/>
          <w:color w:val="auto"/>
          <w:kern w:val="0"/>
          <w:sz w:val="21"/>
          <w:szCs w:val="21"/>
          <w:highlight w:val="none"/>
        </w:rPr>
        <w:t>9.4 供应商在磋商活动中提供虚假材料或从事其他违法活动的,其响应无效，由相关部门查处。</w:t>
      </w:r>
    </w:p>
    <w:p w14:paraId="13D6A241">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10.质疑和投诉</w:t>
      </w:r>
    </w:p>
    <w:p w14:paraId="0C969BA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10.1供应商认为磋商文件使自己的权益受到损害的，可以在知道或者应知其权益受到损害之日起七个工作日内向采购人或者采购代理机构提出质疑；供应商对磋商过程和成交结果使自己的合法权益受到损害的，应当在知道或者应知其权益受到损害之日起7个工作日内提出质疑,逾期不再受理，供应商在法定质疑期内应一次性提出针对同一采购环节的质疑。供应商对采购人或采购代理机构的质疑答复不满意或采购人或采购代理机构未在规定时间内作出答复的，可以在答复期满后15个工作日内向同级财政部门投诉。</w:t>
      </w:r>
    </w:p>
    <w:p w14:paraId="7BE5B3C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10.2质疑、投诉应当采用书面形式，质疑书、投诉书均应明确阐述磋商文件、磋商过程和成交结果中使自己合法权益受到损害的实质性内容，提供相关事实、依据和证据及其来源或线索，便于有关单位调查、答复和处理。</w:t>
      </w:r>
    </w:p>
    <w:p w14:paraId="7BEEBE6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11.</w:t>
      </w:r>
      <w:r>
        <w:rPr>
          <w:color w:val="auto"/>
          <w:kern w:val="0"/>
          <w:sz w:val="21"/>
          <w:szCs w:val="21"/>
          <w:highlight w:val="none"/>
        </w:rPr>
        <w:t xml:space="preserve"> </w:t>
      </w:r>
      <w:r>
        <w:rPr>
          <w:rFonts w:hint="eastAsia" w:ascii="宋体" w:hAnsi="宋体" w:cs="宋体"/>
          <w:b/>
          <w:bCs/>
          <w:color w:val="auto"/>
          <w:kern w:val="0"/>
          <w:sz w:val="21"/>
          <w:szCs w:val="21"/>
          <w:highlight w:val="none"/>
        </w:rPr>
        <w:t>供应商的风险</w:t>
      </w:r>
    </w:p>
    <w:p w14:paraId="3C84717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8"/>
          <w:szCs w:val="28"/>
          <w:highlight w:val="none"/>
        </w:rPr>
      </w:pPr>
      <w:r>
        <w:rPr>
          <w:rFonts w:hint="eastAsia" w:ascii="宋体" w:hAnsi="宋体"/>
          <w:color w:val="auto"/>
          <w:kern w:val="0"/>
          <w:sz w:val="21"/>
          <w:szCs w:val="21"/>
          <w:highlight w:val="none"/>
        </w:rPr>
        <w:t>供应商没有按照竞争性磋商文件要求提供全部资料，或者供应商没有对磋商文件在各方面都作出实质性响应是供应商的风险，并可能导致其响应被拒绝。</w:t>
      </w:r>
    </w:p>
    <w:p w14:paraId="51123630">
      <w:pPr>
        <w:keepNext w:val="0"/>
        <w:keepLines w:val="0"/>
        <w:pageBreakBefore w:val="0"/>
        <w:widowControl/>
        <w:shd w:val="clear" w:color="auto" w:fill="FFFFFF"/>
        <w:kinsoku/>
        <w:wordWrap/>
        <w:overflowPunct/>
        <w:topLinePunct w:val="0"/>
        <w:autoSpaceDE/>
        <w:autoSpaceDN/>
        <w:bidi w:val="0"/>
        <w:adjustRightInd/>
        <w:snapToGrid w:val="0"/>
        <w:spacing w:after="157" w:afterLines="50" w:line="360" w:lineRule="auto"/>
        <w:ind w:firstLine="2551"/>
        <w:jc w:val="left"/>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宋体" w:hAnsi="宋体" w:cs="宋体"/>
          <w:b/>
          <w:bCs/>
          <w:color w:val="auto"/>
          <w:kern w:val="0"/>
          <w:sz w:val="32"/>
          <w:szCs w:val="32"/>
          <w:highlight w:val="none"/>
        </w:rPr>
        <w:t xml:space="preserve">  </w:t>
      </w:r>
      <w:r>
        <w:rPr>
          <w:rFonts w:hint="eastAsia" w:ascii="黑体" w:hAnsi="宋体" w:eastAsia="黑体" w:cs="宋体"/>
          <w:b/>
          <w:bCs/>
          <w:color w:val="auto"/>
          <w:kern w:val="0"/>
          <w:sz w:val="32"/>
          <w:szCs w:val="32"/>
          <w:highlight w:val="none"/>
        </w:rPr>
        <w:t xml:space="preserve"> 竞争性磋商文件</w:t>
      </w:r>
    </w:p>
    <w:p w14:paraId="7774352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12.竞争性磋商文件的构成。本竞争性磋商文件由以下部分组成：</w:t>
      </w:r>
    </w:p>
    <w:p w14:paraId="11205F8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11"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 竞争性磋商公告</w:t>
      </w:r>
    </w:p>
    <w:p w14:paraId="65A688D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11"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 采购需求</w:t>
      </w:r>
    </w:p>
    <w:p w14:paraId="3BBF4243">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11"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 供应商须知</w:t>
      </w:r>
    </w:p>
    <w:p w14:paraId="10AB557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11"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  合同主要条款</w:t>
      </w:r>
    </w:p>
    <w:p w14:paraId="39BE1D5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11"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 响应文件格式</w:t>
      </w:r>
    </w:p>
    <w:p w14:paraId="356E1B6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13"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13.竞争性磋商文件的澄清与修改</w:t>
      </w:r>
    </w:p>
    <w:p w14:paraId="0E582FD2">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 采购代理机构对已发出的竞争性磋商文件进行必要澄清、修改或补充的，应当在竞争性磋商文件要求提交响应文件截止时间5日前（如至原定截止时间不足5日的，则需延长磋商截止时间，磋商文件获取时间等可以相应延长），在河南省政府采购网、驻马店市公共资源交易中心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"http://zhumadian.hngp.gov.cn/prx/000/http/www.sxztb.gov.cn/"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rPr>
        <w:t>等相关媒体上发布更正公告或变更公告。竞争性磋商文件公示期间对竞争性磋商文件进行的澄清、修改或补充不受上述限制。</w:t>
      </w:r>
    </w:p>
    <w:p w14:paraId="2E2EFF5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竞争性磋商文件澄清、修改或补充的内容为竞争性磋商文件的组成部分。</w:t>
      </w:r>
    </w:p>
    <w:p w14:paraId="27F8F422">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 竞争性磋商文件的澄清、修改或补充都应通过本代理机构以法定形式发布。采购人未通过本代理机构对竞争性磋商文件进行的澄清、修改或补充无效，磋商时不予认可。</w:t>
      </w:r>
    </w:p>
    <w:p w14:paraId="6CF9CFB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ascii="宋体" w:hAnsi="宋体" w:cs="宋体"/>
          <w:color w:val="auto"/>
          <w:kern w:val="0"/>
          <w:sz w:val="24"/>
          <w:highlight w:val="none"/>
        </w:rPr>
      </w:pPr>
      <w:r>
        <w:rPr>
          <w:rFonts w:hint="eastAsia" w:ascii="宋体" w:hAnsi="宋体" w:eastAsia="宋体" w:cs="宋体"/>
          <w:color w:val="auto"/>
          <w:kern w:val="0"/>
          <w:sz w:val="21"/>
          <w:szCs w:val="21"/>
          <w:highlight w:val="none"/>
        </w:rPr>
        <w:t>13.4 采购代理机构可以视采购具体情况延长递交响应文件截止时间和开始磋商时间，但至少应当在竞争性磋商文件要求提交响应文件的截止时间3个工作日前，将变更时间在河南省政府采购网、驻马店市公共资源交易中心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"http://zhumadian.hngp.gov.cn/prx/000/http/www.sxztb.gov.cn/"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rPr>
        <w:t>等相关媒体上发布更正公告或变更公告。</w:t>
      </w:r>
    </w:p>
    <w:p w14:paraId="7F13802E">
      <w:pPr>
        <w:widowControl/>
        <w:shd w:val="clear" w:color="auto" w:fill="FFFFFF"/>
        <w:spacing w:line="360" w:lineRule="auto"/>
        <w:ind w:firstLine="200"/>
        <w:jc w:val="center"/>
        <w:rPr>
          <w:rFonts w:ascii="宋体" w:hAnsi="宋体" w:cs="宋体"/>
          <w:color w:val="auto"/>
          <w:kern w:val="0"/>
          <w:sz w:val="28"/>
          <w:szCs w:val="28"/>
          <w:highlight w:val="none"/>
        </w:rPr>
      </w:pPr>
      <w:r>
        <w:rPr>
          <w:rFonts w:hint="eastAsia" w:ascii="黑体" w:hAnsi="宋体" w:eastAsia="黑体" w:cs="宋体"/>
          <w:b/>
          <w:bCs/>
          <w:color w:val="auto"/>
          <w:kern w:val="0"/>
          <w:sz w:val="32"/>
          <w:szCs w:val="32"/>
          <w:highlight w:val="none"/>
        </w:rPr>
        <w:t>三   响应文件的编制</w:t>
      </w:r>
    </w:p>
    <w:p w14:paraId="3C063851">
      <w:pPr>
        <w:keepNext w:val="0"/>
        <w:keepLines w:val="0"/>
        <w:pageBreakBefore w:val="0"/>
        <w:widowControl/>
        <w:shd w:val="clear" w:color="auto" w:fill="FFFFFF"/>
        <w:kinsoku/>
        <w:overflowPunct/>
        <w:topLinePunct w:val="0"/>
        <w:autoSpaceDE/>
        <w:autoSpaceDN/>
        <w:bidi w:val="0"/>
        <w:adjustRightInd/>
        <w:snapToGrid w:val="0"/>
        <w:spacing w:line="360" w:lineRule="auto"/>
        <w:ind w:firstLine="482"/>
        <w:jc w:val="left"/>
        <w:textAlignment w:val="auto"/>
        <w:rPr>
          <w:color w:val="auto"/>
          <w:kern w:val="0"/>
          <w:sz w:val="21"/>
          <w:szCs w:val="21"/>
          <w:highlight w:val="none"/>
        </w:rPr>
      </w:pPr>
      <w:r>
        <w:rPr>
          <w:rFonts w:hint="eastAsia" w:ascii="宋体" w:hAnsi="宋体" w:cs="宋体"/>
          <w:b/>
          <w:bCs/>
          <w:color w:val="auto"/>
          <w:kern w:val="0"/>
          <w:sz w:val="21"/>
          <w:szCs w:val="21"/>
          <w:highlight w:val="none"/>
        </w:rPr>
        <w:t>14.要求</w:t>
      </w:r>
    </w:p>
    <w:p w14:paraId="0EE0D385">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14.1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性文件应对竞争性磋商文件的要求作出实质性响应（包括供应商资格要求、服务</w:t>
      </w:r>
      <w:r>
        <w:rPr>
          <w:rFonts w:hint="eastAsia" w:hAnsi="宋体" w:cs="宋体"/>
          <w:bCs/>
          <w:color w:val="auto"/>
          <w:kern w:val="0"/>
          <w:sz w:val="21"/>
          <w:szCs w:val="21"/>
          <w:highlight w:val="none"/>
        </w:rPr>
        <w:t>技术需求</w:t>
      </w:r>
      <w:r>
        <w:rPr>
          <w:rFonts w:hint="eastAsia" w:ascii="宋体" w:hAnsi="宋体" w:cs="宋体"/>
          <w:color w:val="auto"/>
          <w:kern w:val="0"/>
          <w:sz w:val="21"/>
          <w:szCs w:val="21"/>
          <w:highlight w:val="none"/>
        </w:rPr>
        <w:t>、商务要求和响应文件中对响应的要求），供应商对所提供的全部资料的合法性、真实性负责。</w:t>
      </w:r>
    </w:p>
    <w:p w14:paraId="07597F60">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rFonts w:ascii="宋体" w:hAnsi="宋体" w:cs="宋体"/>
          <w:color w:val="auto"/>
          <w:kern w:val="0"/>
          <w:sz w:val="21"/>
          <w:szCs w:val="21"/>
          <w:highlight w:val="none"/>
        </w:rPr>
      </w:pPr>
      <w:r>
        <w:rPr>
          <w:rFonts w:hint="eastAsia" w:ascii="宋体" w:hAnsi="宋体"/>
          <w:color w:val="auto"/>
          <w:kern w:val="0"/>
          <w:sz w:val="21"/>
          <w:szCs w:val="21"/>
          <w:highlight w:val="none"/>
        </w:rPr>
        <w:t>14.2</w:t>
      </w:r>
      <w:r>
        <w:rPr>
          <w:color w:val="auto"/>
          <w:kern w:val="0"/>
          <w:sz w:val="21"/>
          <w:szCs w:val="21"/>
          <w:highlight w:val="none"/>
        </w:rPr>
        <w:t xml:space="preserve"> </w:t>
      </w:r>
      <w:r>
        <w:rPr>
          <w:rFonts w:hint="eastAsia" w:ascii="宋体" w:hAnsi="宋体" w:cs="宋体"/>
          <w:color w:val="auto"/>
          <w:kern w:val="0"/>
          <w:sz w:val="21"/>
          <w:szCs w:val="21"/>
          <w:highlight w:val="none"/>
        </w:rPr>
        <w:t>供应商应完整签署响应文件格式附件中《竞争性磋商响应书》和《抵制商业贿赂承诺》，不得随意增减或修改内容。否则视为对竞争性磋商文件未作出实质性响应。</w:t>
      </w:r>
    </w:p>
    <w:p w14:paraId="2B65FA5F">
      <w:pPr>
        <w:keepNext w:val="0"/>
        <w:keepLines w:val="0"/>
        <w:pageBreakBefore w:val="0"/>
        <w:widowControl/>
        <w:shd w:val="clear" w:color="auto" w:fill="FFFFFF"/>
        <w:kinsoku/>
        <w:overflowPunct/>
        <w:topLinePunct w:val="0"/>
        <w:autoSpaceDE/>
        <w:autoSpaceDN/>
        <w:bidi w:val="0"/>
        <w:adjustRightInd/>
        <w:snapToGrid w:val="0"/>
        <w:spacing w:line="360" w:lineRule="auto"/>
        <w:ind w:firstLine="482"/>
        <w:jc w:val="left"/>
        <w:textAlignment w:val="auto"/>
        <w:rPr>
          <w:color w:val="auto"/>
          <w:kern w:val="0"/>
          <w:sz w:val="21"/>
          <w:szCs w:val="21"/>
          <w:highlight w:val="none"/>
        </w:rPr>
      </w:pPr>
      <w:r>
        <w:rPr>
          <w:rFonts w:hint="eastAsia" w:ascii="宋体" w:hAnsi="宋体" w:cs="宋体"/>
          <w:b/>
          <w:bCs/>
          <w:color w:val="auto"/>
          <w:kern w:val="0"/>
          <w:sz w:val="21"/>
          <w:szCs w:val="21"/>
          <w:highlight w:val="none"/>
        </w:rPr>
        <w:t>15.响应文件的语言和计量单位</w:t>
      </w:r>
    </w:p>
    <w:p w14:paraId="18FF8BD9">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15.1响应文件以及供应商与采购人、代理机构就有关磋商事宜的所有来往函电均应使用简体中文书写。</w:t>
      </w:r>
    </w:p>
    <w:p w14:paraId="643D30CF">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15.2 关于计量单位，竞争性磋商文件已有明确规定的，使用竞争性磋商文件规定的计量单位；竞争性磋商文件没有规定的，应采用中华人民共和国法定计量单位。否则视为对竞争性磋商文件未作出实质性响应。</w:t>
      </w:r>
    </w:p>
    <w:p w14:paraId="6A3C6AC9">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 xml:space="preserve">15.3 </w:t>
      </w:r>
      <w:r>
        <w:rPr>
          <w:rFonts w:hint="eastAsia" w:ascii="宋体" w:hAnsi="宋体" w:cs="宋体"/>
          <w:color w:val="auto"/>
          <w:spacing w:val="10"/>
          <w:kern w:val="0"/>
          <w:sz w:val="21"/>
          <w:szCs w:val="21"/>
          <w:highlight w:val="none"/>
        </w:rPr>
        <w:t>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B433B70">
      <w:pPr>
        <w:keepNext w:val="0"/>
        <w:keepLines w:val="0"/>
        <w:pageBreakBefore w:val="0"/>
        <w:widowControl/>
        <w:shd w:val="clear" w:color="auto" w:fill="FFFFFF"/>
        <w:kinsoku/>
        <w:overflowPunct/>
        <w:topLinePunct w:val="0"/>
        <w:autoSpaceDE/>
        <w:autoSpaceDN/>
        <w:bidi w:val="0"/>
        <w:adjustRightInd/>
        <w:snapToGrid w:val="0"/>
        <w:spacing w:line="360" w:lineRule="auto"/>
        <w:ind w:firstLine="482"/>
        <w:jc w:val="left"/>
        <w:textAlignment w:val="auto"/>
        <w:rPr>
          <w:color w:val="auto"/>
          <w:kern w:val="0"/>
          <w:sz w:val="21"/>
          <w:szCs w:val="21"/>
          <w:highlight w:val="none"/>
        </w:rPr>
      </w:pPr>
      <w:r>
        <w:rPr>
          <w:rFonts w:hint="eastAsia" w:ascii="宋体" w:hAnsi="宋体" w:cs="宋体"/>
          <w:b/>
          <w:bCs/>
          <w:color w:val="auto"/>
          <w:kern w:val="0"/>
          <w:sz w:val="21"/>
          <w:szCs w:val="21"/>
          <w:highlight w:val="none"/>
        </w:rPr>
        <w:t>16.响应文件的组成</w:t>
      </w:r>
      <w:r>
        <w:rPr>
          <w:rFonts w:hint="eastAsia" w:ascii="宋体" w:hAnsi="宋体" w:cs="宋体"/>
          <w:color w:val="auto"/>
          <w:kern w:val="0"/>
          <w:sz w:val="21"/>
          <w:szCs w:val="21"/>
          <w:highlight w:val="none"/>
        </w:rPr>
        <w:t>。</w:t>
      </w:r>
      <w:r>
        <w:rPr>
          <w:rFonts w:hint="eastAsia" w:ascii="宋体" w:hAnsi="宋体" w:cs="宋体"/>
          <w:b/>
          <w:bCs/>
          <w:color w:val="auto"/>
          <w:kern w:val="0"/>
          <w:sz w:val="21"/>
          <w:szCs w:val="21"/>
          <w:highlight w:val="none"/>
        </w:rPr>
        <w:t>响应文件应包括下列部分：</w:t>
      </w:r>
    </w:p>
    <w:p w14:paraId="7A6F457A">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16.1  竞争性磋商响应书</w:t>
      </w:r>
    </w:p>
    <w:p w14:paraId="6D608F0A">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16.2 初次报价一览表</w:t>
      </w:r>
    </w:p>
    <w:p w14:paraId="646BA337">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16.3 法定代表人身份证明（格式）</w:t>
      </w:r>
    </w:p>
    <w:p w14:paraId="45B530EE">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4</w:t>
      </w:r>
      <w:r>
        <w:rPr>
          <w:rFonts w:hint="eastAsia" w:ascii="宋体" w:hAnsi="宋体"/>
          <w:color w:val="auto"/>
          <w:kern w:val="0"/>
          <w:sz w:val="21"/>
          <w:szCs w:val="21"/>
          <w:highlight w:val="none"/>
        </w:rPr>
        <w:t xml:space="preserve">  法定代表人授权书（格式）</w:t>
      </w:r>
    </w:p>
    <w:p w14:paraId="353EC35F">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rPr>
        <w:t xml:space="preserve">  技术响应表</w:t>
      </w:r>
    </w:p>
    <w:p w14:paraId="7A51F2C7">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6</w:t>
      </w:r>
      <w:r>
        <w:rPr>
          <w:rFonts w:hint="eastAsia" w:ascii="宋体" w:hAnsi="宋体"/>
          <w:color w:val="auto"/>
          <w:kern w:val="0"/>
          <w:sz w:val="21"/>
          <w:szCs w:val="21"/>
          <w:highlight w:val="none"/>
        </w:rPr>
        <w:t xml:space="preserve">  商务响应表</w:t>
      </w:r>
    </w:p>
    <w:p w14:paraId="0DB6B0A0">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7</w:t>
      </w:r>
      <w:r>
        <w:rPr>
          <w:rFonts w:hint="eastAsia" w:ascii="宋体" w:hAnsi="宋体"/>
          <w:color w:val="auto"/>
          <w:kern w:val="0"/>
          <w:sz w:val="21"/>
          <w:szCs w:val="21"/>
          <w:highlight w:val="none"/>
        </w:rPr>
        <w:t xml:space="preserve">  证明文件</w:t>
      </w:r>
    </w:p>
    <w:p w14:paraId="562EB057">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rFonts w:hint="default" w:ascii="宋体" w:hAnsi="宋体"/>
          <w:color w:val="auto"/>
          <w:kern w:val="0"/>
          <w:sz w:val="21"/>
          <w:szCs w:val="21"/>
          <w:highlight w:val="none"/>
          <w:lang w:val="en-US"/>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8</w:t>
      </w:r>
      <w:r>
        <w:rPr>
          <w:rFonts w:hint="eastAsia" w:ascii="宋体" w:hAnsi="宋体"/>
          <w:color w:val="auto"/>
          <w:kern w:val="0"/>
          <w:sz w:val="21"/>
          <w:szCs w:val="21"/>
          <w:highlight w:val="none"/>
        </w:rPr>
        <w:t xml:space="preserve">  </w:t>
      </w:r>
      <w:r>
        <w:rPr>
          <w:rFonts w:hint="eastAsia" w:ascii="宋体" w:hAnsi="宋体"/>
          <w:color w:val="auto"/>
          <w:kern w:val="0"/>
          <w:sz w:val="21"/>
          <w:szCs w:val="21"/>
          <w:highlight w:val="none"/>
          <w:lang w:val="en-US" w:eastAsia="zh-CN"/>
        </w:rPr>
        <w:t>供货、安装服务方案</w:t>
      </w:r>
    </w:p>
    <w:p w14:paraId="7D140207">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9</w:t>
      </w:r>
      <w:r>
        <w:rPr>
          <w:rFonts w:hint="eastAsia" w:ascii="宋体" w:hAnsi="宋体"/>
          <w:color w:val="auto"/>
          <w:kern w:val="0"/>
          <w:sz w:val="21"/>
          <w:szCs w:val="21"/>
          <w:highlight w:val="none"/>
        </w:rPr>
        <w:t xml:space="preserve"> </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抵制商业贿赂承诺（格式）</w:t>
      </w:r>
    </w:p>
    <w:p w14:paraId="54944040">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10</w:t>
      </w:r>
      <w:r>
        <w:rPr>
          <w:rFonts w:hint="eastAsia" w:ascii="宋体" w:hAnsi="宋体"/>
          <w:color w:val="auto"/>
          <w:kern w:val="0"/>
          <w:sz w:val="21"/>
          <w:szCs w:val="21"/>
          <w:highlight w:val="none"/>
        </w:rPr>
        <w:t xml:space="preserve"> </w:t>
      </w:r>
      <w:r>
        <w:rPr>
          <w:rFonts w:hint="eastAsia" w:ascii="宋体" w:hAnsi="宋体"/>
          <w:color w:val="auto"/>
          <w:kern w:val="0"/>
          <w:sz w:val="21"/>
          <w:szCs w:val="21"/>
          <w:highlight w:val="none"/>
          <w:lang w:val="en-US" w:eastAsia="zh-CN"/>
        </w:rPr>
        <w:t>中小微企业承诺函</w:t>
      </w:r>
    </w:p>
    <w:p w14:paraId="5EC84C08">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color w:val="auto"/>
          <w:kern w:val="0"/>
          <w:sz w:val="21"/>
          <w:szCs w:val="21"/>
          <w:highlight w:val="none"/>
        </w:rPr>
      </w:pPr>
      <w:r>
        <w:rPr>
          <w:rFonts w:hint="eastAsia" w:ascii="宋体" w:hAnsi="宋体"/>
          <w:color w:val="auto"/>
          <w:kern w:val="0"/>
          <w:sz w:val="21"/>
          <w:szCs w:val="21"/>
          <w:highlight w:val="none"/>
        </w:rPr>
        <w:t>16.</w:t>
      </w:r>
      <w:r>
        <w:rPr>
          <w:rFonts w:hint="eastAsia" w:ascii="宋体" w:hAnsi="宋体"/>
          <w:color w:val="auto"/>
          <w:kern w:val="0"/>
          <w:sz w:val="21"/>
          <w:szCs w:val="21"/>
          <w:highlight w:val="none"/>
          <w:lang w:val="en-US" w:eastAsia="zh-CN"/>
        </w:rPr>
        <w:t>11</w:t>
      </w:r>
      <w:r>
        <w:rPr>
          <w:rFonts w:hint="eastAsia" w:ascii="宋体" w:hAnsi="宋体"/>
          <w:color w:val="auto"/>
          <w:kern w:val="0"/>
          <w:sz w:val="21"/>
          <w:szCs w:val="21"/>
          <w:highlight w:val="none"/>
        </w:rPr>
        <w:t xml:space="preserve"> 其他需要提供的证明材料</w:t>
      </w:r>
    </w:p>
    <w:p w14:paraId="59DD4DCD">
      <w:pPr>
        <w:keepNext w:val="0"/>
        <w:keepLines w:val="0"/>
        <w:pageBreakBefore w:val="0"/>
        <w:widowControl/>
        <w:shd w:val="clear" w:color="auto" w:fill="FFFFFF"/>
        <w:kinsoku/>
        <w:overflowPunct/>
        <w:topLinePunct w:val="0"/>
        <w:autoSpaceDE/>
        <w:autoSpaceDN/>
        <w:bidi w:val="0"/>
        <w:adjustRightInd/>
        <w:snapToGrid w:val="0"/>
        <w:spacing w:line="360" w:lineRule="auto"/>
        <w:ind w:firstLine="482"/>
        <w:jc w:val="left"/>
        <w:textAlignment w:val="auto"/>
        <w:rPr>
          <w:color w:val="auto"/>
          <w:kern w:val="0"/>
          <w:sz w:val="21"/>
          <w:szCs w:val="21"/>
          <w:highlight w:val="none"/>
        </w:rPr>
      </w:pPr>
      <w:r>
        <w:rPr>
          <w:rFonts w:hint="eastAsia" w:ascii="宋体" w:hAnsi="宋体" w:cs="宋体"/>
          <w:b/>
          <w:bCs/>
          <w:color w:val="auto"/>
          <w:kern w:val="0"/>
          <w:sz w:val="21"/>
          <w:szCs w:val="21"/>
          <w:highlight w:val="none"/>
        </w:rPr>
        <w:t>17.响应文件有效期</w:t>
      </w:r>
    </w:p>
    <w:p w14:paraId="5636A18D">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17.1 响应文件从竞争性磋商公告所规定的递交响应性文件截止期之后开始生效，在供应商须知前附表第16项所规定的期限内保持有效。有效期不足将导致其响应文件被拒绝。成交供应商的响应文件有效期至合同完全履行止。</w:t>
      </w:r>
    </w:p>
    <w:p w14:paraId="2D9015EC">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17.2 特殊情况下采购代理机构可于响应文件有效期满之前书面要求供应商同意延长有效期，供应商应在采购代理机构规定的期限内以书面形式予以答复。供应商答复不明确或者逾期未答复的，均视为拒绝上述要求。</w:t>
      </w:r>
    </w:p>
    <w:p w14:paraId="000AB8EA">
      <w:pPr>
        <w:keepNext w:val="0"/>
        <w:keepLines w:val="0"/>
        <w:pageBreakBefore w:val="0"/>
        <w:widowControl/>
        <w:shd w:val="clear" w:color="auto" w:fill="FFFFFF"/>
        <w:kinsoku/>
        <w:overflowPunct/>
        <w:topLinePunct w:val="0"/>
        <w:autoSpaceDE/>
        <w:autoSpaceDN/>
        <w:bidi w:val="0"/>
        <w:adjustRightInd/>
        <w:snapToGrid w:val="0"/>
        <w:spacing w:line="360" w:lineRule="auto"/>
        <w:ind w:firstLine="482"/>
        <w:jc w:val="left"/>
        <w:textAlignment w:val="auto"/>
        <w:rPr>
          <w:rFonts w:hint="eastAsia" w:eastAsia="宋体"/>
          <w:color w:val="auto"/>
          <w:kern w:val="0"/>
          <w:sz w:val="21"/>
          <w:szCs w:val="21"/>
          <w:highlight w:val="none"/>
          <w:lang w:eastAsia="zh-CN"/>
        </w:rPr>
      </w:pPr>
      <w:r>
        <w:rPr>
          <w:rFonts w:hint="eastAsia" w:ascii="宋体" w:hAnsi="宋体" w:cs="宋体"/>
          <w:b/>
          <w:bCs/>
          <w:color w:val="auto"/>
          <w:kern w:val="0"/>
          <w:sz w:val="21"/>
          <w:szCs w:val="21"/>
          <w:highlight w:val="none"/>
        </w:rPr>
        <w:t>18.磋商报价</w:t>
      </w:r>
    </w:p>
    <w:p w14:paraId="6FD6D323">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rFonts w:ascii="宋体" w:hAnsi="宋体" w:cs="宋体"/>
          <w:color w:val="auto"/>
          <w:kern w:val="0"/>
          <w:sz w:val="21"/>
          <w:szCs w:val="21"/>
          <w:highlight w:val="none"/>
        </w:rPr>
      </w:pPr>
      <w:r>
        <w:rPr>
          <w:rFonts w:hint="eastAsia" w:ascii="宋体" w:hAnsi="宋体"/>
          <w:color w:val="auto"/>
          <w:kern w:val="0"/>
          <w:sz w:val="21"/>
          <w:szCs w:val="21"/>
          <w:highlight w:val="none"/>
        </w:rPr>
        <w:t>18.1所有磋商报价均以人民币元为计算单位。供应商的磋商报价为完成本项目</w:t>
      </w:r>
      <w:r>
        <w:rPr>
          <w:rFonts w:hint="eastAsia" w:ascii="宋体" w:hAnsi="宋体"/>
          <w:color w:val="auto"/>
          <w:kern w:val="0"/>
          <w:sz w:val="21"/>
          <w:szCs w:val="21"/>
          <w:highlight w:val="none"/>
          <w:lang w:val="en-US" w:eastAsia="zh-CN"/>
        </w:rPr>
        <w:t>含包装、运输、装卸、安装及税费等所有费用</w:t>
      </w:r>
      <w:r>
        <w:rPr>
          <w:rFonts w:hint="eastAsia" w:ascii="宋体" w:hAnsi="宋体"/>
          <w:color w:val="auto"/>
          <w:kern w:val="0"/>
          <w:sz w:val="21"/>
          <w:szCs w:val="21"/>
          <w:highlight w:val="none"/>
        </w:rPr>
        <w:t>总和</w:t>
      </w:r>
      <w:r>
        <w:rPr>
          <w:rFonts w:hint="eastAsia" w:ascii="宋体" w:hAnsi="宋体" w:cs="宋体"/>
          <w:color w:val="auto"/>
          <w:kern w:val="0"/>
          <w:sz w:val="21"/>
          <w:szCs w:val="21"/>
          <w:highlight w:val="none"/>
        </w:rPr>
        <w:t>。</w:t>
      </w:r>
    </w:p>
    <w:p w14:paraId="01AB9D99">
      <w:pPr>
        <w:keepNext w:val="0"/>
        <w:keepLines w:val="0"/>
        <w:pageBreakBefore w:val="0"/>
        <w:widowControl/>
        <w:kinsoku/>
        <w:overflowPunct/>
        <w:topLinePunct w:val="0"/>
        <w:autoSpaceDE/>
        <w:autoSpaceDN/>
        <w:bidi w:val="0"/>
        <w:adjustRightInd/>
        <w:snapToGrid w:val="0"/>
        <w:spacing w:line="360" w:lineRule="auto"/>
        <w:ind w:firstLine="420" w:firstLineChars="200"/>
        <w:jc w:val="left"/>
        <w:textAlignment w:val="auto"/>
        <w:rPr>
          <w:rFonts w:ascii="宋体" w:hAnsi="宋体" w:cs="Lucida Sans Unicode"/>
          <w:color w:val="auto"/>
          <w:kern w:val="0"/>
          <w:sz w:val="21"/>
          <w:szCs w:val="21"/>
          <w:highlight w:val="none"/>
        </w:rPr>
      </w:pPr>
      <w:r>
        <w:rPr>
          <w:rFonts w:hint="eastAsia" w:ascii="宋体" w:hAnsi="宋体" w:cs="Lucida Sans Unicode"/>
          <w:color w:val="auto"/>
          <w:kern w:val="0"/>
          <w:sz w:val="21"/>
          <w:szCs w:val="21"/>
          <w:highlight w:val="none"/>
        </w:rPr>
        <w:t>18.2供应商要按初次报价一览表内容填写。</w:t>
      </w:r>
    </w:p>
    <w:p w14:paraId="77321FC6">
      <w:pPr>
        <w:keepNext w:val="0"/>
        <w:keepLines w:val="0"/>
        <w:pageBreakBefore w:val="0"/>
        <w:widowControl/>
        <w:shd w:val="clear" w:color="auto" w:fill="FFFFFF"/>
        <w:kinsoku/>
        <w:overflowPunct/>
        <w:topLinePunct w:val="0"/>
        <w:autoSpaceDE/>
        <w:autoSpaceDN/>
        <w:bidi w:val="0"/>
        <w:adjustRightInd/>
        <w:snapToGrid w:val="0"/>
        <w:spacing w:line="360" w:lineRule="auto"/>
        <w:ind w:firstLine="482"/>
        <w:textAlignment w:val="auto"/>
        <w:rPr>
          <w:color w:val="auto"/>
          <w:kern w:val="0"/>
          <w:sz w:val="21"/>
          <w:szCs w:val="21"/>
          <w:highlight w:val="none"/>
        </w:rPr>
      </w:pPr>
      <w:r>
        <w:rPr>
          <w:rFonts w:hint="eastAsia" w:ascii="宋体" w:hAnsi="宋体"/>
          <w:b/>
          <w:bCs/>
          <w:color w:val="auto"/>
          <w:kern w:val="0"/>
          <w:sz w:val="21"/>
          <w:szCs w:val="21"/>
          <w:highlight w:val="none"/>
        </w:rPr>
        <w:t>19.磋商保证金</w:t>
      </w:r>
    </w:p>
    <w:p w14:paraId="66E08963">
      <w:pPr>
        <w:keepNext w:val="0"/>
        <w:keepLines w:val="0"/>
        <w:pageBreakBefore w:val="0"/>
        <w:widowControl/>
        <w:shd w:val="clear" w:color="auto" w:fill="FFFFFF"/>
        <w:kinsoku/>
        <w:overflowPunct/>
        <w:topLinePunct w:val="0"/>
        <w:autoSpaceDE/>
        <w:autoSpaceDN/>
        <w:bidi w:val="0"/>
        <w:adjustRightInd/>
        <w:snapToGrid w:val="0"/>
        <w:spacing w:line="360" w:lineRule="auto"/>
        <w:ind w:firstLine="482"/>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本项目不收取磋商保证金</w:t>
      </w:r>
    </w:p>
    <w:p w14:paraId="3C60B729">
      <w:pPr>
        <w:keepNext w:val="0"/>
        <w:keepLines w:val="0"/>
        <w:pageBreakBefore w:val="0"/>
        <w:widowControl/>
        <w:shd w:val="clear" w:color="auto" w:fill="FFFFFF"/>
        <w:kinsoku/>
        <w:overflowPunct/>
        <w:topLinePunct w:val="0"/>
        <w:autoSpaceDE/>
        <w:autoSpaceDN/>
        <w:bidi w:val="0"/>
        <w:adjustRightInd/>
        <w:snapToGrid w:val="0"/>
        <w:spacing w:line="360" w:lineRule="auto"/>
        <w:ind w:firstLine="482"/>
        <w:jc w:val="left"/>
        <w:textAlignment w:val="auto"/>
        <w:rPr>
          <w:color w:val="auto"/>
          <w:kern w:val="0"/>
          <w:sz w:val="21"/>
          <w:szCs w:val="21"/>
          <w:highlight w:val="none"/>
        </w:rPr>
      </w:pPr>
      <w:r>
        <w:rPr>
          <w:rFonts w:hint="eastAsia" w:ascii="宋体" w:hAnsi="宋体" w:cs="宋体"/>
          <w:b/>
          <w:bCs/>
          <w:color w:val="auto"/>
          <w:kern w:val="0"/>
          <w:sz w:val="21"/>
          <w:szCs w:val="21"/>
          <w:highlight w:val="none"/>
        </w:rPr>
        <w:t>20.响应文件的式样和签署</w:t>
      </w:r>
    </w:p>
    <w:p w14:paraId="0D9E7CE4">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color w:val="auto"/>
          <w:kern w:val="0"/>
          <w:sz w:val="21"/>
          <w:szCs w:val="21"/>
          <w:highlight w:val="none"/>
        </w:rPr>
      </w:pPr>
      <w:r>
        <w:rPr>
          <w:rFonts w:hint="eastAsia" w:ascii="宋体" w:hAnsi="宋体"/>
          <w:color w:val="auto"/>
          <w:kern w:val="0"/>
          <w:sz w:val="21"/>
          <w:szCs w:val="21"/>
          <w:highlight w:val="none"/>
        </w:rPr>
        <w:t>20.1 供应商应按本竞争性磋商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94EA120">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20.2 加密的电子响应文件（.zmdtf格式）是根据“驻马店市公共资源交易中心网”下载的电子竞争性磋商文件，制作生成的加密版响应文件。</w:t>
      </w:r>
    </w:p>
    <w:p w14:paraId="3346623D">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20.3供应商应提交证明其拟供服务符合竞争性磋商文件要求的技术响应文件，该文件可以是文字资料、图纸和数据，并须提供服务主要技术性能的详细描述。</w:t>
      </w:r>
    </w:p>
    <w:p w14:paraId="51E1D0AF">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20.4 供应商在编制电子响应文件时，根据竞争性磋商文件的要求用法人CA密钥和企业CA密钥进行签章制作。生成电子响应文件时，只能用本单位的企业CA密钥。生成后的电子响应文件须按竞争性磋商文件的格式要求完成电子签字或盖章。</w:t>
      </w:r>
    </w:p>
    <w:p w14:paraId="694E1679">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20.5 不接受电报、电传和传真的响应文件。</w:t>
      </w:r>
    </w:p>
    <w:p w14:paraId="60031765">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磋商小组无法认定是否实质性响应竞争性磋商文件的,其响应文件将被作为无效响应文件。</w:t>
      </w:r>
    </w:p>
    <w:p w14:paraId="63EE412D">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20.7 电子响应文件制作流程。可参考驻马店市公共资源交易中心官方网站的下载中心板块的视频（</w:t>
      </w:r>
      <w:r>
        <w:rPr>
          <w:rFonts w:hint="eastAsia" w:ascii="宋体" w:hAnsi="宋体" w:cs="宋体"/>
          <w:color w:val="auto"/>
          <w:kern w:val="0"/>
          <w:sz w:val="21"/>
          <w:szCs w:val="21"/>
          <w:highlight w:val="none"/>
          <w:lang w:eastAsia="zh-CN"/>
        </w:rPr>
        <w:t>https://ggzy.zhumadian.gov.cn</w:t>
      </w:r>
      <w:r>
        <w:rPr>
          <w:rFonts w:ascii="宋体" w:hAnsi="宋体" w:cs="宋体"/>
          <w:color w:val="auto"/>
          <w:kern w:val="0"/>
          <w:sz w:val="21"/>
          <w:szCs w:val="21"/>
          <w:highlight w:val="none"/>
        </w:rPr>
        <w:t>/TPFront/InfoDetail/?InfoID=844e0ea7-2b6c-425d-99f6</w:t>
      </w:r>
    </w:p>
    <w:p w14:paraId="7024DE36">
      <w:pPr>
        <w:keepNext w:val="0"/>
        <w:keepLines w:val="0"/>
        <w:pageBreakBefore w:val="0"/>
        <w:widowControl/>
        <w:shd w:val="clear" w:color="auto" w:fill="FFFFFF"/>
        <w:kinsoku/>
        <w:overflowPunct/>
        <w:topLinePunct w:val="0"/>
        <w:autoSpaceDE/>
        <w:autoSpaceDN/>
        <w:bidi w:val="0"/>
        <w:adjustRightInd/>
        <w:snapToGrid w:val="0"/>
        <w:spacing w:line="360" w:lineRule="auto"/>
        <w:jc w:val="left"/>
        <w:textAlignment w:val="auto"/>
        <w:rPr>
          <w:color w:val="auto"/>
          <w:kern w:val="0"/>
          <w:sz w:val="28"/>
          <w:szCs w:val="28"/>
          <w:highlight w:val="none"/>
        </w:rPr>
      </w:pPr>
      <w:r>
        <w:rPr>
          <w:rFonts w:ascii="宋体" w:hAnsi="宋体" w:cs="宋体"/>
          <w:color w:val="auto"/>
          <w:kern w:val="0"/>
          <w:sz w:val="21"/>
          <w:szCs w:val="21"/>
          <w:highlight w:val="none"/>
        </w:rPr>
        <w:t>-91bd5b500e5e&amp;CategoryNum=026002</w:t>
      </w:r>
      <w:r>
        <w:rPr>
          <w:rFonts w:hint="eastAsia" w:ascii="宋体" w:hAnsi="宋体" w:cs="宋体"/>
          <w:color w:val="auto"/>
          <w:kern w:val="0"/>
          <w:sz w:val="21"/>
          <w:szCs w:val="21"/>
          <w:highlight w:val="none"/>
        </w:rPr>
        <w:t>）</w:t>
      </w:r>
    </w:p>
    <w:p w14:paraId="3F85E3B0">
      <w:pPr>
        <w:keepNext w:val="0"/>
        <w:keepLines w:val="0"/>
        <w:pageBreakBefore w:val="0"/>
        <w:widowControl/>
        <w:shd w:val="clear" w:color="auto" w:fill="FFFFFF"/>
        <w:kinsoku/>
        <w:wordWrap/>
        <w:overflowPunct/>
        <w:topLinePunct w:val="0"/>
        <w:autoSpaceDE/>
        <w:autoSpaceDN/>
        <w:bidi w:val="0"/>
        <w:adjustRightInd/>
        <w:snapToGrid w:val="0"/>
        <w:spacing w:after="157" w:afterLines="50" w:line="360" w:lineRule="auto"/>
        <w:ind w:firstLine="2551"/>
        <w:jc w:val="left"/>
        <w:textAlignment w:val="auto"/>
        <w:rPr>
          <w:color w:val="auto"/>
          <w:kern w:val="0"/>
          <w:sz w:val="28"/>
          <w:szCs w:val="28"/>
          <w:highlight w:val="none"/>
        </w:rPr>
      </w:pPr>
      <w:r>
        <w:rPr>
          <w:rFonts w:hint="eastAsia" w:ascii="黑体" w:hAnsi="宋体" w:eastAsia="黑体" w:cs="宋体"/>
          <w:b/>
          <w:bCs/>
          <w:color w:val="auto"/>
          <w:kern w:val="0"/>
          <w:sz w:val="32"/>
          <w:szCs w:val="32"/>
          <w:highlight w:val="none"/>
        </w:rPr>
        <w:t>四  响应文件的</w:t>
      </w:r>
      <w:r>
        <w:rPr>
          <w:rFonts w:hint="eastAsia" w:ascii="黑体" w:hAnsi="宋体" w:eastAsia="黑体" w:cs="宋体"/>
          <w:b/>
          <w:color w:val="auto"/>
          <w:kern w:val="0"/>
          <w:sz w:val="32"/>
          <w:szCs w:val="32"/>
          <w:highlight w:val="none"/>
        </w:rPr>
        <w:t>上传、提交</w:t>
      </w:r>
    </w:p>
    <w:p w14:paraId="36204149">
      <w:pPr>
        <w:keepNext w:val="0"/>
        <w:keepLines w:val="0"/>
        <w:pageBreakBefore w:val="0"/>
        <w:widowControl/>
        <w:shd w:val="clear" w:color="auto" w:fill="FFFFFF"/>
        <w:kinsoku/>
        <w:overflowPunct/>
        <w:topLinePunct w:val="0"/>
        <w:autoSpaceDE/>
        <w:autoSpaceDN/>
        <w:bidi w:val="0"/>
        <w:adjustRightInd/>
        <w:snapToGrid w:val="0"/>
        <w:spacing w:line="360" w:lineRule="auto"/>
        <w:ind w:firstLine="482"/>
        <w:textAlignment w:val="auto"/>
        <w:rPr>
          <w:color w:val="auto"/>
          <w:kern w:val="0"/>
          <w:sz w:val="21"/>
          <w:szCs w:val="21"/>
          <w:highlight w:val="none"/>
        </w:rPr>
      </w:pPr>
      <w:r>
        <w:rPr>
          <w:rFonts w:hint="eastAsia" w:ascii="宋体" w:hAnsi="宋体"/>
          <w:b/>
          <w:bCs/>
          <w:color w:val="auto"/>
          <w:kern w:val="0"/>
          <w:sz w:val="21"/>
          <w:szCs w:val="21"/>
          <w:highlight w:val="none"/>
        </w:rPr>
        <w:t>21.响应文件的加密、标记</w:t>
      </w:r>
    </w:p>
    <w:p w14:paraId="5CDC98A5">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21.1供应商应在提交响应文件截止时间前对上传的电子响应文件（.zmdtf格式）用本单位的企业 CA 密钥进行加密。</w:t>
      </w:r>
    </w:p>
    <w:p w14:paraId="4C5E7F0A">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21.2供应商因驻马店市公共资源交易平台投标系统出现问题无法上传电子响应文件时，请与江苏国泰新点软件有限公司联系，联系电话：0396-2613088。</w:t>
      </w:r>
    </w:p>
    <w:p w14:paraId="7CD8526A">
      <w:pPr>
        <w:keepNext w:val="0"/>
        <w:keepLines w:val="0"/>
        <w:pageBreakBefore w:val="0"/>
        <w:widowControl/>
        <w:kinsoku/>
        <w:wordWrap w:val="0"/>
        <w:overflowPunct/>
        <w:topLinePunct w:val="0"/>
        <w:autoSpaceDE/>
        <w:autoSpaceDN/>
        <w:bidi w:val="0"/>
        <w:adjustRightInd/>
        <w:snapToGrid w:val="0"/>
        <w:spacing w:line="360" w:lineRule="auto"/>
        <w:ind w:firstLine="422" w:firstLineChars="200"/>
        <w:jc w:val="left"/>
        <w:textAlignment w:val="auto"/>
        <w:rPr>
          <w:rFonts w:ascii="宋体" w:hAnsi="宋体"/>
          <w:b/>
          <w:bCs/>
          <w:color w:val="auto"/>
          <w:kern w:val="0"/>
          <w:sz w:val="21"/>
          <w:szCs w:val="21"/>
          <w:highlight w:val="none"/>
        </w:rPr>
      </w:pPr>
      <w:r>
        <w:rPr>
          <w:rFonts w:hint="eastAsia" w:ascii="宋体" w:hAnsi="宋体"/>
          <w:b/>
          <w:bCs/>
          <w:color w:val="auto"/>
          <w:kern w:val="0"/>
          <w:sz w:val="21"/>
          <w:szCs w:val="21"/>
          <w:highlight w:val="none"/>
        </w:rPr>
        <w:t>22.响应文件的上传、提交</w:t>
      </w:r>
    </w:p>
    <w:p w14:paraId="08A1CB1B">
      <w:pPr>
        <w:keepNext w:val="0"/>
        <w:keepLines w:val="0"/>
        <w:pageBreakBefore w:val="0"/>
        <w:widowControl/>
        <w:shd w:val="clear" w:color="auto" w:fill="FFFFFF"/>
        <w:kinsoku/>
        <w:overflowPunct/>
        <w:topLinePunct w:val="0"/>
        <w:autoSpaceDE/>
        <w:autoSpaceDN/>
        <w:bidi w:val="0"/>
        <w:adjustRightInd/>
        <w:snapToGrid w:val="0"/>
        <w:spacing w:line="360" w:lineRule="auto"/>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22.1供应商应在竞争性磋商公告中规定的提交响应文件截止时间前将制作好的电子响应文件加密上传至驻马店市公共资源交易中心电子交易平台，逾期上传其响应将被拒绝。</w:t>
      </w:r>
    </w:p>
    <w:p w14:paraId="4CF824B6">
      <w:pPr>
        <w:keepNext w:val="0"/>
        <w:keepLines w:val="0"/>
        <w:pageBreakBefore w:val="0"/>
        <w:widowControl/>
        <w:shd w:val="clear" w:color="auto" w:fill="FFFFFF"/>
        <w:kinsoku/>
        <w:overflowPunct/>
        <w:topLinePunct w:val="0"/>
        <w:autoSpaceDE/>
        <w:autoSpaceDN/>
        <w:bidi w:val="0"/>
        <w:adjustRightInd/>
        <w:snapToGrid w:val="0"/>
        <w:spacing w:line="360" w:lineRule="auto"/>
        <w:ind w:firstLine="482"/>
        <w:textAlignment w:val="auto"/>
        <w:rPr>
          <w:color w:val="auto"/>
          <w:kern w:val="0"/>
          <w:sz w:val="21"/>
          <w:szCs w:val="21"/>
          <w:highlight w:val="none"/>
        </w:rPr>
      </w:pPr>
      <w:r>
        <w:rPr>
          <w:rFonts w:hint="eastAsia" w:ascii="宋体" w:hAnsi="宋体"/>
          <w:b/>
          <w:bCs/>
          <w:color w:val="auto"/>
          <w:kern w:val="0"/>
          <w:sz w:val="21"/>
          <w:szCs w:val="21"/>
          <w:highlight w:val="none"/>
        </w:rPr>
        <w:t>23.响应文件的修改和撤回</w:t>
      </w:r>
    </w:p>
    <w:p w14:paraId="123CE4D4">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color w:val="auto"/>
          <w:kern w:val="0"/>
          <w:sz w:val="21"/>
          <w:szCs w:val="21"/>
          <w:highlight w:val="none"/>
        </w:rPr>
      </w:pPr>
      <w:r>
        <w:rPr>
          <w:rFonts w:hint="eastAsia" w:ascii="宋体" w:hAnsi="宋体"/>
          <w:color w:val="auto"/>
          <w:kern w:val="0"/>
          <w:sz w:val="21"/>
          <w:szCs w:val="21"/>
          <w:highlight w:val="none"/>
        </w:rPr>
        <w:t>23.1 供应商在提交磋商响应文件截止时间前，可以对所提交的响应文件进行补充、修改或者撤回，并书面通知采购代理机构。补充、修改的内容和撤回通知应当按本须知要求签署、盖章、密封，并作为响应文件的组成部分。</w:t>
      </w:r>
    </w:p>
    <w:p w14:paraId="55969FA4">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rFonts w:ascii="宋体" w:hAnsi="宋体"/>
          <w:color w:val="auto"/>
          <w:kern w:val="0"/>
          <w:sz w:val="24"/>
          <w:highlight w:val="none"/>
        </w:rPr>
      </w:pPr>
      <w:r>
        <w:rPr>
          <w:rFonts w:hint="eastAsia" w:ascii="宋体" w:hAnsi="宋体"/>
          <w:color w:val="auto"/>
          <w:kern w:val="0"/>
          <w:sz w:val="21"/>
          <w:szCs w:val="21"/>
          <w:highlight w:val="none"/>
        </w:rPr>
        <w:t>23.2 供应商在提交磋商响应文件截止期后不得修改、撤回响应文件。供应商在提交竞争性磋商文件截止时间后修改响应文件的，将被拒绝接受。</w:t>
      </w:r>
    </w:p>
    <w:p w14:paraId="3AAFBB22">
      <w:pPr>
        <w:widowControl/>
        <w:shd w:val="clear" w:color="auto" w:fill="FFFFFF"/>
        <w:spacing w:line="460" w:lineRule="atLeast"/>
        <w:jc w:val="center"/>
        <w:rPr>
          <w:rFonts w:ascii="黑体" w:eastAsia="黑体"/>
          <w:b/>
          <w:bCs/>
          <w:color w:val="auto"/>
          <w:kern w:val="0"/>
          <w:sz w:val="32"/>
          <w:szCs w:val="32"/>
          <w:highlight w:val="none"/>
        </w:rPr>
      </w:pPr>
      <w:r>
        <w:rPr>
          <w:rFonts w:hint="eastAsia" w:ascii="黑体" w:eastAsia="黑体"/>
          <w:b/>
          <w:bCs/>
          <w:color w:val="auto"/>
          <w:kern w:val="0"/>
          <w:sz w:val="32"/>
          <w:szCs w:val="32"/>
          <w:highlight w:val="none"/>
        </w:rPr>
        <w:t>五</w:t>
      </w:r>
      <w:r>
        <w:rPr>
          <w:rFonts w:hint="eastAsia" w:ascii="黑体" w:eastAsia="黑体"/>
          <w:b/>
          <w:bCs/>
          <w:color w:val="auto"/>
          <w:kern w:val="0"/>
          <w:sz w:val="32"/>
          <w:highlight w:val="none"/>
        </w:rPr>
        <w:t> </w:t>
      </w:r>
      <w:r>
        <w:rPr>
          <w:rFonts w:hint="eastAsia" w:ascii="黑体" w:eastAsia="黑体"/>
          <w:b/>
          <w:bCs/>
          <w:color w:val="auto"/>
          <w:kern w:val="0"/>
          <w:sz w:val="32"/>
          <w:szCs w:val="32"/>
          <w:highlight w:val="none"/>
        </w:rPr>
        <w:t>  响应文件的开启（解密）</w:t>
      </w:r>
    </w:p>
    <w:p w14:paraId="0CDDC579">
      <w:pPr>
        <w:bidi w:val="0"/>
        <w:rPr>
          <w:color w:val="auto"/>
          <w:highlight w:val="none"/>
        </w:rPr>
      </w:pPr>
    </w:p>
    <w:p w14:paraId="5E3D2719">
      <w:pPr>
        <w:keepNext w:val="0"/>
        <w:keepLines w:val="0"/>
        <w:pageBreakBefore w:val="0"/>
        <w:widowControl/>
        <w:kinsoku/>
        <w:overflowPunct/>
        <w:topLinePunct w:val="0"/>
        <w:autoSpaceDE/>
        <w:autoSpaceDN/>
        <w:bidi w:val="0"/>
        <w:adjustRightInd/>
        <w:snapToGrid w:val="0"/>
        <w:spacing w:line="360" w:lineRule="auto"/>
        <w:ind w:firstLine="413" w:firstLineChars="196"/>
        <w:jc w:val="left"/>
        <w:textAlignment w:val="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24.开启（解密）</w:t>
      </w:r>
    </w:p>
    <w:p w14:paraId="147C12E3">
      <w:pPr>
        <w:keepNext w:val="0"/>
        <w:keepLines w:val="0"/>
        <w:pageBreakBefore w:val="0"/>
        <w:widowControl/>
        <w:kinsoku/>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24.1 在竞争性磋商公告中规定的时间、地点开启</w:t>
      </w:r>
      <w:r>
        <w:rPr>
          <w:rFonts w:hint="eastAsia" w:ascii="宋体" w:hAnsi="宋体" w:cs="宋体"/>
          <w:b/>
          <w:color w:val="auto"/>
          <w:kern w:val="0"/>
          <w:sz w:val="21"/>
          <w:szCs w:val="21"/>
          <w:highlight w:val="none"/>
        </w:rPr>
        <w:t>（解密）</w:t>
      </w:r>
      <w:r>
        <w:rPr>
          <w:rFonts w:hint="eastAsia" w:ascii="宋体" w:hAnsi="宋体" w:cs="宋体"/>
          <w:color w:val="auto"/>
          <w:kern w:val="0"/>
          <w:sz w:val="21"/>
          <w:szCs w:val="21"/>
          <w:highlight w:val="none"/>
        </w:rPr>
        <w:t>。</w:t>
      </w:r>
    </w:p>
    <w:p w14:paraId="628FFADC">
      <w:pPr>
        <w:keepNext w:val="0"/>
        <w:keepLines w:val="0"/>
        <w:pageBreakBefore w:val="0"/>
        <w:widowControl/>
        <w:kinsoku/>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24.2 开启</w:t>
      </w:r>
      <w:r>
        <w:rPr>
          <w:rFonts w:hint="eastAsia" w:ascii="宋体" w:hAnsi="宋体" w:cs="宋体"/>
          <w:b/>
          <w:color w:val="auto"/>
          <w:kern w:val="0"/>
          <w:sz w:val="21"/>
          <w:szCs w:val="21"/>
          <w:highlight w:val="none"/>
        </w:rPr>
        <w:t>（解密）</w:t>
      </w:r>
      <w:r>
        <w:rPr>
          <w:rFonts w:hint="eastAsia" w:ascii="宋体" w:hAnsi="宋体" w:cs="宋体"/>
          <w:color w:val="auto"/>
          <w:kern w:val="0"/>
          <w:sz w:val="21"/>
          <w:szCs w:val="21"/>
          <w:highlight w:val="none"/>
        </w:rPr>
        <w:t>由采购代理机构主持，采购人、供应商和有关方面代表参加。</w:t>
      </w:r>
    </w:p>
    <w:p w14:paraId="552D7C10">
      <w:pPr>
        <w:keepNext w:val="0"/>
        <w:keepLines w:val="0"/>
        <w:pageBreakBefore w:val="0"/>
        <w:widowControl/>
        <w:kinsoku/>
        <w:overflowPunct/>
        <w:topLinePunct w:val="0"/>
        <w:autoSpaceDE/>
        <w:autoSpaceDN/>
        <w:bidi w:val="0"/>
        <w:adjustRightInd/>
        <w:snapToGrid w:val="0"/>
        <w:spacing w:line="360" w:lineRule="auto"/>
        <w:ind w:firstLine="420" w:firstLineChars="200"/>
        <w:jc w:val="left"/>
        <w:textAlignment w:val="auto"/>
        <w:rPr>
          <w:rFonts w:ascii="宋体" w:hAnsi="宋体"/>
          <w:color w:val="auto"/>
          <w:kern w:val="0"/>
          <w:sz w:val="21"/>
          <w:szCs w:val="21"/>
          <w:highlight w:val="none"/>
        </w:rPr>
      </w:pPr>
      <w:r>
        <w:rPr>
          <w:rFonts w:hint="eastAsia" w:ascii="宋体" w:hAnsi="宋体" w:cs="宋体"/>
          <w:color w:val="auto"/>
          <w:kern w:val="0"/>
          <w:sz w:val="21"/>
          <w:szCs w:val="21"/>
          <w:highlight w:val="none"/>
        </w:rPr>
        <w:t>24.3开启</w:t>
      </w:r>
      <w:r>
        <w:rPr>
          <w:rFonts w:hint="eastAsia" w:ascii="宋体" w:hAnsi="宋体" w:cs="宋体"/>
          <w:b/>
          <w:color w:val="auto"/>
          <w:kern w:val="0"/>
          <w:sz w:val="21"/>
          <w:szCs w:val="21"/>
          <w:highlight w:val="none"/>
        </w:rPr>
        <w:t>（解密）</w:t>
      </w:r>
      <w:r>
        <w:rPr>
          <w:rFonts w:hint="eastAsia" w:ascii="宋体" w:hAnsi="宋体" w:cs="宋体"/>
          <w:color w:val="auto"/>
          <w:kern w:val="0"/>
          <w:sz w:val="21"/>
          <w:szCs w:val="21"/>
          <w:highlight w:val="none"/>
        </w:rPr>
        <w:t>时，首先，各供应商应在规定时间内对本单位的加密响应文件进行解密，然后代理机构工作人员对所有响应文件进行解密。如供应商自身原因解密失败，其磋商将被拒绝。</w:t>
      </w:r>
    </w:p>
    <w:p w14:paraId="002D8D1E">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color w:val="auto"/>
          <w:kern w:val="0"/>
          <w:sz w:val="21"/>
          <w:szCs w:val="21"/>
          <w:highlight w:val="none"/>
        </w:rPr>
      </w:pPr>
      <w:r>
        <w:rPr>
          <w:rFonts w:hint="eastAsia" w:ascii="宋体" w:hAnsi="宋体"/>
          <w:color w:val="auto"/>
          <w:kern w:val="0"/>
          <w:sz w:val="21"/>
          <w:szCs w:val="21"/>
          <w:highlight w:val="none"/>
        </w:rPr>
        <w:t>24.4 供应商有下列情形之一的，采购代理机构将拒绝接受其响应文件：</w:t>
      </w:r>
    </w:p>
    <w:p w14:paraId="580AE33E">
      <w:pPr>
        <w:keepNext w:val="0"/>
        <w:keepLines w:val="0"/>
        <w:pageBreakBefore w:val="0"/>
        <w:widowControl/>
        <w:shd w:val="clear" w:color="auto" w:fill="FFFFFF"/>
        <w:kinsoku/>
        <w:overflowPunct/>
        <w:topLinePunct w:val="0"/>
        <w:autoSpaceDE/>
        <w:autoSpaceDN/>
        <w:bidi w:val="0"/>
        <w:adjustRightInd/>
        <w:snapToGrid w:val="0"/>
        <w:spacing w:line="360" w:lineRule="auto"/>
        <w:ind w:firstLine="420" w:firstLineChars="200"/>
        <w:textAlignment w:val="auto"/>
        <w:rPr>
          <w:color w:val="auto"/>
          <w:kern w:val="0"/>
          <w:sz w:val="21"/>
          <w:szCs w:val="21"/>
          <w:highlight w:val="none"/>
        </w:rPr>
      </w:pPr>
      <w:r>
        <w:rPr>
          <w:rFonts w:hint="eastAsia" w:ascii="宋体" w:hAnsi="宋体"/>
          <w:color w:val="auto"/>
          <w:kern w:val="0"/>
          <w:sz w:val="21"/>
          <w:szCs w:val="21"/>
          <w:highlight w:val="none"/>
        </w:rPr>
        <w:t>24.4.1 在竞争性磋商文件规定的提交响应文件截止时间之后上传、提交响应文件的。</w:t>
      </w:r>
    </w:p>
    <w:p w14:paraId="7158BAD7">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color w:val="auto"/>
          <w:kern w:val="0"/>
          <w:sz w:val="21"/>
          <w:szCs w:val="21"/>
          <w:highlight w:val="none"/>
        </w:rPr>
      </w:pPr>
      <w:r>
        <w:rPr>
          <w:rFonts w:hint="eastAsia" w:ascii="宋体" w:hAnsi="宋体"/>
          <w:color w:val="auto"/>
          <w:kern w:val="0"/>
          <w:sz w:val="21"/>
          <w:szCs w:val="21"/>
          <w:highlight w:val="none"/>
        </w:rPr>
        <w:t>24.4.2 响应文件未按竞争性磋商文件规定加密的。</w:t>
      </w:r>
    </w:p>
    <w:p w14:paraId="0CB91FB7">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24.4.3 未进行网上下载竞争性磋商文件参加磋商的。</w:t>
      </w:r>
    </w:p>
    <w:p w14:paraId="427155F5">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textAlignment w:val="auto"/>
        <w:rPr>
          <w:color w:val="auto"/>
          <w:kern w:val="0"/>
          <w:sz w:val="21"/>
          <w:szCs w:val="21"/>
          <w:highlight w:val="none"/>
        </w:rPr>
      </w:pPr>
      <w:r>
        <w:rPr>
          <w:rFonts w:hint="eastAsia" w:ascii="宋体" w:hAnsi="宋体"/>
          <w:color w:val="auto"/>
          <w:kern w:val="0"/>
          <w:sz w:val="21"/>
          <w:szCs w:val="21"/>
          <w:highlight w:val="none"/>
        </w:rPr>
        <w:t>24.4.4  未在</w:t>
      </w:r>
      <w:r>
        <w:rPr>
          <w:rFonts w:hint="eastAsia" w:ascii="宋体" w:hAnsi="宋体" w:cs="宋体"/>
          <w:color w:val="auto"/>
          <w:kern w:val="0"/>
          <w:sz w:val="21"/>
          <w:szCs w:val="21"/>
          <w:highlight w:val="none"/>
        </w:rPr>
        <w:t>竞争性磋商公告中规定的时间签到的。</w:t>
      </w:r>
    </w:p>
    <w:p w14:paraId="357D8FC2">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ascii="宋体" w:hAnsi="宋体"/>
          <w:color w:val="auto"/>
          <w:kern w:val="0"/>
          <w:sz w:val="24"/>
          <w:highlight w:val="none"/>
        </w:rPr>
      </w:pPr>
      <w:r>
        <w:rPr>
          <w:rFonts w:hint="eastAsia" w:ascii="宋体" w:hAnsi="宋体"/>
          <w:color w:val="auto"/>
          <w:kern w:val="0"/>
          <w:sz w:val="21"/>
          <w:szCs w:val="21"/>
          <w:highlight w:val="none"/>
        </w:rPr>
        <w:t>24.4.5 一个供应商不只提交一套响应文件的。</w:t>
      </w:r>
    </w:p>
    <w:p w14:paraId="5F0A09BD">
      <w:pPr>
        <w:widowControl/>
        <w:shd w:val="clear" w:color="auto" w:fill="FFFFFF"/>
        <w:spacing w:line="360" w:lineRule="auto"/>
        <w:jc w:val="center"/>
        <w:rPr>
          <w:color w:val="auto"/>
          <w:kern w:val="0"/>
          <w:sz w:val="28"/>
          <w:szCs w:val="28"/>
          <w:highlight w:val="none"/>
        </w:rPr>
      </w:pPr>
      <w:r>
        <w:rPr>
          <w:rFonts w:hint="eastAsia" w:ascii="黑体" w:hAnsi="宋体" w:eastAsia="黑体" w:cs="宋体"/>
          <w:b/>
          <w:bCs/>
          <w:color w:val="auto"/>
          <w:kern w:val="0"/>
          <w:sz w:val="32"/>
          <w:szCs w:val="32"/>
          <w:highlight w:val="none"/>
        </w:rPr>
        <w:t>六   磋商</w:t>
      </w:r>
    </w:p>
    <w:p w14:paraId="68BD58EE">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25.组建磋商小组</w:t>
      </w:r>
    </w:p>
    <w:p w14:paraId="5402850C">
      <w:pPr>
        <w:keepNext w:val="0"/>
        <w:keepLines w:val="0"/>
        <w:pageBreakBefore w:val="0"/>
        <w:widowControl/>
        <w:shd w:val="clear" w:color="auto" w:fill="FFFFFF"/>
        <w:kinsoku/>
        <w:wordWrap/>
        <w:overflowPunct/>
        <w:topLinePunct w:val="0"/>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采购代理机构根据采购项目的特点依法组建磋商小组。磋商小组由相关评审专家</w:t>
      </w:r>
      <w:r>
        <w:rPr>
          <w:rFonts w:hint="eastAsia" w:ascii="宋体" w:hAnsi="宋体" w:cs="宋体"/>
          <w:color w:val="auto"/>
          <w:kern w:val="0"/>
          <w:sz w:val="21"/>
          <w:szCs w:val="21"/>
          <w:highlight w:val="none"/>
          <w:lang w:val="en-US" w:eastAsia="zh-CN"/>
        </w:rPr>
        <w:t>组成</w:t>
      </w:r>
      <w:r>
        <w:rPr>
          <w:rFonts w:hint="eastAsia" w:ascii="宋体" w:hAnsi="宋体" w:eastAsia="宋体" w:cs="宋体"/>
          <w:color w:val="auto"/>
          <w:kern w:val="0"/>
          <w:sz w:val="21"/>
          <w:szCs w:val="21"/>
          <w:highlight w:val="none"/>
        </w:rPr>
        <w:t>，成员为</w:t>
      </w:r>
      <w:r>
        <w:rPr>
          <w:rFonts w:hint="eastAsia" w:ascii="宋体" w:hAnsi="宋体" w:eastAsia="宋体" w:cs="宋体"/>
          <w:color w:val="auto"/>
          <w:kern w:val="0"/>
          <w:sz w:val="21"/>
          <w:szCs w:val="21"/>
          <w:highlight w:val="none"/>
          <w:u w:val="single"/>
        </w:rPr>
        <w:t xml:space="preserve"> 3 </w:t>
      </w:r>
      <w:r>
        <w:rPr>
          <w:rFonts w:hint="eastAsia" w:ascii="宋体" w:hAnsi="宋体" w:eastAsia="宋体" w:cs="宋体"/>
          <w:color w:val="auto"/>
          <w:kern w:val="0"/>
          <w:sz w:val="21"/>
          <w:szCs w:val="21"/>
          <w:highlight w:val="none"/>
        </w:rPr>
        <w:t>人。</w:t>
      </w:r>
      <w:r>
        <w:rPr>
          <w:rFonts w:hint="eastAsia" w:ascii="宋体" w:hAnsi="宋体" w:eastAsia="宋体" w:cs="宋体"/>
          <w:color w:val="auto"/>
          <w:sz w:val="21"/>
          <w:szCs w:val="21"/>
          <w:highlight w:val="none"/>
        </w:rPr>
        <w:t>采购人可委派一名代表进入竞争性磋商小组，但不得担任磋商小组组长。</w:t>
      </w:r>
    </w:p>
    <w:p w14:paraId="547E2C0B">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26.响应文件的初审</w:t>
      </w:r>
    </w:p>
    <w:p w14:paraId="171CB488">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26.1磋商小组会将对响应文件进行检查，以确定响应文件是否完整、有无计算上的错误、是否已正确签署等。响应文件如果出现计算或表达上的错误，修正错误的原则如下：</w:t>
      </w:r>
    </w:p>
    <w:p w14:paraId="76050455">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初次报价一览表的内容与初次报价明细表的内容不一致的，以初次报价一览表为准；大写金额与小写金额不一致的，以大写金额为准；总价金额与按单价汇总金额不一致的，以单价金额计算结果为准，除非磋商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14:paraId="66585347">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26.2 资格性检查和符合性检查。</w:t>
      </w:r>
    </w:p>
    <w:p w14:paraId="2B90DB1B">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26.2.1资格性检查。磋商小组将依据响应性文件按竞争性磋商公告第二项所述的资格标准和竞争性磋商文件第三章4.供应商应提交的证明文件对供应商进行资格审查,以确定其是否具备磋商资格。如果供应商不具备资格、不满足竞争性磋商文件所规定的资格标准或提供资格证明文件不全, 将被视为未实质性响应竞争性磋商文件。</w:t>
      </w:r>
    </w:p>
    <w:p w14:paraId="2B468A46">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26.2.2 符合性检查。磋商小组将从响应文件的有效性、完整性和对竞争性磋商文件的响应程度进行审查，以确定是否符合对竞争性磋商文件的实质性要求作出响应（采购人可根据具体项目的情况对实质性要求作特别的具体规定）。实质性偏离是指：（1）实质性影响合同的范围、质量和履行。（2）实质性违背竞争性磋商文件，限制了采购人的权利。（3）不公正地影响了其他作出实质性响应的供应商的竞争地位。对没有实质性响应竞争性磋商文件的供应商，将不进入下一阶段磋商。凡有下列情况之一者，其响应文件也将被视为未实质性响应竞争性磋商文件：</w:t>
      </w:r>
    </w:p>
    <w:p w14:paraId="720DCA51">
      <w:pPr>
        <w:keepNext w:val="0"/>
        <w:keepLines w:val="0"/>
        <w:pageBreakBefore w:val="0"/>
        <w:widowControl/>
        <w:numPr>
          <w:ilvl w:val="0"/>
          <w:numId w:val="3"/>
        </w:numPr>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响应性文件未按规定签字，或未加盖供应商公章的。</w:t>
      </w:r>
    </w:p>
    <w:p w14:paraId="54FC23BE">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供应商代表未能出具有效身份证明，或与身份不符的。</w:t>
      </w:r>
    </w:p>
    <w:p w14:paraId="6F3004B4">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资格证明文件不全的，或不符合</w:t>
      </w:r>
      <w:r>
        <w:rPr>
          <w:rFonts w:hint="eastAsia" w:ascii="宋体" w:hAnsi="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标明的资格要求的。</w:t>
      </w:r>
    </w:p>
    <w:p w14:paraId="5456556F">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响应性文件有效期</w:t>
      </w:r>
      <w:r>
        <w:rPr>
          <w:rFonts w:hint="eastAsia" w:ascii="宋体" w:hAnsi="宋体" w:cs="宋体"/>
          <w:color w:val="auto"/>
          <w:kern w:val="0"/>
          <w:sz w:val="21"/>
          <w:szCs w:val="21"/>
          <w:highlight w:val="none"/>
          <w:lang w:val="en-US" w:eastAsia="zh-CN"/>
        </w:rPr>
        <w:t>、交货期</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质保期</w:t>
      </w:r>
      <w:r>
        <w:rPr>
          <w:rFonts w:hint="eastAsia" w:ascii="宋体" w:hAnsi="宋体" w:eastAsia="宋体" w:cs="宋体"/>
          <w:color w:val="auto"/>
          <w:kern w:val="0"/>
          <w:sz w:val="21"/>
          <w:szCs w:val="21"/>
          <w:highlight w:val="none"/>
        </w:rPr>
        <w:t>等不满足</w:t>
      </w:r>
      <w:r>
        <w:rPr>
          <w:rFonts w:hint="eastAsia" w:ascii="宋体" w:hAnsi="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要求的。</w:t>
      </w:r>
    </w:p>
    <w:p w14:paraId="50CCE6E6">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响应性文件格式不规范、项目不齐全。</w:t>
      </w:r>
    </w:p>
    <w:p w14:paraId="4E7D5884">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响应性文件的实质性内容未使用中文表述，或意思表述不明确，或前后矛盾，或使用计量单位不符合</w:t>
      </w:r>
      <w:r>
        <w:rPr>
          <w:rFonts w:hint="eastAsia" w:ascii="宋体" w:hAnsi="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要求的。</w:t>
      </w:r>
    </w:p>
    <w:p w14:paraId="39DAAFC1">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响应性文件的关键内容字迹模糊、无法辨认,或响应性文件中经修正的内容字迹模糊无法辩认，或修改处未按规定签名盖章的。</w:t>
      </w:r>
    </w:p>
    <w:p w14:paraId="68E6F7F0">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报价</w:t>
      </w:r>
      <w:r>
        <w:rPr>
          <w:rFonts w:hint="eastAsia" w:ascii="宋体" w:hAnsi="宋体" w:eastAsia="宋体" w:cs="宋体"/>
          <w:color w:val="auto"/>
          <w:kern w:val="0"/>
          <w:sz w:val="21"/>
          <w:szCs w:val="21"/>
          <w:highlight w:val="none"/>
        </w:rPr>
        <w:t>超出控制价的。</w:t>
      </w:r>
    </w:p>
    <w:p w14:paraId="03D21222">
      <w:pPr>
        <w:keepNext w:val="0"/>
        <w:keepLines w:val="0"/>
        <w:pageBreakBefore w:val="0"/>
        <w:widowControl/>
        <w:shd w:val="clear" w:color="auto" w:fill="FFFFFF"/>
        <w:kinsoku/>
        <w:wordWrap/>
        <w:overflowPunct/>
        <w:topLinePunct w:val="0"/>
        <w:autoSpaceDN/>
        <w:bidi w:val="0"/>
        <w:adjustRightInd/>
        <w:snapToGrid w:val="0"/>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）不符合</w:t>
      </w:r>
      <w:r>
        <w:rPr>
          <w:rFonts w:hint="eastAsia" w:ascii="宋体" w:hAnsi="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中规定的其它实质性条款。</w:t>
      </w:r>
    </w:p>
    <w:p w14:paraId="1D8BA456">
      <w:pPr>
        <w:keepNext w:val="0"/>
        <w:keepLines w:val="0"/>
        <w:pageBreakBefore w:val="0"/>
        <w:widowControl/>
        <w:shd w:val="clear" w:color="auto" w:fill="FFFFFF"/>
        <w:kinsoku/>
        <w:wordWrap/>
        <w:overflowPunct/>
        <w:topLinePunct w:val="0"/>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磋商小组将拒绝被确定为没有实质性响应竞争性磋商文件的响应文件。磋商小组决定供应商是否实质性响应竞争性磋商文件只根据响应文件本身的内容，而不寻求其他的外部证据。</w:t>
      </w:r>
    </w:p>
    <w:p w14:paraId="3C55267E">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26.2</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3</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对资格性检查和符合性检查不合格的供应商，将</w:t>
      </w:r>
      <w:r>
        <w:rPr>
          <w:rFonts w:hint="eastAsia" w:ascii="宋体" w:hAnsi="宋体" w:eastAsia="宋体" w:cs="宋体"/>
          <w:color w:val="auto"/>
          <w:sz w:val="21"/>
          <w:szCs w:val="21"/>
          <w:highlight w:val="none"/>
        </w:rPr>
        <w:t>通过驻马店市公共资源交易中心电子交易平台不见面交易系统网上实时</w:t>
      </w:r>
      <w:r>
        <w:rPr>
          <w:rFonts w:hint="eastAsia" w:ascii="宋体" w:hAnsi="宋体" w:eastAsia="宋体" w:cs="宋体"/>
          <w:color w:val="auto"/>
          <w:kern w:val="0"/>
          <w:sz w:val="21"/>
          <w:szCs w:val="21"/>
          <w:highlight w:val="none"/>
        </w:rPr>
        <w:t>告知其理由。</w:t>
      </w:r>
    </w:p>
    <w:p w14:paraId="00A98C58">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26.3</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在评审过程中，磋商小组发现供应商有下列情形之一的，视为供应商相互串通。具体表现形式如下：</w:t>
      </w:r>
    </w:p>
    <w:p w14:paraId="4CD55348">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26.3.1不同供应商的响应文件异常一致的。</w:t>
      </w:r>
    </w:p>
    <w:p w14:paraId="51C7645F">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26.3.2不同供应商的响应文件由同一单位或个人编制的。</w:t>
      </w:r>
    </w:p>
    <w:p w14:paraId="171E2328">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26.3.3不同供应商的响应文件载明的项目管理成员为同一人的。</w:t>
      </w:r>
    </w:p>
    <w:p w14:paraId="76965752">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26.3.4不同供应商的响应文件相互混装的。</w:t>
      </w:r>
    </w:p>
    <w:p w14:paraId="471B32D6">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26.3.5不同供应商授权同一人作为供应商代表的。</w:t>
      </w:r>
    </w:p>
    <w:p w14:paraId="47B26087">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26.3.6有证据证明供应商与采购人、采购代理机构或其他供应商串通的其他情形的。</w:t>
      </w:r>
    </w:p>
    <w:p w14:paraId="48DA353C">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26.3.7 磋商小组认定的其他串通情形。</w:t>
      </w:r>
    </w:p>
    <w:p w14:paraId="7EEF0331">
      <w:pPr>
        <w:keepNext w:val="0"/>
        <w:keepLines w:val="0"/>
        <w:pageBreakBefore w:val="0"/>
        <w:widowControl/>
        <w:shd w:val="clear" w:color="auto" w:fill="FFFFFF"/>
        <w:kinsoku/>
        <w:wordWrap/>
        <w:overflowPunct/>
        <w:topLinePunct w:val="0"/>
        <w:autoSpaceDN/>
        <w:bidi w:val="0"/>
        <w:adjustRightInd/>
        <w:snapToGrid w:val="0"/>
        <w:spacing w:line="360" w:lineRule="auto"/>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27.响应文件的澄清</w:t>
      </w:r>
    </w:p>
    <w:p w14:paraId="77BF31D5">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响应文件中含义不明确、同类问题表述不一致或者有明显文字和计算错误的内容，磋商小组可以书面形式通过驻马店市公共资源交易不见面开评标系统远程要求供应商作出必要的澄清。供应商的澄清应当在磋商小组规定的时间内通过驻马店市公共资源交易不见面开评标系统远程以书面形式作出，由其磋商代表签字。但澄清事项不得超出响应文件的范围，不得实质性改变响应文件的内容，不得通过澄清等方式对供应商实行差别对待。磋商小组不得接受供应商主动提出的澄清和解释。</w:t>
      </w:r>
    </w:p>
    <w:p w14:paraId="585B7EA2">
      <w:pPr>
        <w:keepNext w:val="0"/>
        <w:keepLines w:val="0"/>
        <w:pageBreakBefore w:val="0"/>
        <w:widowControl/>
        <w:shd w:val="clear" w:color="auto" w:fill="FFFFFF"/>
        <w:kinsoku/>
        <w:wordWrap/>
        <w:overflowPunct/>
        <w:topLinePunct w:val="0"/>
        <w:autoSpaceDN/>
        <w:bidi w:val="0"/>
        <w:adjustRightInd/>
        <w:snapToGrid w:val="0"/>
        <w:spacing w:line="360" w:lineRule="auto"/>
        <w:ind w:firstLine="482"/>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28.磋商</w:t>
      </w:r>
    </w:p>
    <w:p w14:paraId="1D93E648">
      <w:pPr>
        <w:keepNext w:val="0"/>
        <w:keepLines w:val="0"/>
        <w:pageBreakBefore w:val="0"/>
        <w:widowControl/>
        <w:shd w:val="clear" w:color="auto" w:fill="FFFFFF"/>
        <w:kinsoku/>
        <w:wordWrap/>
        <w:overflowPunct/>
        <w:topLinePunct w:val="0"/>
        <w:autoSpaceDN/>
        <w:bidi w:val="0"/>
        <w:adjustRightInd/>
        <w:snapToGrid w:val="0"/>
        <w:spacing w:line="360" w:lineRule="auto"/>
        <w:ind w:right="150"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28.1对资格性检查和符合性检查合格的供应商，进入本次磋商程序。</w:t>
      </w:r>
    </w:p>
    <w:p w14:paraId="66278528">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28.2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DA87A31">
      <w:pPr>
        <w:keepNext w:val="0"/>
        <w:keepLines w:val="0"/>
        <w:pageBreakBefore w:val="0"/>
        <w:widowControl/>
        <w:kinsoku/>
        <w:wordWrap/>
        <w:overflowPunct/>
        <w:topLinePunct w:val="0"/>
        <w:autoSpaceDN/>
        <w:bidi w:val="0"/>
        <w:adjustRightInd/>
        <w:snapToGrid w:val="0"/>
        <w:spacing w:line="360" w:lineRule="auto"/>
        <w:ind w:firstLine="525" w:firstLineChars="2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28.3本次磋商进行</w:t>
      </w:r>
      <w:r>
        <w:rPr>
          <w:rFonts w:hint="eastAsia" w:ascii="宋体" w:hAnsi="宋体" w:eastAsia="宋体" w:cs="宋体"/>
          <w:color w:val="auto"/>
          <w:kern w:val="0"/>
          <w:sz w:val="21"/>
          <w:szCs w:val="21"/>
          <w:highlight w:val="none"/>
          <w:u w:val="single"/>
        </w:rPr>
        <w:t xml:space="preserve"> 2 </w:t>
      </w:r>
      <w:r>
        <w:rPr>
          <w:rFonts w:hint="eastAsia" w:ascii="宋体" w:hAnsi="宋体" w:eastAsia="宋体" w:cs="宋体"/>
          <w:color w:val="auto"/>
          <w:kern w:val="0"/>
          <w:sz w:val="21"/>
          <w:szCs w:val="21"/>
          <w:highlight w:val="none"/>
        </w:rPr>
        <w:t>轮次报价，并给予每个供应商相同的机会。响应文件报价为第一轮报价，以后轮次报价不得高于上一轮次报价（除磋商文件有实质性变动外）。供应商应当对磋商的每轮次报价或承诺均以书面形式确认，并由供应商法定代表人或其授权代表签字，在规定的时限内递交给磋商小组，磋商报价以供应商的最后一轮次报价为准。磋商小组将最后报价结果录入评标系统。</w:t>
      </w:r>
    </w:p>
    <w:p w14:paraId="14CBC5C1">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28.4 在确定成交供应商之前，磋商小组认为供应商的报价明显低于其他通过符合性审查供应商的报价，有可能影响产品质量或者不能诚信履约的，应当要求其通过驻马店市公共资源交易不见面开评标系统在合理的时间内提供书面说明，必要时提交相关证明村料；不能证明其报价合理性的，磋商小组应当将其作为无效响应处理。</w:t>
      </w:r>
    </w:p>
    <w:p w14:paraId="6934980F">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29.磋商过程及保密原则</w:t>
      </w:r>
    </w:p>
    <w:p w14:paraId="57683D23">
      <w:pPr>
        <w:keepNext w:val="0"/>
        <w:keepLines w:val="0"/>
        <w:pageBreakBefore w:val="0"/>
        <w:widowControl/>
        <w:shd w:val="clear" w:color="auto" w:fill="FFFFFF"/>
        <w:kinsoku/>
        <w:wordWrap/>
        <w:overflowPunct/>
        <w:topLinePunct w:val="0"/>
        <w:autoSpaceDE w:val="0"/>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29.1 凡与本次磋商有关人员对属于审查、澄清、评价和磋商中的有关资料等，均不得向任何人透露。否则,将按有关规定追究相关人员的责任。</w:t>
      </w:r>
    </w:p>
    <w:p w14:paraId="7387E770">
      <w:pPr>
        <w:keepNext w:val="0"/>
        <w:keepLines w:val="0"/>
        <w:pageBreakBefore w:val="0"/>
        <w:widowControl/>
        <w:shd w:val="clear" w:color="auto" w:fill="FFFFFF"/>
        <w:kinsoku/>
        <w:wordWrap/>
        <w:overflowPunct/>
        <w:topLinePunct w:val="0"/>
        <w:autoSpaceDE w:val="0"/>
        <w:autoSpaceDN/>
        <w:bidi w:val="0"/>
        <w:adjustRightInd/>
        <w:snapToGrid w:val="0"/>
        <w:spacing w:line="360" w:lineRule="auto"/>
        <w:ind w:firstLine="420" w:firstLineChars="200"/>
        <w:textAlignment w:val="auto"/>
        <w:rPr>
          <w:rFonts w:ascii="宋体" w:hAnsi="宋体" w:cs="宋体"/>
          <w:color w:val="auto"/>
          <w:kern w:val="0"/>
          <w:sz w:val="24"/>
          <w:highlight w:val="none"/>
        </w:rPr>
      </w:pPr>
      <w:r>
        <w:rPr>
          <w:rFonts w:hint="eastAsia" w:ascii="宋体" w:hAnsi="宋体" w:eastAsia="宋体" w:cs="宋体"/>
          <w:color w:val="auto"/>
          <w:kern w:val="0"/>
          <w:sz w:val="21"/>
          <w:szCs w:val="21"/>
          <w:highlight w:val="none"/>
        </w:rPr>
        <w:t>29.2 在磋商期间，供应商试图影响或干预评审的任何行为，将导致其丧失参加磋商的资格，并承担相应的法律责任。</w:t>
      </w:r>
    </w:p>
    <w:p w14:paraId="7799CF05">
      <w:pPr>
        <w:keepNext w:val="0"/>
        <w:keepLines w:val="0"/>
        <w:pageBreakBefore w:val="0"/>
        <w:widowControl/>
        <w:shd w:val="clear" w:color="auto" w:fill="FFFFFF"/>
        <w:kinsoku/>
        <w:wordWrap/>
        <w:overflowPunct/>
        <w:topLinePunct w:val="0"/>
        <w:autoSpaceDE/>
        <w:autoSpaceDN/>
        <w:bidi w:val="0"/>
        <w:adjustRightInd/>
        <w:snapToGrid w:val="0"/>
        <w:spacing w:after="157" w:afterLines="50" w:line="360" w:lineRule="auto"/>
        <w:jc w:val="center"/>
        <w:textAlignment w:val="auto"/>
        <w:rPr>
          <w:color w:val="auto"/>
          <w:kern w:val="0"/>
          <w:sz w:val="28"/>
          <w:szCs w:val="28"/>
          <w:highlight w:val="none"/>
        </w:rPr>
      </w:pPr>
      <w:r>
        <w:rPr>
          <w:rFonts w:hint="eastAsia" w:eastAsia="黑体"/>
          <w:b/>
          <w:bCs/>
          <w:color w:val="auto"/>
          <w:kern w:val="0"/>
          <w:sz w:val="32"/>
          <w:szCs w:val="32"/>
          <w:highlight w:val="none"/>
        </w:rPr>
        <w:t xml:space="preserve">七  </w:t>
      </w:r>
      <w:r>
        <w:rPr>
          <w:rFonts w:hint="eastAsia" w:ascii="黑体" w:hAnsi="宋体" w:eastAsia="黑体" w:cs="宋体"/>
          <w:b/>
          <w:bCs/>
          <w:color w:val="auto"/>
          <w:kern w:val="0"/>
          <w:sz w:val="32"/>
          <w:szCs w:val="32"/>
          <w:highlight w:val="none"/>
        </w:rPr>
        <w:t xml:space="preserve"> 确定成交供应商</w:t>
      </w:r>
    </w:p>
    <w:p w14:paraId="28BD7501">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30.成交原则</w:t>
      </w:r>
    </w:p>
    <w:p w14:paraId="2FB6A04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30.1本次磋商将按照综合评分法确定成交供应商，是指响应文件满足磋商文件全部实质性要求且按评审因素的量化指标评审得分最高的供应商为成交候选供应商的评审办法。价格分采用低价优先法计算，即满足磋商文件要求且最后报价最低的供应商的价格为磋商基准价，其价格分为满分。其他供应商的价格分按照下列公式计算：磋商报价得分＝(评审基准价／评审报价)×</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w:t>
      </w:r>
    </w:p>
    <w:p w14:paraId="75AFF93B">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磋商结果按评审后得分由高到低顺序排列，响应文件满足磋商文件全部实质性要求，且按照评审因素的量化指标评审得分最高的供应商为排名第一的成交候选供应商。得分相同的，按磋商最后报价由低到高顺序排列。得分与磋商最后报价均相同的，按技术指标优劣排列。以上全部相同的，通过随机抽取产生。</w:t>
      </w:r>
    </w:p>
    <w:p w14:paraId="4206A4F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31.确定成交供应商和成交候选供应商</w:t>
      </w:r>
    </w:p>
    <w:p w14:paraId="6447B00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评审委员会根据全体评审成员签字的原始评审记录和评审结果编写评审报告并推荐3名</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候选</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采购代理机构应当履行核对评审结果职责，并在评审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1"/>
          <w:szCs w:val="21"/>
          <w:highlight w:val="none"/>
        </w:rPr>
        <w:t>。</w:t>
      </w:r>
    </w:p>
    <w:p w14:paraId="4DD0275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32.</w:t>
      </w:r>
      <w:r>
        <w:rPr>
          <w:rFonts w:hint="eastAsia" w:ascii="宋体" w:hAnsi="宋体" w:eastAsia="宋体" w:cs="宋体"/>
          <w:color w:val="auto"/>
          <w:kern w:val="0"/>
          <w:sz w:val="21"/>
          <w:szCs w:val="21"/>
          <w:highlight w:val="none"/>
        </w:rPr>
        <w:t xml:space="preserve"> </w:t>
      </w:r>
      <w:r>
        <w:rPr>
          <w:rFonts w:hint="eastAsia" w:ascii="宋体" w:hAnsi="宋体" w:eastAsia="宋体" w:cs="宋体"/>
          <w:b/>
          <w:bCs/>
          <w:color w:val="auto"/>
          <w:kern w:val="0"/>
          <w:sz w:val="21"/>
          <w:szCs w:val="21"/>
          <w:highlight w:val="none"/>
        </w:rPr>
        <w:t>成交通知书及成交公告</w:t>
      </w:r>
    </w:p>
    <w:p w14:paraId="724327F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w:t>
      </w:r>
      <w:r>
        <w:rPr>
          <w:rFonts w:hint="eastAsia" w:ascii="宋体" w:hAnsi="宋体" w:eastAsia="宋体" w:cs="宋体"/>
          <w:color w:val="auto"/>
          <w:kern w:val="0"/>
          <w:sz w:val="21"/>
          <w:szCs w:val="21"/>
          <w:highlight w:val="none"/>
          <w:lang w:val="en-US" w:eastAsia="zh-CN"/>
        </w:rPr>
        <w:t>评审委员会根据全体评审成员签字的原始评审记录和评审结果编写评审报告并推荐成交候选人，由采购人确定成交供应商。确定成交供应商后，采购代理机构及时在河南省政府采购网、驻马店市公共资源交易中心网上发布成交结果公告</w:t>
      </w:r>
      <w:r>
        <w:rPr>
          <w:rFonts w:hint="eastAsia" w:ascii="宋体" w:hAnsi="宋体" w:eastAsia="宋体" w:cs="宋体"/>
          <w:color w:val="auto"/>
          <w:kern w:val="0"/>
          <w:sz w:val="21"/>
          <w:szCs w:val="21"/>
          <w:highlight w:val="none"/>
        </w:rPr>
        <w:t>，同时向成交供应商发出成交通知书。</w:t>
      </w:r>
    </w:p>
    <w:p w14:paraId="61E4681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78"/>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32.2成交供应商在规定的时间内不领取成交通知书的，视为成交后自动放弃成交资格，承担由此引起的一切后果。成交供应商在有效的最后一轮报价中报价最低,非不可抗力放弃成交资格的，视为供应商恶意串通。</w:t>
      </w:r>
    </w:p>
    <w:p w14:paraId="406360F2">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2252E58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32.4成交通知书将作为签订合同的依据。合同签订后，成交通知书成为合同的一部分。</w:t>
      </w:r>
    </w:p>
    <w:p w14:paraId="25C09E20">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79"/>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33.采购代理机构宣布磋商终止的权利</w:t>
      </w:r>
    </w:p>
    <w:p w14:paraId="149E192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79"/>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出现下列情况之一时，采购代理机构有权宣布磋商废止，并将理由通知所有供应商：</w:t>
      </w:r>
    </w:p>
    <w:p w14:paraId="684E0AD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79"/>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33.1出现影响采购公正的违法、违规行为的。</w:t>
      </w:r>
    </w:p>
    <w:p w14:paraId="5B3C815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33.2 供应商的最后一轮报价均超过了采购控制价，采购人不能支付的。</w:t>
      </w:r>
    </w:p>
    <w:p w14:paraId="377C1DAA">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因重大变故，采购任务取消的。</w:t>
      </w:r>
    </w:p>
    <w:p w14:paraId="5F805EB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rPr>
          <w:rFonts w:ascii="宋体" w:hAnsi="宋体"/>
          <w:color w:val="auto"/>
          <w:kern w:val="0"/>
          <w:sz w:val="24"/>
          <w:highlight w:val="none"/>
        </w:rPr>
      </w:pPr>
      <w:r>
        <w:rPr>
          <w:rFonts w:hint="eastAsia" w:ascii="宋体" w:hAnsi="宋体" w:eastAsia="宋体" w:cs="宋体"/>
          <w:color w:val="auto"/>
          <w:kern w:val="0"/>
          <w:sz w:val="21"/>
          <w:szCs w:val="21"/>
          <w:highlight w:val="none"/>
        </w:rPr>
        <w:t>33.4 递交磋商响应文件截止时间结束后参加供应商不足3家的，评审期间符合专业条件的供应商或者对磋商文件作出实质响应的供应商不足3家的。</w:t>
      </w:r>
    </w:p>
    <w:p w14:paraId="72A5EC7A">
      <w:pPr>
        <w:rPr>
          <w:color w:val="auto"/>
          <w:highlight w:val="none"/>
        </w:rPr>
      </w:pPr>
      <w:bookmarkStart w:id="28" w:name="_Toc355985903"/>
      <w:r>
        <w:rPr>
          <w:color w:val="auto"/>
          <w:highlight w:val="none"/>
        </w:rPr>
        <w:br w:type="page"/>
      </w:r>
    </w:p>
    <w:p w14:paraId="7064224B">
      <w:pPr>
        <w:bidi w:val="0"/>
        <w:rPr>
          <w:rFonts w:hint="eastAsia"/>
          <w:color w:val="auto"/>
          <w:highlight w:val="none"/>
        </w:rPr>
      </w:pPr>
    </w:p>
    <w:p w14:paraId="2F86223E">
      <w:pPr>
        <w:spacing w:line="460" w:lineRule="exact"/>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八  磋商办法及评分标准</w:t>
      </w:r>
      <w:bookmarkEnd w:id="28"/>
    </w:p>
    <w:p w14:paraId="7373CC90">
      <w:pPr>
        <w:keepNext w:val="0"/>
        <w:keepLines w:val="0"/>
        <w:pageBreakBefore w:val="0"/>
        <w:widowControl w:val="0"/>
        <w:kinsoku/>
        <w:wordWrap/>
        <w:overflowPunct/>
        <w:topLinePunct w:val="0"/>
        <w:autoSpaceDE/>
        <w:autoSpaceDN/>
        <w:bidi w:val="0"/>
        <w:adjustRightInd/>
        <w:snapToGrid w:val="0"/>
        <w:spacing w:before="313" w:beforeLines="100" w:after="157" w:afterLines="50" w:line="36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综合评分法</w:t>
      </w:r>
    </w:p>
    <w:p w14:paraId="437854C6">
      <w:pPr>
        <w:keepNext w:val="0"/>
        <w:keepLines w:val="0"/>
        <w:pageBreakBefore w:val="0"/>
        <w:widowControl/>
        <w:shd w:val="clear" w:color="auto" w:fill="FFFFFF"/>
        <w:kinsoku/>
        <w:overflowPunct/>
        <w:topLinePunct w:val="0"/>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采购人和采购代理机构可以根据采购项目的实际情况增减相关评审因素，也可以在总则规定的幅度内调整各项分值。</w:t>
      </w:r>
    </w:p>
    <w:p w14:paraId="30C98F0B">
      <w:pPr>
        <w:keepNext w:val="0"/>
        <w:keepLines w:val="0"/>
        <w:pageBreakBefore w:val="0"/>
        <w:widowControl/>
        <w:shd w:val="clear" w:color="auto" w:fill="FFFFFF"/>
        <w:kinsoku/>
        <w:overflowPunct/>
        <w:topLinePunct w:val="0"/>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评审因素的设定应当与供应商所提供货物</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服务</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rPr>
        <w:t>的质量相关，包括磋商报价、技术或者服务水平、履约能力、售后服务等。资格条件不得作为评审因素。评审因素应当在采购文件中规定。</w:t>
      </w:r>
    </w:p>
    <w:p w14:paraId="0A2C3E6D">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评审因素应当细化和量化，且与相应的商务条件和采购需求对应。商务条件和采购需求指标有区间规定的，评审因素应当量化到相应区间，并设置各区间对应的不同分值。</w:t>
      </w:r>
    </w:p>
    <w:p w14:paraId="5F3A11E1">
      <w:pPr>
        <w:keepNext w:val="0"/>
        <w:keepLines w:val="0"/>
        <w:pageBreakBefore w:val="0"/>
        <w:widowControl/>
        <w:shd w:val="clear" w:color="auto" w:fill="FFFFFF"/>
        <w:kinsoku/>
        <w:overflowPunct/>
        <w:topLinePunct w:val="0"/>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为公正、公平、科学地选择成交供应商，根据《中华人民共和国政府采购法》、《政府采购竞争性磋商采购方式管理暂行规定》等有关法律法规的规定，并结合本项目的实际，制定本办法。</w:t>
      </w:r>
    </w:p>
    <w:p w14:paraId="1B1BE2E2">
      <w:pPr>
        <w:keepNext w:val="0"/>
        <w:keepLines w:val="0"/>
        <w:pageBreakBefore w:val="0"/>
        <w:widowControl/>
        <w:shd w:val="clear" w:color="auto" w:fill="FFFFFF"/>
        <w:kinsoku/>
        <w:overflowPunct/>
        <w:topLinePunct w:val="0"/>
        <w:bidi w:val="0"/>
        <w:snapToGrid w:val="0"/>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一、总则</w:t>
      </w:r>
    </w:p>
    <w:p w14:paraId="27D2F8A6">
      <w:pPr>
        <w:keepNext w:val="0"/>
        <w:keepLines w:val="0"/>
        <w:pageBreakBefore w:val="0"/>
        <w:widowControl/>
        <w:shd w:val="clear" w:color="auto" w:fill="FFFFFF"/>
        <w:kinsoku/>
        <w:overflowPunct/>
        <w:topLinePunct w:val="0"/>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本次评审采用综合评分法，总分为100分。按供应商须知第30项的规定排列成交资格。评分过程中采用四舍五入法，保留小数2位。</w:t>
      </w:r>
    </w:p>
    <w:p w14:paraId="4CE5066E">
      <w:pPr>
        <w:keepNext w:val="0"/>
        <w:keepLines w:val="0"/>
        <w:pageBreakBefore w:val="0"/>
        <w:widowControl/>
        <w:shd w:val="clear" w:color="auto" w:fill="FFFFFF"/>
        <w:kinsoku/>
        <w:overflowPunct/>
        <w:topLinePunct w:val="0"/>
        <w:bidi w:val="0"/>
        <w:snapToGrid w:val="0"/>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二、磋商内容及标准</w:t>
      </w:r>
    </w:p>
    <w:tbl>
      <w:tblPr>
        <w:tblStyle w:val="40"/>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14:paraId="4C0B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14:paraId="28B6DC8E">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78F3C02B">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价格折扣幅度</w:t>
            </w:r>
          </w:p>
        </w:tc>
      </w:tr>
      <w:tr w14:paraId="15F7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14:paraId="4D9FCFA6">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节能产品</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420523D6">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3%</w:t>
            </w:r>
          </w:p>
        </w:tc>
      </w:tr>
      <w:tr w14:paraId="75B4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14:paraId="57ED5FD1">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环保产品</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77AF429A">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3%</w:t>
            </w:r>
          </w:p>
        </w:tc>
      </w:tr>
      <w:tr w14:paraId="569F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14:paraId="09B9A2CA">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投标产品出自小型或微型企业。监狱企业、残疾人福利性单位视同小型、微型企业。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center"/>
          </w:tcPr>
          <w:p w14:paraId="1DD1B181">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eastAsia="zh-CN"/>
              </w:rPr>
              <w:t>%</w:t>
            </w:r>
          </w:p>
        </w:tc>
      </w:tr>
      <w:tr w14:paraId="7A07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14:paraId="60352A3A">
            <w:pPr>
              <w:widowControl/>
              <w:spacing w:line="360" w:lineRule="auto"/>
              <w:ind w:firstLine="1050" w:firstLineChars="5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1004C4CC">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或所投产品按规定享受其他国家政策支持、扶持的，由</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提供相关法律法规政策依据，每项按0.5%折扣。</w:t>
            </w:r>
          </w:p>
        </w:tc>
      </w:tr>
      <w:tr w14:paraId="1238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0" w:type="dxa"/>
            <w:gridSpan w:val="2"/>
            <w:tcBorders>
              <w:top w:val="single" w:color="auto" w:sz="4" w:space="0"/>
              <w:left w:val="single" w:color="auto" w:sz="4" w:space="0"/>
              <w:bottom w:val="single" w:color="auto" w:sz="4" w:space="0"/>
              <w:right w:val="single" w:color="auto" w:sz="4" w:space="0"/>
            </w:tcBorders>
            <w:noWrap w:val="0"/>
            <w:vAlign w:val="center"/>
          </w:tcPr>
          <w:p w14:paraId="4347A51E">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auto"/>
              </w:rPr>
              <w:t>根据《政府采购促进中小企业发展管理办法》(财库〔2020〕46号)的规定，参加政府采购活动的中小企业应当提供《中小企业声明函》。只有当</w:t>
            </w:r>
            <w:r>
              <w:rPr>
                <w:rFonts w:hint="eastAsia" w:ascii="宋体" w:hAnsi="宋体" w:cs="宋体"/>
                <w:color w:val="auto"/>
                <w:kern w:val="0"/>
                <w:sz w:val="21"/>
                <w:szCs w:val="21"/>
                <w:highlight w:val="none"/>
                <w:shd w:val="clear" w:color="auto" w:fill="auto"/>
                <w:lang w:eastAsia="zh-CN"/>
              </w:rPr>
              <w:t>供应商</w:t>
            </w:r>
            <w:r>
              <w:rPr>
                <w:rFonts w:hint="eastAsia" w:ascii="宋体" w:hAnsi="宋体" w:eastAsia="宋体" w:cs="宋体"/>
                <w:color w:val="auto"/>
                <w:kern w:val="0"/>
                <w:sz w:val="21"/>
                <w:szCs w:val="21"/>
                <w:highlight w:val="none"/>
                <w:shd w:val="clear" w:color="auto" w:fill="auto"/>
              </w:rPr>
              <w:t>提供的货物均由小微企业制造，才能享受价格扣除政策。如果小微供应商提供的货物既有中型企业制造货物，也有小微企业制造货物的，不享受价格扣除相关政策。</w:t>
            </w:r>
            <w:r>
              <w:rPr>
                <w:rFonts w:hint="eastAsia" w:ascii="宋体" w:hAnsi="宋体" w:cs="宋体"/>
                <w:color w:val="auto"/>
                <w:kern w:val="0"/>
                <w:sz w:val="21"/>
                <w:szCs w:val="21"/>
                <w:highlight w:val="none"/>
                <w:shd w:val="clear" w:color="auto" w:fill="auto"/>
                <w:lang w:eastAsia="zh-CN"/>
              </w:rPr>
              <w:t>供应商</w:t>
            </w:r>
            <w:r>
              <w:rPr>
                <w:rFonts w:hint="eastAsia" w:ascii="宋体" w:hAnsi="宋体" w:eastAsia="宋体" w:cs="宋体"/>
                <w:color w:val="auto"/>
                <w:kern w:val="0"/>
                <w:sz w:val="21"/>
                <w:szCs w:val="21"/>
                <w:highlight w:val="none"/>
                <w:shd w:val="clear" w:color="auto" w:fill="auto"/>
              </w:rPr>
              <w:t>提供的货物既有中小企业制造货物，也有大型企业制造货物的，不享受本办法规定的中小企业扶持政策。</w:t>
            </w:r>
          </w:p>
        </w:tc>
      </w:tr>
    </w:tbl>
    <w:p w14:paraId="04E9E50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注:(1)投标产品属节能或环境标志产品品目清单范围的，以国家确定的认证机构出具的、处于有效期之内的节能产品、环境标志产品认证证书为准。属于强制采购的产品，不再给予价格优惠。</w:t>
      </w:r>
    </w:p>
    <w:p w14:paraId="5DD790E9">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一个标包内有多个产品的，标包内所有产品均符合中小企业政策的才能执行扣减。</w:t>
      </w:r>
    </w:p>
    <w:p w14:paraId="68EAF8BD">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根据《政府采购促进中小企业发展管理办法》（财库[2020]46号）的规定，参加政府采购活动的中小企业应当提供《中小企业声明函》。</w:t>
      </w:r>
    </w:p>
    <w:p w14:paraId="2717CA1D">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4EB8DD7D">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（5）根据《财政部 民政部 中国残疾人联合会关于促进残疾人就业政府采购政策的通知》（财库〔2017〕141号）的规定，享受政府采购支持政策的残疾人福利性单位应当提供《残疾人福利性单位声明函》。</w:t>
      </w:r>
    </w:p>
    <w:p w14:paraId="12579EB6">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lang w:eastAsia="zh-CN"/>
        </w:rPr>
        <w:t>）同一供应商（包括联合体），小微企业、监狱、残疾人福利性企业价格扣除优惠只享受一次，不得重复享受。</w:t>
      </w:r>
    </w:p>
    <w:p w14:paraId="611ABFCD">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highlight w:val="none"/>
          <w:lang w:eastAsia="zh-CN"/>
        </w:rPr>
      </w:pPr>
    </w:p>
    <w:p w14:paraId="216458C8">
      <w:pP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br w:type="page"/>
      </w:r>
    </w:p>
    <w:p w14:paraId="2DBEBD7F">
      <w:pPr>
        <w:bidi w:val="0"/>
        <w:rPr>
          <w:rFonts w:hint="eastAsia"/>
          <w:color w:val="auto"/>
          <w:highlight w:val="none"/>
        </w:rPr>
      </w:pPr>
    </w:p>
    <w:p w14:paraId="0C05E6DF">
      <w:pPr>
        <w:keepNext w:val="0"/>
        <w:keepLines w:val="0"/>
        <w:pageBreakBefore w:val="0"/>
        <w:widowControl/>
        <w:kinsoku/>
        <w:wordWrap/>
        <w:overflowPunct/>
        <w:topLinePunct w:val="0"/>
        <w:autoSpaceDE/>
        <w:autoSpaceDN/>
        <w:bidi w:val="0"/>
        <w:adjustRightInd/>
        <w:snapToGrid w:val="0"/>
        <w:spacing w:after="157" w:afterLines="50" w:line="360"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4"/>
          <w:szCs w:val="24"/>
          <w:highlight w:val="none"/>
        </w:rPr>
        <w:t>评分内容及标准</w:t>
      </w:r>
    </w:p>
    <w:tbl>
      <w:tblPr>
        <w:tblStyle w:val="40"/>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327"/>
        <w:gridCol w:w="821"/>
        <w:gridCol w:w="6302"/>
      </w:tblGrid>
      <w:tr w14:paraId="19D4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5" w:type="dxa"/>
            <w:gridSpan w:val="2"/>
            <w:tcBorders>
              <w:top w:val="single" w:color="auto" w:sz="4" w:space="0"/>
              <w:left w:val="single" w:color="auto" w:sz="4" w:space="0"/>
              <w:bottom w:val="single" w:color="auto" w:sz="4" w:space="0"/>
              <w:right w:val="single" w:color="auto" w:sz="4" w:space="0"/>
            </w:tcBorders>
            <w:noWrap w:val="0"/>
            <w:vAlign w:val="center"/>
          </w:tcPr>
          <w:p w14:paraId="029FE06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pacing w:val="15"/>
                <w:sz w:val="21"/>
                <w:szCs w:val="21"/>
                <w:highlight w:val="none"/>
              </w:rPr>
              <w:t>分值构成(总分100分)</w:t>
            </w:r>
          </w:p>
        </w:tc>
        <w:tc>
          <w:tcPr>
            <w:tcW w:w="7123" w:type="dxa"/>
            <w:gridSpan w:val="2"/>
            <w:tcBorders>
              <w:top w:val="single" w:color="auto" w:sz="4" w:space="0"/>
              <w:left w:val="single" w:color="auto" w:sz="4" w:space="0"/>
              <w:bottom w:val="single" w:color="auto" w:sz="4" w:space="0"/>
              <w:right w:val="single" w:color="auto" w:sz="4" w:space="0"/>
            </w:tcBorders>
            <w:noWrap w:val="0"/>
            <w:vAlign w:val="center"/>
          </w:tcPr>
          <w:p w14:paraId="50958FD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lang w:val="en-US" w:eastAsia="zh-CN"/>
              </w:rPr>
              <w:t>价格分</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5"/>
                <w:sz w:val="21"/>
                <w:szCs w:val="21"/>
                <w:highlight w:val="none"/>
                <w:lang w:val="en-US" w:eastAsia="zh-CN"/>
              </w:rPr>
              <w:t>30</w:t>
            </w:r>
            <w:r>
              <w:rPr>
                <w:rFonts w:hint="eastAsia" w:ascii="宋体" w:hAnsi="宋体" w:eastAsia="宋体" w:cs="宋体"/>
                <w:color w:val="auto"/>
                <w:spacing w:val="15"/>
                <w:sz w:val="21"/>
                <w:szCs w:val="21"/>
                <w:highlight w:val="none"/>
              </w:rPr>
              <w:t>分</w:t>
            </w:r>
          </w:p>
          <w:p w14:paraId="0B8FFEE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技术分：</w:t>
            </w:r>
            <w:r>
              <w:rPr>
                <w:rFonts w:hint="eastAsia" w:ascii="宋体" w:hAnsi="宋体" w:cs="宋体"/>
                <w:color w:val="auto"/>
                <w:spacing w:val="15"/>
                <w:sz w:val="21"/>
                <w:szCs w:val="21"/>
                <w:highlight w:val="none"/>
                <w:lang w:val="en-US" w:eastAsia="zh-CN"/>
              </w:rPr>
              <w:t>48</w:t>
            </w:r>
            <w:r>
              <w:rPr>
                <w:rFonts w:hint="eastAsia" w:ascii="宋体" w:hAnsi="宋体" w:eastAsia="宋体" w:cs="宋体"/>
                <w:color w:val="auto"/>
                <w:spacing w:val="15"/>
                <w:sz w:val="21"/>
                <w:szCs w:val="21"/>
                <w:highlight w:val="none"/>
              </w:rPr>
              <w:t>分</w:t>
            </w:r>
          </w:p>
          <w:p w14:paraId="401E7BB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商务分：</w:t>
            </w:r>
            <w:r>
              <w:rPr>
                <w:rFonts w:hint="eastAsia" w:ascii="宋体" w:hAnsi="宋体" w:cs="宋体"/>
                <w:color w:val="auto"/>
                <w:spacing w:val="15"/>
                <w:sz w:val="21"/>
                <w:szCs w:val="21"/>
                <w:highlight w:val="none"/>
                <w:lang w:val="en-US" w:eastAsia="zh-CN"/>
              </w:rPr>
              <w:t>18</w:t>
            </w:r>
            <w:r>
              <w:rPr>
                <w:rFonts w:hint="eastAsia" w:ascii="宋体" w:hAnsi="宋体" w:eastAsia="宋体" w:cs="宋体"/>
                <w:color w:val="auto"/>
                <w:spacing w:val="15"/>
                <w:sz w:val="21"/>
                <w:szCs w:val="21"/>
                <w:highlight w:val="none"/>
              </w:rPr>
              <w:t>分</w:t>
            </w:r>
          </w:p>
          <w:p w14:paraId="31824FA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5"/>
                <w:sz w:val="21"/>
                <w:szCs w:val="21"/>
                <w:highlight w:val="none"/>
                <w:lang w:val="en-US" w:eastAsia="zh-CN"/>
              </w:rPr>
              <w:t>资信及其他：</w:t>
            </w:r>
            <w:r>
              <w:rPr>
                <w:rFonts w:hint="eastAsia" w:ascii="宋体" w:hAnsi="宋体" w:cs="宋体"/>
                <w:color w:val="auto"/>
                <w:spacing w:val="15"/>
                <w:sz w:val="21"/>
                <w:szCs w:val="21"/>
                <w:highlight w:val="none"/>
                <w:lang w:val="en-US" w:eastAsia="zh-CN"/>
              </w:rPr>
              <w:t>4</w:t>
            </w:r>
            <w:r>
              <w:rPr>
                <w:rFonts w:hint="eastAsia" w:ascii="宋体" w:hAnsi="宋体" w:eastAsia="宋体" w:cs="宋体"/>
                <w:color w:val="auto"/>
                <w:spacing w:val="15"/>
                <w:sz w:val="21"/>
                <w:szCs w:val="21"/>
                <w:highlight w:val="none"/>
                <w:lang w:val="en-US" w:eastAsia="zh-CN"/>
              </w:rPr>
              <w:t>分</w:t>
            </w:r>
          </w:p>
        </w:tc>
      </w:tr>
      <w:tr w14:paraId="7AA6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2CB247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序号</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CE691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评分内容</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2C70AB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分值</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6EBF336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评审标准</w:t>
            </w:r>
          </w:p>
        </w:tc>
      </w:tr>
      <w:tr w14:paraId="0B0A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128" w:type="dxa"/>
            <w:gridSpan w:val="4"/>
            <w:tcBorders>
              <w:top w:val="single" w:color="auto" w:sz="4" w:space="0"/>
              <w:left w:val="single" w:color="auto" w:sz="4" w:space="0"/>
              <w:bottom w:val="single" w:color="auto" w:sz="4" w:space="0"/>
              <w:right w:val="single" w:color="auto" w:sz="4" w:space="0"/>
            </w:tcBorders>
            <w:noWrap w:val="0"/>
            <w:vAlign w:val="center"/>
          </w:tcPr>
          <w:p w14:paraId="512D020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rPr>
              <w:t>一、价格分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tc>
      </w:tr>
      <w:tr w14:paraId="5271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D991FE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D555A0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价格分</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9758F07">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5D769AC3">
            <w:pPr>
              <w:keepNext w:val="0"/>
              <w:keepLines w:val="0"/>
              <w:pageBreakBefore w:val="0"/>
              <w:kinsoku/>
              <w:wordWrap/>
              <w:overflowPunct/>
              <w:topLinePunct w:val="0"/>
              <w:autoSpaceDE/>
              <w:autoSpaceDN/>
              <w:bidi w:val="0"/>
              <w:adjustRightInd/>
              <w:snapToGrid w:val="0"/>
              <w:spacing w:line="360" w:lineRule="exact"/>
              <w:ind w:left="0" w:leftChars="0" w:firstLine="219" w:firstLineChars="104"/>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价格分采用低价优先法计算，</w:t>
            </w:r>
            <w:r>
              <w:rPr>
                <w:rFonts w:hint="eastAsia"/>
                <w:color w:val="auto"/>
                <w:highlight w:val="none"/>
              </w:rPr>
              <w:t>即满足竞争性磋商文件要求且评审报价最低的为</w:t>
            </w:r>
            <w:r>
              <w:rPr>
                <w:rFonts w:hint="eastAsia" w:ascii="宋体" w:hAnsi="宋体" w:eastAsia="宋体" w:cs="宋体"/>
                <w:color w:val="auto"/>
                <w:kern w:val="0"/>
                <w:sz w:val="21"/>
                <w:szCs w:val="21"/>
                <w:highlight w:val="none"/>
              </w:rPr>
              <w:t>评审基准价，其价格分为满分。其他供应商的价格分统一按照下列公式计算：</w:t>
            </w:r>
          </w:p>
          <w:p w14:paraId="2B8FECEC">
            <w:pPr>
              <w:keepNext w:val="0"/>
              <w:keepLines w:val="0"/>
              <w:pageBreakBefore w:val="0"/>
              <w:widowControl/>
              <w:shd w:val="clear" w:color="auto" w:fill="FFFFFF"/>
              <w:kinsoku/>
              <w:wordWrap/>
              <w:overflowPunct/>
              <w:topLinePunct w:val="0"/>
              <w:autoSpaceDE/>
              <w:autoSpaceDN/>
              <w:bidi w:val="0"/>
              <w:adjustRightInd/>
              <w:snapToGrid w:val="0"/>
              <w:spacing w:line="360" w:lineRule="exact"/>
              <w:ind w:left="0" w:leftChars="0" w:firstLine="219" w:firstLineChars="104"/>
              <w:jc w:val="left"/>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最后磋商报价得分=(评审基准价／评审报价)×</w:t>
            </w:r>
            <w:r>
              <w:rPr>
                <w:rFonts w:hint="eastAsia" w:ascii="宋体" w:hAnsi="宋体" w:cs="宋体"/>
                <w:b/>
                <w:color w:val="auto"/>
                <w:sz w:val="21"/>
                <w:szCs w:val="21"/>
                <w:highlight w:val="none"/>
                <w:lang w:val="en-US" w:eastAsia="zh-CN"/>
              </w:rPr>
              <w:t>30</w:t>
            </w:r>
          </w:p>
          <w:p w14:paraId="608FE0E7">
            <w:pPr>
              <w:keepNext w:val="0"/>
              <w:keepLines w:val="0"/>
              <w:pageBreakBefore w:val="0"/>
              <w:widowControl/>
              <w:shd w:val="clear" w:color="auto" w:fill="FFFFFF"/>
              <w:kinsoku/>
              <w:wordWrap/>
              <w:overflowPunct/>
              <w:topLinePunct w:val="0"/>
              <w:autoSpaceDE/>
              <w:autoSpaceDN/>
              <w:bidi w:val="0"/>
              <w:adjustRightInd/>
              <w:snapToGrid w:val="0"/>
              <w:spacing w:line="360" w:lineRule="exact"/>
              <w:ind w:left="0" w:leftChars="0" w:firstLine="218" w:firstLineChars="1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依据政府采购相关法律法规规定，评审过程中，磋商小组发现供应商的磋商报价明显低于其他供应商的磋商报价，使其磋商报价可能低于其个别成本的，磋商小组应当对其质询，并要求该供应商作出书面说明和提供相关的证明材料；该供应商不能合理说明或提供证明材料的，其响应文件将被否决</w:t>
            </w:r>
            <w:r>
              <w:rPr>
                <w:rFonts w:hint="eastAsia" w:ascii="宋体" w:hAnsi="宋体" w:eastAsia="宋体" w:cs="宋体"/>
                <w:color w:val="auto"/>
                <w:kern w:val="0"/>
                <w:sz w:val="21"/>
                <w:szCs w:val="21"/>
                <w:highlight w:val="none"/>
                <w:lang w:eastAsia="zh-CN"/>
              </w:rPr>
              <w:t>。</w:t>
            </w:r>
          </w:p>
        </w:tc>
      </w:tr>
      <w:tr w14:paraId="4F68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28" w:type="dxa"/>
            <w:gridSpan w:val="4"/>
            <w:tcBorders>
              <w:top w:val="single" w:color="auto" w:sz="4" w:space="0"/>
              <w:left w:val="single" w:color="auto" w:sz="4" w:space="0"/>
              <w:bottom w:val="single" w:color="auto" w:sz="4" w:space="0"/>
              <w:right w:val="single" w:color="auto" w:sz="4" w:space="0"/>
            </w:tcBorders>
            <w:noWrap w:val="0"/>
            <w:vAlign w:val="center"/>
          </w:tcPr>
          <w:p w14:paraId="3C952486">
            <w:pPr>
              <w:pStyle w:val="139"/>
              <w:keepNext w:val="0"/>
              <w:keepLines w:val="0"/>
              <w:pageBreakBefore w:val="0"/>
              <w:suppressAutoHyphens/>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二、技术分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48</w:t>
            </w:r>
            <w:r>
              <w:rPr>
                <w:rFonts w:hint="eastAsia" w:ascii="宋体" w:hAnsi="宋体" w:eastAsia="宋体" w:cs="宋体"/>
                <w:color w:val="auto"/>
                <w:sz w:val="21"/>
                <w:szCs w:val="21"/>
                <w:highlight w:val="none"/>
                <w:lang w:val="en-US" w:eastAsia="zh-CN"/>
              </w:rPr>
              <w:t>分）</w:t>
            </w:r>
          </w:p>
        </w:tc>
      </w:tr>
      <w:tr w14:paraId="5C43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83B7199">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1</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B28333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技术参数</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712BCA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40</w:t>
            </w:r>
            <w:r>
              <w:rPr>
                <w:rFonts w:hint="eastAsia" w:ascii="宋体" w:hAnsi="宋体" w:eastAsia="宋体" w:cs="宋体"/>
                <w:bCs/>
                <w:color w:val="auto"/>
                <w:kern w:val="0"/>
                <w:sz w:val="21"/>
                <w:szCs w:val="21"/>
                <w:highlight w:val="none"/>
              </w:rPr>
              <w:t>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13796C4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供应商完全满足采购文件“第二章 采购需求</w:t>
            </w:r>
            <w:r>
              <w:rPr>
                <w:rFonts w:hint="eastAsia" w:ascii="宋体" w:hAnsi="宋体" w:cs="宋体"/>
                <w:color w:val="auto"/>
                <w:sz w:val="21"/>
                <w:szCs w:val="21"/>
                <w:highlight w:val="none"/>
                <w:lang w:val="en-US" w:eastAsia="zh-CN"/>
              </w:rPr>
              <w:t xml:space="preserve"> 三、技术要求</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其中带“★”项的技术参数为重要技术参数，有一项不满足，在满分40分的基础上扣5分；不带“★”项的技术参数为一般性技术参数，有一项不满足，在满分40分的基础上扣2分。</w:t>
            </w:r>
            <w:r>
              <w:rPr>
                <w:rFonts w:hint="eastAsia" w:ascii="宋体" w:hAnsi="宋体" w:eastAsia="宋体" w:cs="宋体"/>
                <w:color w:val="auto"/>
                <w:sz w:val="21"/>
                <w:szCs w:val="21"/>
                <w:highlight w:val="none"/>
              </w:rPr>
              <w:t>扣完为止。</w:t>
            </w:r>
          </w:p>
          <w:p w14:paraId="26AA6842">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0C7FE98A">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1）投标人在制作技术响应表时需针对“第二章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val="en-US" w:eastAsia="zh-CN"/>
              </w:rPr>
              <w:t xml:space="preserve"> 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技术要求（一） 模拟定位机技术参数</w:t>
            </w:r>
            <w:r>
              <w:rPr>
                <w:rFonts w:hint="eastAsia" w:ascii="宋体" w:hAnsi="宋体" w:eastAsia="宋体" w:cs="宋体"/>
                <w:color w:val="auto"/>
                <w:sz w:val="21"/>
                <w:szCs w:val="21"/>
                <w:highlight w:val="none"/>
              </w:rPr>
              <w:t>”如实填写并标注偏离情况。</w:t>
            </w:r>
          </w:p>
          <w:p w14:paraId="2E38D3E1">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2）投标人所投产品需提供医疗器械注册证【含附件：产品技术要求（如有）】</w:t>
            </w:r>
            <w:r>
              <w:rPr>
                <w:rFonts w:hint="eastAsia" w:ascii="宋体" w:hAnsi="宋体" w:eastAsia="宋体" w:cs="宋体"/>
                <w:b/>
                <w:bCs/>
                <w:i w:val="0"/>
                <w:iCs w:val="0"/>
                <w:color w:val="auto"/>
                <w:sz w:val="21"/>
                <w:szCs w:val="21"/>
                <w:highlight w:val="none"/>
                <w:lang w:val="en-US" w:eastAsia="zh-CN"/>
              </w:rPr>
              <w:t>或医疗器械备案凭证</w:t>
            </w:r>
            <w:r>
              <w:rPr>
                <w:rFonts w:hint="eastAsia" w:ascii="宋体" w:hAnsi="宋体" w:eastAsia="宋体" w:cs="宋体"/>
                <w:b/>
                <w:bCs/>
                <w:color w:val="auto"/>
                <w:sz w:val="21"/>
                <w:szCs w:val="21"/>
                <w:highlight w:val="none"/>
                <w:lang w:val="en-US" w:eastAsia="zh-CN"/>
              </w:rPr>
              <w:t>，如未按要求提供，则投标无效。</w:t>
            </w:r>
          </w:p>
          <w:p w14:paraId="5FD0DB97">
            <w:pPr>
              <w:keepNext w:val="0"/>
              <w:keepLines w:val="0"/>
              <w:pageBreakBefore w:val="0"/>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提供产品注册检验报告、响应技术参数条款的技术白皮书和彩页等相关文件，并对响应技术参数部分做出明显标注。</w:t>
            </w:r>
            <w:r>
              <w:rPr>
                <w:rFonts w:hint="eastAsia" w:ascii="宋体" w:hAnsi="宋体" w:eastAsia="宋体" w:cs="宋体"/>
                <w:color w:val="auto"/>
                <w:sz w:val="21"/>
                <w:szCs w:val="21"/>
                <w:highlight w:val="none"/>
                <w:lang w:val="en-US" w:eastAsia="zh-CN"/>
              </w:rPr>
              <w:t>未提供对应证明材料的，视为该项参数不满足第二章 “三、技术要求”，做扣分处理。</w:t>
            </w:r>
          </w:p>
        </w:tc>
      </w:tr>
      <w:tr w14:paraId="5B34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31D88B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04278094">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供货、安装</w:t>
            </w:r>
            <w:r>
              <w:rPr>
                <w:rFonts w:hint="eastAsia" w:ascii="宋体" w:hAnsi="宋体" w:cs="宋体"/>
                <w:color w:val="auto"/>
                <w:sz w:val="21"/>
                <w:szCs w:val="21"/>
                <w:highlight w:val="none"/>
                <w:lang w:eastAsia="zh-CN"/>
              </w:rPr>
              <w:t>、</w:t>
            </w:r>
            <w:r>
              <w:rPr>
                <w:rFonts w:hint="eastAsia" w:hAnsi="宋体"/>
                <w:bCs/>
                <w:color w:val="auto"/>
                <w:kern w:val="2"/>
                <w:sz w:val="21"/>
                <w:szCs w:val="21"/>
                <w:highlight w:val="none"/>
              </w:rPr>
              <w:t>调试</w:t>
            </w:r>
            <w:r>
              <w:rPr>
                <w:rFonts w:hint="eastAsia" w:ascii="宋体" w:hAnsi="宋体" w:eastAsia="宋体" w:cs="宋体"/>
                <w:color w:val="auto"/>
                <w:sz w:val="21"/>
                <w:szCs w:val="21"/>
                <w:highlight w:val="none"/>
                <w:lang w:val="en-US" w:eastAsia="zh-CN"/>
              </w:rPr>
              <w:t>服务方案</w:t>
            </w:r>
          </w:p>
          <w:p w14:paraId="2BF9B0C5">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kern w:val="0"/>
                <w:sz w:val="21"/>
                <w:szCs w:val="21"/>
                <w:highlight w:val="none"/>
                <w:lang w:val="en-US"/>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B1E149E">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3DF55809">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w:t>
            </w:r>
            <w:r>
              <w:rPr>
                <w:rFonts w:hint="eastAsia" w:ascii="宋体" w:hAnsi="宋体" w:cs="宋体"/>
                <w:color w:val="auto"/>
                <w:sz w:val="21"/>
                <w:szCs w:val="21"/>
                <w:highlight w:val="none"/>
                <w:lang w:val="en-US" w:eastAsia="zh-CN"/>
              </w:rPr>
              <w:t>的供货、安装、调试服务</w:t>
            </w:r>
            <w:r>
              <w:rPr>
                <w:rFonts w:hint="eastAsia" w:ascii="宋体" w:hAnsi="宋体" w:eastAsia="宋体" w:cs="宋体"/>
                <w:color w:val="auto"/>
                <w:sz w:val="21"/>
                <w:szCs w:val="21"/>
                <w:highlight w:val="none"/>
                <w:lang w:val="en-US" w:eastAsia="zh-CN"/>
              </w:rPr>
              <w:t>方案包含（但不限于）以下内容：</w:t>
            </w:r>
          </w:p>
          <w:p w14:paraId="69E4AB17">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供货时间安排及保障措施</w:t>
            </w:r>
            <w:r>
              <w:rPr>
                <w:rFonts w:hint="eastAsia" w:ascii="宋体" w:hAnsi="宋体" w:eastAsia="宋体" w:cs="宋体"/>
                <w:color w:val="auto"/>
                <w:sz w:val="21"/>
                <w:szCs w:val="21"/>
                <w:highlight w:val="none"/>
                <w:lang w:val="en-US" w:eastAsia="zh-CN"/>
              </w:rPr>
              <w:t>；</w:t>
            </w:r>
          </w:p>
          <w:p w14:paraId="15040D72">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②人员配备及职责</w:t>
            </w:r>
            <w:r>
              <w:rPr>
                <w:rFonts w:hint="eastAsia" w:ascii="宋体" w:hAnsi="宋体" w:cs="宋体"/>
                <w:color w:val="auto"/>
                <w:sz w:val="21"/>
                <w:szCs w:val="21"/>
                <w:highlight w:val="none"/>
                <w:lang w:val="en-US" w:eastAsia="zh-CN"/>
              </w:rPr>
              <w:t>分工</w:t>
            </w:r>
            <w:r>
              <w:rPr>
                <w:rFonts w:hint="eastAsia" w:ascii="宋体" w:hAnsi="宋体" w:eastAsia="宋体" w:cs="宋体"/>
                <w:color w:val="auto"/>
                <w:sz w:val="21"/>
                <w:szCs w:val="21"/>
                <w:highlight w:val="none"/>
                <w:lang w:val="en-US" w:eastAsia="zh-CN"/>
              </w:rPr>
              <w:t>；</w:t>
            </w:r>
          </w:p>
          <w:p w14:paraId="6D3293FF">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③安装、调试服务方案</w:t>
            </w:r>
            <w:r>
              <w:rPr>
                <w:rFonts w:hint="eastAsia" w:ascii="宋体" w:hAnsi="宋体" w:cs="宋体"/>
                <w:color w:val="auto"/>
                <w:sz w:val="21"/>
                <w:szCs w:val="21"/>
                <w:highlight w:val="none"/>
                <w:lang w:val="en-US" w:eastAsia="zh-CN"/>
              </w:rPr>
              <w:t>及保障</w:t>
            </w:r>
            <w:r>
              <w:rPr>
                <w:rFonts w:hint="eastAsia" w:ascii="宋体" w:hAnsi="宋体" w:eastAsia="宋体" w:cs="宋体"/>
                <w:color w:val="auto"/>
                <w:kern w:val="2"/>
                <w:sz w:val="21"/>
                <w:szCs w:val="21"/>
                <w:highlight w:val="none"/>
                <w:lang w:val="en-US" w:eastAsia="zh-CN" w:bidi="ar-SA"/>
              </w:rPr>
              <w:t>措施</w:t>
            </w:r>
            <w:r>
              <w:rPr>
                <w:rFonts w:hint="eastAsia" w:ascii="宋体" w:hAnsi="宋体" w:eastAsia="宋体" w:cs="宋体"/>
                <w:color w:val="auto"/>
                <w:sz w:val="21"/>
                <w:szCs w:val="21"/>
                <w:highlight w:val="none"/>
                <w:lang w:val="en-US" w:eastAsia="zh-CN"/>
              </w:rPr>
              <w:t>。</w:t>
            </w:r>
          </w:p>
          <w:p w14:paraId="066676C3">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以上3项内容齐全且满足本项目采购需求的得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分,每缺少一项，或者每有一项内容存在缺陷扣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分，扣完为止。(注:缺陷是指内容不满足采购人采购需求，非专门针对本项目或不适用本项目特性的情形、内容不完整或缺少关键节点、套用其他项目方案、内容前后矛盾、涉及的规范及标准错误等情形)。</w:t>
            </w:r>
          </w:p>
        </w:tc>
      </w:tr>
      <w:tr w14:paraId="654C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19A2EE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3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AFEA47">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cs="宋体"/>
                <w:color w:val="auto"/>
                <w:sz w:val="21"/>
                <w:szCs w:val="21"/>
                <w:highlight w:val="none"/>
                <w:lang w:val="en-US" w:eastAsia="zh-CN"/>
              </w:rPr>
              <w:t>维保服务方案</w:t>
            </w:r>
          </w:p>
        </w:tc>
        <w:tc>
          <w:tcPr>
            <w:tcW w:w="8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5AAB5D">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63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B800C6">
            <w:pPr>
              <w:pStyle w:val="38"/>
              <w:keepNext w:val="0"/>
              <w:keepLines w:val="0"/>
              <w:pageBreakBefore w:val="0"/>
              <w:widowControl w:val="0"/>
              <w:kinsoku/>
              <w:wordWrap/>
              <w:overflowPunct/>
              <w:topLinePunct w:val="0"/>
              <w:autoSpaceDE/>
              <w:autoSpaceDN/>
              <w:bidi w:val="0"/>
              <w:adjustRightInd/>
              <w:snapToGrid w:val="0"/>
              <w:spacing w:after="0" w:line="360" w:lineRule="exact"/>
              <w:ind w:firstLine="210" w:firstLineChars="1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供应商提供的产品维保</w:t>
            </w:r>
            <w:r>
              <w:rPr>
                <w:rFonts w:hint="eastAsia" w:ascii="宋体" w:hAnsi="宋体" w:cs="宋体"/>
                <w:color w:val="auto"/>
                <w:highlight w:val="none"/>
                <w:lang w:val="en-US" w:eastAsia="zh-CN"/>
              </w:rPr>
              <w:t>服务</w:t>
            </w:r>
            <w:r>
              <w:rPr>
                <w:rFonts w:hint="eastAsia" w:ascii="宋体" w:hAnsi="宋体" w:eastAsia="宋体" w:cs="宋体"/>
                <w:color w:val="auto"/>
                <w:highlight w:val="none"/>
                <w:lang w:val="en-US" w:eastAsia="zh-CN"/>
              </w:rPr>
              <w:t>方案包含（但不限于）以下内容：</w:t>
            </w:r>
            <w:r>
              <w:rPr>
                <w:rFonts w:hint="eastAsia" w:ascii="宋体" w:hAnsi="宋体" w:eastAsia="宋体" w:cs="宋体"/>
                <w:color w:val="auto"/>
                <w:kern w:val="2"/>
                <w:sz w:val="21"/>
                <w:szCs w:val="21"/>
                <w:highlight w:val="none"/>
                <w:lang w:val="en-US" w:eastAsia="zh-CN" w:bidi="ar-SA"/>
              </w:rPr>
              <w:t>①产品</w:t>
            </w:r>
            <w:r>
              <w:rPr>
                <w:rFonts w:hint="eastAsia" w:ascii="宋体" w:hAnsi="宋体" w:cs="宋体"/>
                <w:color w:val="auto"/>
                <w:kern w:val="2"/>
                <w:sz w:val="21"/>
                <w:szCs w:val="21"/>
                <w:highlight w:val="none"/>
                <w:lang w:val="en-US" w:eastAsia="zh-CN" w:bidi="ar-SA"/>
              </w:rPr>
              <w:t>维保服务方案及</w:t>
            </w:r>
            <w:r>
              <w:rPr>
                <w:rFonts w:hint="eastAsia" w:ascii="宋体" w:hAnsi="宋体" w:eastAsia="宋体" w:cs="宋体"/>
                <w:color w:val="auto"/>
                <w:kern w:val="2"/>
                <w:sz w:val="21"/>
                <w:szCs w:val="21"/>
                <w:highlight w:val="none"/>
                <w:lang w:val="en-US" w:eastAsia="zh-CN" w:bidi="ar-SA"/>
              </w:rPr>
              <w:t>质量</w:t>
            </w:r>
            <w:r>
              <w:rPr>
                <w:rFonts w:hint="eastAsia" w:ascii="宋体" w:hAnsi="宋体" w:cs="宋体"/>
                <w:color w:val="auto"/>
                <w:kern w:val="2"/>
                <w:sz w:val="21"/>
                <w:szCs w:val="21"/>
                <w:highlight w:val="none"/>
                <w:lang w:val="en-US" w:eastAsia="zh-CN" w:bidi="ar-SA"/>
              </w:rPr>
              <w:t>保障</w:t>
            </w:r>
            <w:r>
              <w:rPr>
                <w:rFonts w:hint="eastAsia" w:ascii="宋体" w:hAnsi="宋体" w:eastAsia="宋体" w:cs="宋体"/>
                <w:color w:val="auto"/>
                <w:kern w:val="2"/>
                <w:sz w:val="21"/>
                <w:szCs w:val="21"/>
                <w:highlight w:val="none"/>
                <w:lang w:val="en-US" w:eastAsia="zh-CN" w:bidi="ar-SA"/>
              </w:rPr>
              <w:t>措施；②产品运输</w:t>
            </w:r>
            <w:r>
              <w:rPr>
                <w:rFonts w:hint="eastAsia" w:ascii="宋体" w:hAnsi="宋体" w:cs="宋体"/>
                <w:color w:val="auto"/>
                <w:kern w:val="2"/>
                <w:sz w:val="21"/>
                <w:szCs w:val="21"/>
                <w:highlight w:val="none"/>
                <w:lang w:val="en-US" w:eastAsia="zh-CN" w:bidi="ar-SA"/>
              </w:rPr>
              <w:t>方案及</w:t>
            </w:r>
            <w:r>
              <w:rPr>
                <w:rFonts w:hint="eastAsia" w:ascii="宋体" w:hAnsi="宋体" w:eastAsia="宋体" w:cs="宋体"/>
                <w:color w:val="auto"/>
                <w:kern w:val="2"/>
                <w:sz w:val="21"/>
                <w:szCs w:val="21"/>
                <w:highlight w:val="none"/>
                <w:lang w:val="en-US" w:eastAsia="zh-CN" w:bidi="ar-SA"/>
              </w:rPr>
              <w:t>保障措施；</w:t>
            </w:r>
          </w:p>
          <w:p w14:paraId="3FB08FAD">
            <w:pPr>
              <w:pStyle w:val="38"/>
              <w:keepNext w:val="0"/>
              <w:keepLines w:val="0"/>
              <w:pageBreakBefore w:val="0"/>
              <w:widowControl w:val="0"/>
              <w:kinsoku/>
              <w:wordWrap/>
              <w:overflowPunct/>
              <w:topLinePunct w:val="0"/>
              <w:autoSpaceDE/>
              <w:autoSpaceDN/>
              <w:bidi w:val="0"/>
              <w:adjustRightInd/>
              <w:snapToGrid w:val="0"/>
              <w:spacing w:after="0" w:line="360" w:lineRule="exact"/>
              <w:ind w:firstLine="210" w:firstLineChars="1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以上2项内容齐全且满足本项目采购需求的得</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分,每缺少一项，或者每有一项内容存在缺陷扣</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分，扣完为止。(注:缺陷是指内容不满足采购人采购需求，非专门针对本项目或不适用本项目特性的情形、内容不完整或缺少关键节点、套用其他项目方案、内容前后矛盾、涉及的规范及标准错误等情形)。</w:t>
            </w:r>
          </w:p>
        </w:tc>
      </w:tr>
      <w:tr w14:paraId="4E63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7F143A8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3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B7C19">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应急</w:t>
            </w:r>
            <w:r>
              <w:rPr>
                <w:rFonts w:hint="eastAsia" w:ascii="宋体" w:hAnsi="宋体" w:cs="宋体"/>
                <w:color w:val="auto"/>
                <w:sz w:val="21"/>
                <w:szCs w:val="21"/>
                <w:highlight w:val="none"/>
                <w:lang w:val="en-US" w:eastAsia="zh-CN"/>
              </w:rPr>
              <w:t>服务方案</w:t>
            </w:r>
          </w:p>
        </w:tc>
        <w:tc>
          <w:tcPr>
            <w:tcW w:w="8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513F53">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63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06E624">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供应商针对突发情况提供应急服务方案，</w:t>
            </w:r>
            <w:r>
              <w:rPr>
                <w:rFonts w:hint="eastAsia" w:ascii="宋体" w:hAnsi="宋体" w:eastAsia="宋体" w:cs="宋体"/>
                <w:color w:val="auto"/>
                <w:sz w:val="21"/>
                <w:szCs w:val="21"/>
                <w:highlight w:val="none"/>
                <w:lang w:val="en-US" w:eastAsia="zh-CN"/>
              </w:rPr>
              <w:t>包含（但不限于）以下内容：</w:t>
            </w:r>
          </w:p>
          <w:p w14:paraId="5A56684A">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①应急响应流程及响应时间；</w:t>
            </w:r>
          </w:p>
          <w:p w14:paraId="554A8A1F">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②应急保障措施（包括但不限于人员、车辆安排等）。</w:t>
            </w:r>
          </w:p>
          <w:p w14:paraId="5FF50357">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每提供一项得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分，最多得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分。未提供者不得分。</w:t>
            </w:r>
          </w:p>
          <w:p w14:paraId="0D3F06A4">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方案具体内容应当针对本项目或适用于本项目特性的情形，内容分项描述完整，不缺少关键节点，具体内容不得套用其他项目方案，方案具体内容前后一致、涉及的规范及标准应当符合相关规定及要求。否则不得分）</w:t>
            </w:r>
          </w:p>
        </w:tc>
      </w:tr>
      <w:tr w14:paraId="7003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128" w:type="dxa"/>
            <w:gridSpan w:val="4"/>
            <w:tcBorders>
              <w:top w:val="single" w:color="auto" w:sz="4" w:space="0"/>
              <w:left w:val="single" w:color="auto" w:sz="4" w:space="0"/>
              <w:bottom w:val="single" w:color="auto" w:sz="4" w:space="0"/>
              <w:right w:val="single" w:color="auto" w:sz="4" w:space="0"/>
            </w:tcBorders>
            <w:noWrap w:val="0"/>
            <w:vAlign w:val="center"/>
          </w:tcPr>
          <w:p w14:paraId="3D82DFD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三、商务分（18分）</w:t>
            </w:r>
          </w:p>
        </w:tc>
      </w:tr>
      <w:tr w14:paraId="3C69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82BDF6B">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64E29C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质保期</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7BAF57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6分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2ADA3476">
            <w:pPr>
              <w:keepNext w:val="0"/>
              <w:keepLines w:val="0"/>
              <w:pageBreakBefore w:val="0"/>
              <w:widowControl/>
              <w:shd w:val="clear" w:color="auto" w:fill="FFFFFF"/>
              <w:kinsoku/>
              <w:wordWrap/>
              <w:overflowPunct/>
              <w:topLinePunct w:val="0"/>
              <w:autoSpaceDE/>
              <w:autoSpaceDN/>
              <w:bidi w:val="0"/>
              <w:adjustRightInd/>
              <w:snapToGrid w:val="0"/>
              <w:spacing w:line="360" w:lineRule="exact"/>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auto"/>
                <w:kern w:val="0"/>
                <w:sz w:val="21"/>
                <w:szCs w:val="21"/>
                <w:highlight w:val="none"/>
                <w:lang w:val="en-US" w:eastAsia="zh-CN"/>
              </w:rPr>
              <w:t>质保期在满足磋商文件规定的基础上每增加一年加2分，最多得6分。提供承诺函，不符合要求不得分。</w:t>
            </w:r>
          </w:p>
        </w:tc>
      </w:tr>
      <w:tr w14:paraId="3727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72C53AD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62BD660B">
            <w:pPr>
              <w:pStyle w:val="12"/>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售后服务保障方案</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023ECFEF">
            <w:pPr>
              <w:pStyle w:val="12"/>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15366E65">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根据供应商</w:t>
            </w:r>
            <w:r>
              <w:rPr>
                <w:rFonts w:hint="eastAsia" w:ascii="宋体" w:hAnsi="宋体" w:cs="宋体"/>
                <w:color w:val="auto"/>
                <w:sz w:val="21"/>
                <w:szCs w:val="21"/>
                <w:highlight w:val="none"/>
                <w:lang w:val="en-US" w:eastAsia="zh-CN"/>
              </w:rPr>
              <w:t>提供的售后</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保障</w:t>
            </w:r>
            <w:r>
              <w:rPr>
                <w:rFonts w:hint="eastAsia" w:ascii="宋体" w:hAnsi="宋体" w:cs="宋体"/>
                <w:color w:val="auto"/>
                <w:sz w:val="21"/>
                <w:szCs w:val="21"/>
                <w:highlight w:val="none"/>
                <w:lang w:val="en-US" w:eastAsia="zh-CN"/>
              </w:rPr>
              <w:t>方案进行打分，</w:t>
            </w:r>
            <w:r>
              <w:rPr>
                <w:rFonts w:hint="eastAsia" w:ascii="宋体" w:hAnsi="宋体" w:eastAsia="宋体" w:cs="宋体"/>
                <w:color w:val="auto"/>
                <w:sz w:val="21"/>
                <w:szCs w:val="21"/>
                <w:highlight w:val="none"/>
              </w:rPr>
              <w:t>包括</w:t>
            </w:r>
            <w:r>
              <w:rPr>
                <w:rFonts w:hint="eastAsia" w:ascii="宋体" w:hAnsi="宋体" w:cs="宋体"/>
                <w:color w:val="auto"/>
                <w:sz w:val="21"/>
                <w:szCs w:val="21"/>
                <w:highlight w:val="none"/>
                <w:lang w:val="en-US" w:eastAsia="zh-CN"/>
              </w:rPr>
              <w:t>但不限于：</w:t>
            </w:r>
          </w:p>
          <w:p w14:paraId="16F16C8D">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售后</w:t>
            </w:r>
            <w:r>
              <w:rPr>
                <w:rFonts w:hint="eastAsia" w:ascii="宋体" w:hAnsi="宋体" w:eastAsia="宋体" w:cs="宋体"/>
                <w:color w:val="auto"/>
                <w:sz w:val="21"/>
                <w:szCs w:val="21"/>
                <w:highlight w:val="none"/>
              </w:rPr>
              <w:t>服务</w:t>
            </w:r>
            <w:r>
              <w:rPr>
                <w:rFonts w:hint="eastAsia" w:ascii="宋体" w:hAnsi="宋体" w:cs="宋体"/>
                <w:color w:val="auto"/>
                <w:sz w:val="21"/>
                <w:szCs w:val="21"/>
                <w:highlight w:val="none"/>
                <w:lang w:val="en-US" w:eastAsia="zh-CN"/>
              </w:rPr>
              <w:t>流程</w:t>
            </w:r>
            <w:r>
              <w:rPr>
                <w:rFonts w:hint="eastAsia" w:ascii="宋体" w:hAnsi="宋体" w:eastAsia="宋体" w:cs="宋体"/>
                <w:color w:val="auto"/>
                <w:sz w:val="21"/>
                <w:szCs w:val="21"/>
                <w:highlight w:val="none"/>
              </w:rPr>
              <w:t>、售后服务体系</w:t>
            </w:r>
            <w:r>
              <w:rPr>
                <w:rFonts w:hint="eastAsia" w:ascii="宋体" w:hAnsi="宋体" w:eastAsia="宋体" w:cs="宋体"/>
                <w:color w:val="auto"/>
                <w:sz w:val="21"/>
                <w:szCs w:val="21"/>
                <w:highlight w:val="none"/>
                <w:lang w:eastAsia="zh-CN"/>
              </w:rPr>
              <w:t>；</w:t>
            </w:r>
          </w:p>
          <w:p w14:paraId="25732DFA">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售后服务站点设立、服务团队</w:t>
            </w:r>
            <w:r>
              <w:rPr>
                <w:rFonts w:hint="eastAsia" w:ascii="宋体" w:hAnsi="宋体" w:eastAsia="宋体" w:cs="宋体"/>
                <w:color w:val="auto"/>
                <w:sz w:val="21"/>
                <w:szCs w:val="21"/>
                <w:highlight w:val="none"/>
                <w:lang w:val="en-US" w:eastAsia="zh-CN"/>
              </w:rPr>
              <w:t>及联系方式</w:t>
            </w:r>
            <w:r>
              <w:rPr>
                <w:rFonts w:hint="eastAsia" w:ascii="宋体" w:hAnsi="宋体" w:cs="宋体"/>
                <w:color w:val="auto"/>
                <w:sz w:val="21"/>
                <w:szCs w:val="21"/>
                <w:highlight w:val="none"/>
                <w:lang w:eastAsia="zh-CN"/>
              </w:rPr>
              <w:t>；</w:t>
            </w:r>
          </w:p>
          <w:p w14:paraId="474F6D7D">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③现场服务措施</w:t>
            </w:r>
            <w:r>
              <w:rPr>
                <w:rFonts w:hint="eastAsia" w:ascii="宋体" w:hAnsi="宋体" w:cs="宋体"/>
                <w:color w:val="auto"/>
                <w:sz w:val="21"/>
                <w:szCs w:val="21"/>
                <w:highlight w:val="none"/>
                <w:lang w:val="en-US" w:eastAsia="zh-CN"/>
              </w:rPr>
              <w:t>（如故障响应时间、故障处理方案等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14:paraId="53919910">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④维修保养</w:t>
            </w:r>
            <w:r>
              <w:rPr>
                <w:rFonts w:hint="eastAsia" w:ascii="宋体" w:hAnsi="宋体" w:cs="宋体"/>
                <w:color w:val="auto"/>
                <w:sz w:val="21"/>
                <w:szCs w:val="21"/>
                <w:highlight w:val="none"/>
                <w:lang w:val="en-US" w:eastAsia="zh-CN"/>
              </w:rPr>
              <w:t>措施及</w:t>
            </w:r>
            <w:r>
              <w:rPr>
                <w:rFonts w:hint="eastAsia" w:ascii="宋体" w:hAnsi="宋体" w:eastAsia="宋体" w:cs="宋体"/>
                <w:color w:val="auto"/>
                <w:sz w:val="21"/>
                <w:szCs w:val="21"/>
                <w:highlight w:val="none"/>
              </w:rPr>
              <w:t>备品备件供应保障</w:t>
            </w:r>
            <w:r>
              <w:rPr>
                <w:rFonts w:hint="eastAsia" w:ascii="宋体" w:hAnsi="宋体" w:eastAsia="宋体" w:cs="宋体"/>
                <w:color w:val="auto"/>
                <w:sz w:val="21"/>
                <w:szCs w:val="21"/>
                <w:highlight w:val="none"/>
                <w:lang w:val="en-US" w:eastAsia="zh-CN"/>
              </w:rPr>
              <w:t>措施</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lang w:eastAsia="zh-CN"/>
              </w:rPr>
              <w:t>；</w:t>
            </w:r>
          </w:p>
          <w:p w14:paraId="6AB3B0BF">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⑤人员培训服务方案等</w:t>
            </w:r>
            <w:r>
              <w:rPr>
                <w:rFonts w:hint="eastAsia" w:ascii="宋体" w:hAnsi="宋体" w:eastAsia="宋体" w:cs="宋体"/>
                <w:color w:val="auto"/>
                <w:sz w:val="21"/>
                <w:szCs w:val="21"/>
                <w:highlight w:val="none"/>
                <w:lang w:eastAsia="zh-CN"/>
              </w:rPr>
              <w:t>。</w:t>
            </w:r>
          </w:p>
          <w:p w14:paraId="19AA21C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每提供一项得2分，最多得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3134E6A5">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方案具体内容应当针对本项目或适用于本项目特性的情形，内容分项描述完整，不缺少关键节点，具体内容不得套用其他项目方案，方案具体内容前后一致、涉及的规范及标准应当符合相关规定及要求。否则不得分。）</w:t>
            </w:r>
          </w:p>
        </w:tc>
      </w:tr>
      <w:tr w14:paraId="21B0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305BC1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39D611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优惠承诺</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4F8DAD4">
            <w:pPr>
              <w:pStyle w:val="12"/>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1CFB3908">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rPr>
              <w:t>根据供应商在满足</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文件要求的基础上另外提出的优惠承诺进行评比：每提供一项对采购人有利的、切实可行的实质性优惠承诺得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分。未提供者不得分。</w:t>
            </w:r>
          </w:p>
        </w:tc>
      </w:tr>
      <w:tr w14:paraId="518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128" w:type="dxa"/>
            <w:gridSpan w:val="4"/>
            <w:tcBorders>
              <w:top w:val="single" w:color="auto" w:sz="4" w:space="0"/>
              <w:left w:val="single" w:color="auto" w:sz="4" w:space="0"/>
              <w:bottom w:val="single" w:color="auto" w:sz="4" w:space="0"/>
              <w:right w:val="single" w:color="auto" w:sz="4" w:space="0"/>
            </w:tcBorders>
            <w:noWrap w:val="0"/>
            <w:vAlign w:val="center"/>
          </w:tcPr>
          <w:p w14:paraId="1C6E2212">
            <w:pPr>
              <w:keepNext w:val="0"/>
              <w:keepLines w:val="0"/>
              <w:pageBreakBefore w:val="0"/>
              <w:widowControl/>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四、资信及其他（</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r>
      <w:tr w14:paraId="4406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49890FB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D34F27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业绩</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6CBF24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分</w:t>
            </w:r>
          </w:p>
        </w:tc>
        <w:tc>
          <w:tcPr>
            <w:tcW w:w="6302" w:type="dxa"/>
            <w:tcBorders>
              <w:top w:val="single" w:color="auto" w:sz="4" w:space="0"/>
              <w:left w:val="single" w:color="auto" w:sz="4" w:space="0"/>
              <w:bottom w:val="single" w:color="auto" w:sz="4" w:space="0"/>
              <w:right w:val="single" w:color="auto" w:sz="4" w:space="0"/>
            </w:tcBorders>
            <w:noWrap w:val="0"/>
            <w:vAlign w:val="center"/>
          </w:tcPr>
          <w:p w14:paraId="4E7C3C4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供应商具有2022年1月1日以来类似业绩，每有一项得2 分，最多得4分。</w:t>
            </w:r>
          </w:p>
          <w:p w14:paraId="19C9E3E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（提供合同扫描件，以合同签订日期为准，不提供不得分）。</w:t>
            </w:r>
          </w:p>
        </w:tc>
      </w:tr>
    </w:tbl>
    <w:p w14:paraId="275E896B">
      <w:pPr>
        <w:keepNext w:val="0"/>
        <w:keepLines w:val="0"/>
        <w:pageBreakBefore w:val="0"/>
        <w:widowControl/>
        <w:kinsoku/>
        <w:wordWrap/>
        <w:overflowPunct/>
        <w:topLinePunct w:val="0"/>
        <w:autoSpaceDE/>
        <w:autoSpaceDN/>
        <w:bidi w:val="0"/>
        <w:adjustRightInd/>
        <w:snapToGrid w:val="0"/>
        <w:spacing w:before="157" w:beforeLines="5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三.得分的计算</w:t>
      </w:r>
    </w:p>
    <w:p w14:paraId="24186DCD">
      <w:pPr>
        <w:keepNext w:val="0"/>
        <w:keepLines w:val="0"/>
        <w:pageBreakBefore w:val="0"/>
        <w:widowControl/>
        <w:kinsoku/>
        <w:overflowPunct/>
        <w:topLinePunct w:val="0"/>
        <w:bidi w:val="0"/>
        <w:snapToGrid w:val="0"/>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竞争性磋商小组评分=价格分+技术分+商务分+资信及其他分</w:t>
      </w:r>
    </w:p>
    <w:p w14:paraId="43C95077">
      <w:pPr>
        <w:keepNext w:val="0"/>
        <w:keepLines w:val="0"/>
        <w:pageBreakBefore w:val="0"/>
        <w:widowControl/>
        <w:kinsoku/>
        <w:overflowPunct/>
        <w:topLinePunct w:val="0"/>
        <w:bidi w:val="0"/>
        <w:snapToGrid w:val="0"/>
        <w:spacing w:line="360" w:lineRule="auto"/>
        <w:ind w:firstLine="422" w:firstLineChars="200"/>
        <w:jc w:val="left"/>
        <w:textAlignment w:val="auto"/>
        <w:rPr>
          <w:rFonts w:ascii="宋体" w:hAnsi="宋体" w:cs="宋体"/>
          <w:color w:val="auto"/>
          <w:kern w:val="0"/>
          <w:sz w:val="24"/>
          <w:highlight w:val="none"/>
        </w:rPr>
      </w:pPr>
      <w:r>
        <w:rPr>
          <w:rFonts w:hint="eastAsia" w:ascii="宋体" w:hAnsi="宋体" w:eastAsia="宋体" w:cs="宋体"/>
          <w:b/>
          <w:color w:val="auto"/>
          <w:kern w:val="0"/>
          <w:sz w:val="21"/>
          <w:szCs w:val="21"/>
          <w:highlight w:val="none"/>
        </w:rPr>
        <w:t>磋商总得分=竞争性磋商小组成员合计总分/竞争性磋商小组人员数</w:t>
      </w:r>
      <w:r>
        <w:rPr>
          <w:rFonts w:hint="eastAsia" w:ascii="宋体" w:hAnsi="宋体" w:cs="宋体"/>
          <w:color w:val="auto"/>
          <w:kern w:val="0"/>
          <w:sz w:val="24"/>
          <w:highlight w:val="none"/>
        </w:rPr>
        <w:t xml:space="preserve"> </w:t>
      </w:r>
    </w:p>
    <w:p w14:paraId="36C61097">
      <w:pPr>
        <w:rPr>
          <w:color w:val="auto"/>
          <w:highlight w:val="none"/>
        </w:rPr>
      </w:pPr>
      <w:r>
        <w:rPr>
          <w:color w:val="auto"/>
          <w:highlight w:val="none"/>
        </w:rPr>
        <w:br w:type="page"/>
      </w:r>
    </w:p>
    <w:p w14:paraId="499FA2F9">
      <w:pPr>
        <w:bidi w:val="0"/>
        <w:rPr>
          <w:color w:val="auto"/>
          <w:highlight w:val="none"/>
        </w:rPr>
      </w:pPr>
    </w:p>
    <w:p w14:paraId="3D7A3164">
      <w:pPr>
        <w:widowControl/>
        <w:spacing w:line="48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九   合同授予</w:t>
      </w:r>
    </w:p>
    <w:p w14:paraId="39F145D6">
      <w:pPr>
        <w:widowControl/>
        <w:shd w:val="clear" w:color="auto" w:fill="FFFFFF"/>
        <w:spacing w:line="360" w:lineRule="auto"/>
        <w:jc w:val="left"/>
        <w:rPr>
          <w:rFonts w:ascii="宋体" w:hAnsi="宋体" w:cs="宋体"/>
          <w:b/>
          <w:bCs/>
          <w:color w:val="auto"/>
          <w:kern w:val="0"/>
          <w:sz w:val="24"/>
          <w:highlight w:val="none"/>
        </w:rPr>
      </w:pPr>
    </w:p>
    <w:p w14:paraId="299CA14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jc w:val="left"/>
        <w:textAlignment w:val="auto"/>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34.签订合同</w:t>
      </w:r>
    </w:p>
    <w:p w14:paraId="7D25BBF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34.1 采购人、成交供应商在</w:t>
      </w:r>
      <w:r>
        <w:rPr>
          <w:rFonts w:hint="eastAsia" w:ascii="宋体" w:hAnsi="宋体" w:eastAsia="宋体" w:cs="宋体"/>
          <w:color w:val="auto"/>
          <w:kern w:val="0"/>
          <w:sz w:val="21"/>
          <w:szCs w:val="21"/>
          <w:highlight w:val="none"/>
        </w:rPr>
        <w:t>成交通知书发出之日起</w:t>
      </w:r>
      <w:r>
        <w:rPr>
          <w:rFonts w:hint="eastAsia" w:ascii="宋体" w:hAnsi="宋体" w:cs="宋体"/>
          <w:color w:val="auto"/>
          <w:kern w:val="0"/>
          <w:sz w:val="21"/>
          <w:szCs w:val="21"/>
          <w:highlight w:val="none"/>
          <w:lang w:val="en-US" w:eastAsia="zh-CN"/>
        </w:rPr>
        <w:t>2个工作</w:t>
      </w:r>
      <w:r>
        <w:rPr>
          <w:rFonts w:hint="eastAsia" w:ascii="宋体" w:hAnsi="宋体" w:eastAsia="宋体" w:cs="宋体"/>
          <w:color w:val="auto"/>
          <w:kern w:val="0"/>
          <w:sz w:val="21"/>
          <w:szCs w:val="21"/>
          <w:highlight w:val="none"/>
        </w:rPr>
        <w:t>日内</w:t>
      </w:r>
      <w:r>
        <w:rPr>
          <w:rFonts w:hint="eastAsia" w:ascii="宋体" w:hAnsi="宋体" w:cs="宋体"/>
          <w:color w:val="auto"/>
          <w:kern w:val="0"/>
          <w:sz w:val="21"/>
          <w:szCs w:val="21"/>
          <w:highlight w:val="none"/>
        </w:rPr>
        <w:t>，根据竞争性磋商文件确定的事项和成交供应商响应文件签订合同。双方所签订的合同不得对竞争性磋商文件和成交供应商响应文件作实质性修改。成交供应商逾期未签订合同，视为成交后无正当理由不与采购人签订合同，并按照有关法律规定承担相应的法律责任。采购人逾期不与成交供应商签订合同的，按政府采购的有关规定处理。</w:t>
      </w:r>
    </w:p>
    <w:p w14:paraId="24050BA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34.2 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1972E95A">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34.3 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活动。拒绝签订政府采购合同的成交供应商不得参加对该项目重新开展的采购活动。</w:t>
      </w:r>
    </w:p>
    <w:p w14:paraId="7124D00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34.4 </w:t>
      </w:r>
      <w:r>
        <w:rPr>
          <w:rFonts w:hint="eastAsia" w:ascii="宋体" w:hAnsi="宋体" w:cs="宋体"/>
          <w:color w:val="auto"/>
          <w:kern w:val="0"/>
          <w:sz w:val="21"/>
          <w:szCs w:val="21"/>
          <w:highlight w:val="none"/>
        </w:rPr>
        <w:t>采购人按照法律法规及各级财政部门相关规定，在规定时间内将合同副本报同级财政部门备案。</w:t>
      </w:r>
    </w:p>
    <w:p w14:paraId="713DA62C">
      <w:pPr>
        <w:widowControl/>
        <w:wordWrap w:val="0"/>
        <w:spacing w:line="460" w:lineRule="exact"/>
        <w:rPr>
          <w:rFonts w:ascii="黑体" w:hAnsi="宋体" w:eastAsia="黑体" w:cs="宋体"/>
          <w:b/>
          <w:bCs/>
          <w:color w:val="auto"/>
          <w:kern w:val="0"/>
          <w:sz w:val="32"/>
          <w:szCs w:val="32"/>
          <w:highlight w:val="none"/>
        </w:rPr>
      </w:pPr>
    </w:p>
    <w:p w14:paraId="48D126AF">
      <w:pPr>
        <w:rPr>
          <w:rFonts w:ascii="黑体" w:hAnsi="宋体" w:eastAsia="黑体" w:cs="宋体"/>
          <w:b/>
          <w:bCs/>
          <w:color w:val="auto"/>
          <w:kern w:val="0"/>
          <w:sz w:val="32"/>
          <w:szCs w:val="32"/>
          <w:highlight w:val="none"/>
        </w:rPr>
      </w:pPr>
      <w:r>
        <w:rPr>
          <w:rFonts w:ascii="黑体" w:hAnsi="宋体" w:eastAsia="黑体" w:cs="宋体"/>
          <w:b/>
          <w:bCs/>
          <w:color w:val="auto"/>
          <w:kern w:val="0"/>
          <w:sz w:val="32"/>
          <w:szCs w:val="32"/>
          <w:highlight w:val="none"/>
        </w:rPr>
        <w:br w:type="page"/>
      </w:r>
    </w:p>
    <w:p w14:paraId="0FC8C435">
      <w:pPr>
        <w:bidi w:val="0"/>
        <w:rPr>
          <w:color w:val="auto"/>
          <w:highlight w:val="none"/>
        </w:rPr>
      </w:pPr>
    </w:p>
    <w:p w14:paraId="319DB635">
      <w:pPr>
        <w:widowControl/>
        <w:wordWrap w:val="0"/>
        <w:spacing w:line="460" w:lineRule="exact"/>
        <w:ind w:firstLine="643" w:firstLineChars="200"/>
        <w:jc w:val="center"/>
        <w:rPr>
          <w:rFonts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第四章  政府采购合同（主要条款）</w:t>
      </w:r>
    </w:p>
    <w:p w14:paraId="626B91A4">
      <w:pPr>
        <w:bidi w:val="0"/>
        <w:rPr>
          <w:color w:val="auto"/>
          <w:highlight w:val="none"/>
        </w:rPr>
      </w:pPr>
    </w:p>
    <w:p w14:paraId="7A101F76">
      <w:pPr>
        <w:widowControl/>
        <w:shd w:val="clear" w:color="auto" w:fill="auto"/>
        <w:spacing w:line="460" w:lineRule="atLeast"/>
        <w:ind w:firstLine="482"/>
        <w:jc w:val="center"/>
        <w:rPr>
          <w:rFonts w:ascii="宋体" w:hAnsi="宋体"/>
          <w:color w:val="auto"/>
          <w:kern w:val="0"/>
          <w:sz w:val="24"/>
          <w:highlight w:val="none"/>
        </w:rPr>
      </w:pPr>
      <w:r>
        <w:rPr>
          <w:rFonts w:hint="eastAsia" w:ascii="宋体" w:hAnsi="宋体"/>
          <w:b/>
          <w:bCs/>
          <w:color w:val="auto"/>
          <w:kern w:val="0"/>
          <w:sz w:val="24"/>
          <w:highlight w:val="none"/>
        </w:rPr>
        <w:t>（</w:t>
      </w:r>
      <w:r>
        <w:rPr>
          <w:rFonts w:hint="eastAsia" w:ascii="宋体" w:hAnsi="宋体"/>
          <w:color w:val="auto"/>
          <w:kern w:val="0"/>
          <w:sz w:val="24"/>
          <w:highlight w:val="none"/>
        </w:rPr>
        <w:t>采购人可根据采购项目的实际情况增减条款和内容</w:t>
      </w:r>
      <w:r>
        <w:rPr>
          <w:rFonts w:hint="eastAsia" w:ascii="宋体" w:hAnsi="宋体"/>
          <w:b/>
          <w:bCs/>
          <w:color w:val="auto"/>
          <w:kern w:val="0"/>
          <w:sz w:val="24"/>
          <w:highlight w:val="none"/>
        </w:rPr>
        <w:t>）</w:t>
      </w:r>
    </w:p>
    <w:p w14:paraId="735834C1">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采购项目名称：             </w:t>
      </w:r>
    </w:p>
    <w:p w14:paraId="6205FF0B">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采购项目编号：</w:t>
      </w:r>
    </w:p>
    <w:p w14:paraId="0D203E0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甲方：（采购人）       </w:t>
      </w:r>
    </w:p>
    <w:p w14:paraId="49B6D292">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乙方：（成交供应商）</w:t>
      </w:r>
    </w:p>
    <w:p w14:paraId="677F6473">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甲、乙双方根据《中华人民共和国政府采购法》、《</w:t>
      </w:r>
      <w:r>
        <w:rPr>
          <w:rStyle w:val="43"/>
          <w:rFonts w:hint="eastAsia" w:ascii="宋体" w:hAnsi="宋体" w:eastAsia="宋体" w:cs="宋体"/>
          <w:b w:val="0"/>
          <w:bCs w:val="0"/>
          <w:color w:val="auto"/>
          <w:sz w:val="21"/>
          <w:szCs w:val="21"/>
          <w:highlight w:val="none"/>
          <w:shd w:val="clear" w:color="auto" w:fill="FFFFFF"/>
        </w:rPr>
        <w:t>中华人民共和国民法典</w:t>
      </w:r>
      <w:r>
        <w:rPr>
          <w:rFonts w:hint="eastAsia" w:ascii="宋体" w:hAnsi="宋体" w:eastAsia="宋体" w:cs="宋体"/>
          <w:color w:val="auto"/>
          <w:kern w:val="0"/>
          <w:sz w:val="21"/>
          <w:szCs w:val="21"/>
          <w:highlight w:val="none"/>
        </w:rPr>
        <w:t>》等法律法规的规定，按照</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（采购项目编号）的竞争性磋商结果签订本合同。</w:t>
      </w:r>
    </w:p>
    <w:p w14:paraId="26BF75C7">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1.货物内容</w:t>
      </w:r>
    </w:p>
    <w:p w14:paraId="11DB416A">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货物名称：</w:t>
      </w:r>
    </w:p>
    <w:p w14:paraId="3CCC392E">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 型号规格：</w:t>
      </w:r>
    </w:p>
    <w:p w14:paraId="011BB202">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1.3 技术参数：</w:t>
      </w:r>
    </w:p>
    <w:p w14:paraId="167B25B3">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 数量（单位）：</w:t>
      </w:r>
    </w:p>
    <w:p w14:paraId="234C16E5">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2.合同金额</w:t>
      </w:r>
    </w:p>
    <w:p w14:paraId="7D9A25BF">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本合同金额为人民币（大写）：_____</w:t>
      </w:r>
      <w:r>
        <w:rPr>
          <w:rFonts w:hint="eastAsia" w:ascii="宋体" w:hAnsi="宋体" w:eastAsia="宋体" w:cs="宋体"/>
          <w:color w:val="auto"/>
          <w:kern w:val="0"/>
          <w:sz w:val="21"/>
          <w:szCs w:val="21"/>
          <w:highlight w:val="none"/>
          <w:u w:val="single"/>
        </w:rPr>
        <w:t>_</w:t>
      </w:r>
      <w:r>
        <w:rPr>
          <w:rFonts w:hint="eastAsia" w:ascii="宋体" w:hAnsi="宋体" w:eastAsia="宋体" w:cs="宋体"/>
          <w:color w:val="auto"/>
          <w:kern w:val="0"/>
          <w:sz w:val="21"/>
          <w:szCs w:val="21"/>
          <w:highlight w:val="none"/>
        </w:rPr>
        <w:t>元（￥________元）。</w:t>
      </w:r>
    </w:p>
    <w:p w14:paraId="572A5EAB">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3.技术资料</w:t>
      </w:r>
    </w:p>
    <w:p w14:paraId="0C94A6F1">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3.1乙方按</w:t>
      </w:r>
      <w:r>
        <w:rPr>
          <w:rFonts w:hint="eastAsia" w:ascii="宋体" w:hAnsi="宋体" w:eastAsia="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规定的时间向甲方提供使用货物的有关技术资料。</w:t>
      </w:r>
    </w:p>
    <w:p w14:paraId="1920AF8D">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3.2没有甲方事先书面同意，乙方不得将由甲方提供的有关合同或任何合同条文、规格、计划、图纸、样品或资料提供给与履行本合同无关的任何其他人。</w:t>
      </w:r>
    </w:p>
    <w:p w14:paraId="03B6AB17">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4.知识产权</w:t>
      </w:r>
    </w:p>
    <w:p w14:paraId="1B086ABB">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乙方保证所提供的货物或其任何一部分均不会侵犯任何第三方的知识产权。</w:t>
      </w:r>
    </w:p>
    <w:p w14:paraId="0F803008">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5.产权担保</w:t>
      </w:r>
    </w:p>
    <w:p w14:paraId="6B6F18E9">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乙方保证所交付的货物的所有权完全属于乙方且无任何抵押、查封等产权瑕疵。</w:t>
      </w:r>
    </w:p>
    <w:p w14:paraId="54AAA71F">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6.转包或分包</w:t>
      </w:r>
    </w:p>
    <w:p w14:paraId="7C55F41E">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6.1本合同范围的货物，由乙方直接供应，不得转让他人供应。</w:t>
      </w:r>
    </w:p>
    <w:p w14:paraId="44472D7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6.2除非得到甲方的书面同意，乙方不得部分分包给他人供应。</w:t>
      </w:r>
    </w:p>
    <w:p w14:paraId="13C7A722">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6.3如有转让和未经甲方同意的分包行为，甲方有权给予终止合同。</w:t>
      </w:r>
    </w:p>
    <w:p w14:paraId="7AAAE171">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7.交货期、交货方式及交货地点</w:t>
      </w:r>
    </w:p>
    <w:p w14:paraId="23A50603">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 交货期：</w:t>
      </w:r>
    </w:p>
    <w:p w14:paraId="7412CCAF">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 交货方式：</w:t>
      </w:r>
    </w:p>
    <w:p w14:paraId="380533DF">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 交货地点：</w:t>
      </w:r>
    </w:p>
    <w:p w14:paraId="08DA830A">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8.货款支付</w:t>
      </w:r>
    </w:p>
    <w:p w14:paraId="4A02C1E3">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付款方式：</w:t>
      </w:r>
    </w:p>
    <w:p w14:paraId="7E77474C">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9.税费</w:t>
      </w:r>
    </w:p>
    <w:p w14:paraId="40F2B7FB">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本合同执行中相关的一切税费均由乙方负担。</w:t>
      </w:r>
    </w:p>
    <w:p w14:paraId="1466ABBD">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10.货物包装、发运及运输</w:t>
      </w:r>
    </w:p>
    <w:p w14:paraId="0ECCA7C6">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10.1乙方在货物发运前对其进行满足运输距离、防潮、防震、防锈和防破损装卸等要求包装，以保证货物安全运达甲方指定地点。</w:t>
      </w:r>
    </w:p>
    <w:p w14:paraId="65B9DE7D">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10.2使用说明书、质量检验证明书、随配附件和工具以及清单一并附于货物内。</w:t>
      </w:r>
    </w:p>
    <w:p w14:paraId="1A2EDE3A">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10.3乙方在货物发运手续办理完毕后24小时内或货到甲方48小时前通知甲方，以准备接货。</w:t>
      </w:r>
    </w:p>
    <w:p w14:paraId="7ECA44FE">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10.4货物在交付甲方前发生的风险均由乙方负责。</w:t>
      </w:r>
    </w:p>
    <w:p w14:paraId="0D3E3169">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10.5货物在规定的交付期限内由乙方送达甲方指定的地点视为交付，乙方同时需通知甲方货物已送达。</w:t>
      </w:r>
    </w:p>
    <w:p w14:paraId="6DCEC3C3">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11.质量保证及售后服务</w:t>
      </w:r>
    </w:p>
    <w:p w14:paraId="552285B3">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11.1乙方提供的货物是全新、未使用过的，并完全符合强制性的国家技术质量规范和</w:t>
      </w:r>
      <w:r>
        <w:rPr>
          <w:rFonts w:hint="eastAsia" w:ascii="宋体" w:hAnsi="宋体" w:eastAsia="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规定的质量、规格、性能和技术规范等的要求。</w:t>
      </w:r>
    </w:p>
    <w:p w14:paraId="45996ADC">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11.2乙方提供的货物经正确安装、正常运转和保养，在其使用寿命期内须具有符合质量要求和产品说明书的性能。在货物质量保证期之内，乙方须对由于设计、工艺或材料的缺陷而发生的任何不足或故障负责。</w:t>
      </w:r>
    </w:p>
    <w:p w14:paraId="59559E86">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日内应免费维修或更换有缺陷的货物或部件。如果乙方在收到通知后</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日内没有弥补缺陷，甲方可采取必要的补救措施，但由此引发的风险和费用将由乙方承担。</w:t>
      </w:r>
    </w:p>
    <w:p w14:paraId="538FD6EE">
      <w:pPr>
        <w:keepNext w:val="0"/>
        <w:keepLines w:val="0"/>
        <w:pageBreakBefore w:val="0"/>
        <w:widowControl/>
        <w:shd w:val="clear" w:color="auto" w:fill="auto"/>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11.4合同项下货物的质量保证期为自货物通过最终验收起</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个月，在质保期内，因人为因素出现故障外，乙方对货物出现的质量及安全问题负责处理解决并承担一切费用。</w:t>
      </w:r>
    </w:p>
    <w:p w14:paraId="0D6BC024">
      <w:pPr>
        <w:keepNext w:val="0"/>
        <w:keepLines w:val="0"/>
        <w:pageBreakBefore w:val="0"/>
        <w:widowControl/>
        <w:shd w:val="clear" w:color="auto" w:fill="auto"/>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11.5合同项下货物免费保修期为质量保证期满后</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个月，因人为因素出现的故障不在免费保修范围内。对超过保修期的货物终生维修，维修时只收部件成本费。</w:t>
      </w:r>
    </w:p>
    <w:p w14:paraId="3DC46967">
      <w:pPr>
        <w:keepNext w:val="0"/>
        <w:keepLines w:val="0"/>
        <w:pageBreakBefore w:val="0"/>
        <w:widowControl/>
        <w:shd w:val="clear" w:color="auto" w:fill="auto"/>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11.6在使用过程中发生故障，乙方在接到甲方通知后在</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小时内到达甲方现场，</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小时内解除故障。</w:t>
      </w:r>
    </w:p>
    <w:p w14:paraId="5CC477C5">
      <w:pPr>
        <w:keepNext w:val="0"/>
        <w:keepLines w:val="0"/>
        <w:pageBreakBefore w:val="0"/>
        <w:widowControl/>
        <w:shd w:val="clear" w:color="auto" w:fill="auto"/>
        <w:kinsoku/>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12.调试和验收</w:t>
      </w:r>
    </w:p>
    <w:p w14:paraId="0C7FED0C">
      <w:pPr>
        <w:keepNext w:val="0"/>
        <w:keepLines w:val="0"/>
        <w:pageBreakBefore w:val="0"/>
        <w:widowControl/>
        <w:shd w:val="clear" w:color="auto" w:fill="auto"/>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12.1乙方交货前对产品作出全面检查和对验收文件进行整理，并列出清单，作为甲方收货验收和使用的技术条件依据，检验的结果应随货物交甲方。</w:t>
      </w:r>
    </w:p>
    <w:p w14:paraId="190851C0">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12.2货物运抵现场后，甲方依据</w:t>
      </w:r>
      <w:r>
        <w:rPr>
          <w:rFonts w:hint="eastAsia" w:ascii="宋体" w:hAnsi="宋体" w:eastAsia="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上的技术规格要求和国家有关质量标准在3个工作日内组织初步验收，并制作验收备忘录，签署验收意见。初步验收不合格的不予签收。</w:t>
      </w:r>
    </w:p>
    <w:p w14:paraId="1901EDE1">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12.3甲方对乙方提供的货物在使用前进行调试时，乙方负责安装并培训甲方的使用操作人员，并协助甲方一起调试，直到符合技术要求，甲方才做最终验收并签署验收意见。</w:t>
      </w:r>
    </w:p>
    <w:p w14:paraId="411857BF">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12.4对大型或技术复杂的货物，甲方应邀请国家认可的专业检测机构参与初步验收及最终验收，并由其出具质量检测报告。</w:t>
      </w:r>
    </w:p>
    <w:p w14:paraId="5CF82591">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12.5验收时乙方必须在现场，验收完毕后作出验收结果报告。验收费用由乙方负责。</w:t>
      </w:r>
    </w:p>
    <w:p w14:paraId="5E5F843C">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13.索赔</w:t>
      </w:r>
    </w:p>
    <w:p w14:paraId="55A0CDA7">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 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71CD17">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在根据合同第 11 条和第 12 条规定的检验期和质量保证期内，如果乙方对甲方提出的索赔负有责任，乙方应按照甲方同意的下列一种或多种方式解决索赔事宜：</w:t>
      </w:r>
    </w:p>
    <w:p w14:paraId="3A00881C">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272C9407">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13.2.2 根据货物低劣程度、损坏程度以及甲方所遭受损失的数额，经双方商定降低货物的价格，或由有权的部门评估，以降低后的价格或评估价格为准。</w:t>
      </w:r>
    </w:p>
    <w:p w14:paraId="588A4A69">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13.2.3 用符合规格、质量和性能要求的新零件、部件或货物来更换有缺陷的部分或/和修补缺陷部分，乙方承担一切费用和风险并负担甲方所发生的一切直接费用。同时，乙方应按合同第 11 条规定，相应延长修补或更换件的质量保证期。</w:t>
      </w:r>
    </w:p>
    <w:p w14:paraId="6E12193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13.2.4 如果在甲方发出索赔通知后</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日内，乙方未作答复，上述索赔应视为已被乙方接受。如乙方未能在甲方提出索赔通知后</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日内或买方同意的更长时间内，按照本合同第 13.2 条规定的任何一种方法解决索赔事宜，甲方将从合同款中扣回索赔金额。如果这些金额不足以补偿索赔金额，甲方有权向乙方提出不足部分的补偿。</w:t>
      </w:r>
    </w:p>
    <w:p w14:paraId="0BBF55E5">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.违约责任</w:t>
      </w:r>
    </w:p>
    <w:p w14:paraId="27A7D94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.1甲方无正当理由拒收货物的，甲方向乙方偿付拒收货款总值的百分之五违约金。</w:t>
      </w:r>
    </w:p>
    <w:p w14:paraId="78686D1D">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.2甲方无故逾期验收和办理货款支付手续的,甲方按逾期付款总额每日万分之五向乙方支付违约金。</w:t>
      </w:r>
    </w:p>
    <w:p w14:paraId="08A788BD">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.3乙方逾期交付货物的，乙方按逾期交货总额每日万分之</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向甲方支付违约金。逾期超过约定日期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%的违约金，如造成甲方损失超过违约金的，超出部分由乙方继续承担赔偿责任。</w:t>
      </w:r>
    </w:p>
    <w:p w14:paraId="630D7277">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.不可抗力事件处理</w:t>
      </w:r>
    </w:p>
    <w:p w14:paraId="47E990FB">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C9E53EB">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.2本合同中的不可抗力指不能预见、不能避免并不能克服的客观情况。包括但不限于：自然灾害如地震、台风、洪水、火灾；政府行为、法律规定或其适用的变化或者其他任何无法预见、避免或者控制的事件。</w:t>
      </w:r>
    </w:p>
    <w:p w14:paraId="6825B98D">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.合同纠纷处理</w:t>
      </w:r>
    </w:p>
    <w:p w14:paraId="7841A79E">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因本合同或与本合同有关的一切事项发生争议，由双方友好协商解决。协商不成的，任何一方均可向原告方所在地人民法院提起诉讼</w:t>
      </w:r>
    </w:p>
    <w:p w14:paraId="65140CBD">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.违约解除合同</w:t>
      </w:r>
    </w:p>
    <w:p w14:paraId="417386E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.1在乙方违约的情况下，甲方可向乙方发出书面通知，部分或全部终止合同，同时保留向对方追诉的权利。</w:t>
      </w:r>
    </w:p>
    <w:p w14:paraId="1B0294C3">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.2乙方未能在合同规定的限期或甲方同意延长的限期内提供全部或部分货物，按合同第13.3的规定可以解除合同的。</w:t>
      </w:r>
    </w:p>
    <w:p w14:paraId="0A53EB5A">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.3乙方有转让和未经甲方同意的分包行为，按合同第6.3的规定可以解除合同的。</w:t>
      </w:r>
    </w:p>
    <w:p w14:paraId="6448EFD9">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.4乙方未能履行合同规定的其它主要义务的。</w:t>
      </w:r>
    </w:p>
    <w:p w14:paraId="7E94A6B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.5在本合同履行过程中有腐败和欺诈行为的。</w:t>
      </w:r>
    </w:p>
    <w:p w14:paraId="7FC0DCDC">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6在甲方根据上述笫16.1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20183F5">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.其他约定</w:t>
      </w:r>
    </w:p>
    <w:p w14:paraId="2F0E203F">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.1本采购项目的</w:t>
      </w:r>
      <w:r>
        <w:rPr>
          <w:rFonts w:hint="eastAsia" w:ascii="宋体" w:hAnsi="宋体" w:eastAsia="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、成交供应商的响应文件以及相关的澄清确认函（如果有的话）均为本合同不可分割的一部分，与本合同具有同等法律效力。</w:t>
      </w:r>
    </w:p>
    <w:p w14:paraId="7934A831">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.2本合同未尽事宜，双方另行补充。</w:t>
      </w:r>
    </w:p>
    <w:p w14:paraId="35291F9F">
      <w:pPr>
        <w:keepNext w:val="0"/>
        <w:keepLines w:val="0"/>
        <w:pageBreakBefore w:val="0"/>
        <w:widowControl/>
        <w:shd w:val="clear" w:color="auto" w:fill="auto"/>
        <w:kinsoku/>
        <w:overflowPunct/>
        <w:topLinePunct w:val="0"/>
        <w:autoSpaceDE/>
        <w:autoSpaceDN/>
        <w:bidi w:val="0"/>
        <w:adjustRightInd/>
        <w:snapToGrid w:val="0"/>
        <w:spacing w:line="360" w:lineRule="auto"/>
        <w:ind w:firstLine="48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.3本合同正本一式</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份，具有同等法律效力，甲、乙双方各执一份。自采购合同签订之日起</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个工作日内，甲方按照有关规定将合同副本报同级财政部门备案。</w:t>
      </w:r>
    </w:p>
    <w:p w14:paraId="102ED067">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.4签定地点：</w:t>
      </w:r>
    </w:p>
    <w:p w14:paraId="6E914254">
      <w:pPr>
        <w:keepNext w:val="0"/>
        <w:keepLines w:val="0"/>
        <w:pageBreakBefore w:val="0"/>
        <w:widowControl/>
        <w:shd w:val="clear" w:color="auto" w:fill="auto"/>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 方：                        乙 方：</w:t>
      </w:r>
    </w:p>
    <w:p w14:paraId="16B6FBA0">
      <w:pPr>
        <w:keepNext w:val="0"/>
        <w:keepLines w:val="0"/>
        <w:pageBreakBefore w:val="0"/>
        <w:widowControl/>
        <w:shd w:val="clear" w:color="auto" w:fill="auto"/>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单位地址：                       单位地址：</w:t>
      </w:r>
    </w:p>
    <w:p w14:paraId="0CBFB6AA">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           法定代表人：</w:t>
      </w:r>
    </w:p>
    <w:p w14:paraId="5AD61CB0">
      <w:pPr>
        <w:keepNext w:val="0"/>
        <w:keepLines w:val="0"/>
        <w:pageBreakBefore w:val="0"/>
        <w:widowControl/>
        <w:shd w:val="clear" w:color="auto" w:fill="auto"/>
        <w:kinsoku/>
        <w:overflowPunct/>
        <w:topLinePunct w:val="0"/>
        <w:autoSpaceDE/>
        <w:autoSpaceDN/>
        <w:bidi w:val="0"/>
        <w:adjustRightInd/>
        <w:snapToGrid w:val="0"/>
        <w:spacing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           委托代理人：</w:t>
      </w:r>
    </w:p>
    <w:p w14:paraId="46DF7F91">
      <w:pPr>
        <w:keepNext w:val="0"/>
        <w:keepLines w:val="0"/>
        <w:pageBreakBefore w:val="0"/>
        <w:widowControl/>
        <w:shd w:val="clear" w:color="auto" w:fill="auto"/>
        <w:kinsoku/>
        <w:overflowPunct/>
        <w:topLinePunct w:val="0"/>
        <w:autoSpaceDE/>
        <w:autoSpaceDN/>
        <w:bidi w:val="0"/>
        <w:adjustRightInd/>
        <w:snapToGrid w:val="0"/>
        <w:spacing w:line="360" w:lineRule="auto"/>
        <w:ind w:left="239" w:leftChars="114" w:firstLine="210" w:firstLine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            电  话： </w:t>
      </w:r>
    </w:p>
    <w:p w14:paraId="53918ACC">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rPr>
        <w:t>签订日期： 年 月 日</w:t>
      </w:r>
    </w:p>
    <w:p w14:paraId="3E760594">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1375976D">
      <w:pPr>
        <w:widowControl/>
        <w:shd w:val="clear" w:color="auto" w:fill="FFFFFF"/>
        <w:spacing w:line="360" w:lineRule="auto"/>
        <w:ind w:firstLine="2499"/>
        <w:jc w:val="left"/>
        <w:rPr>
          <w:rFonts w:ascii="黑体" w:hAnsi="宋体" w:eastAsia="黑体" w:cs="宋体"/>
          <w:b/>
          <w:bCs/>
          <w:color w:val="auto"/>
          <w:kern w:val="0"/>
          <w:sz w:val="32"/>
          <w:szCs w:val="32"/>
          <w:highlight w:val="none"/>
        </w:rPr>
      </w:pPr>
    </w:p>
    <w:p w14:paraId="22BC1B5A">
      <w:pPr>
        <w:rPr>
          <w:rFonts w:ascii="黑体" w:hAnsi="宋体" w:eastAsia="黑体" w:cs="宋体"/>
          <w:b/>
          <w:bCs/>
          <w:color w:val="auto"/>
          <w:kern w:val="0"/>
          <w:sz w:val="32"/>
          <w:szCs w:val="32"/>
          <w:highlight w:val="none"/>
        </w:rPr>
      </w:pPr>
      <w:r>
        <w:rPr>
          <w:rFonts w:ascii="黑体" w:hAnsi="宋体" w:eastAsia="黑体" w:cs="宋体"/>
          <w:b/>
          <w:bCs/>
          <w:color w:val="auto"/>
          <w:kern w:val="0"/>
          <w:sz w:val="32"/>
          <w:szCs w:val="32"/>
          <w:highlight w:val="none"/>
        </w:rPr>
        <w:br w:type="page"/>
      </w:r>
    </w:p>
    <w:p w14:paraId="449B940D">
      <w:pPr>
        <w:bidi w:val="0"/>
        <w:rPr>
          <w:color w:val="auto"/>
          <w:highlight w:val="none"/>
        </w:rPr>
      </w:pPr>
    </w:p>
    <w:p w14:paraId="6E033394">
      <w:pPr>
        <w:widowControl/>
        <w:shd w:val="clear" w:color="auto" w:fill="FFFFFF"/>
        <w:spacing w:line="360" w:lineRule="auto"/>
        <w:ind w:firstLine="2499"/>
        <w:jc w:val="left"/>
        <w:rPr>
          <w:rFonts w:ascii="宋体" w:hAnsi="宋体" w:cs="宋体"/>
          <w:color w:val="auto"/>
          <w:kern w:val="0"/>
          <w:szCs w:val="21"/>
          <w:highlight w:val="none"/>
        </w:rPr>
      </w:pPr>
      <w:r>
        <w:rPr>
          <w:rFonts w:hint="eastAsia" w:ascii="黑体" w:hAnsi="宋体" w:eastAsia="黑体" w:cs="宋体"/>
          <w:b/>
          <w:bCs/>
          <w:color w:val="auto"/>
          <w:kern w:val="0"/>
          <w:sz w:val="32"/>
          <w:szCs w:val="32"/>
          <w:highlight w:val="none"/>
        </w:rPr>
        <w:t>第五章</w:t>
      </w:r>
      <w:r>
        <w:rPr>
          <w:rFonts w:hint="eastAsia" w:eastAsia="黑体"/>
          <w:b/>
          <w:bCs/>
          <w:color w:val="auto"/>
          <w:kern w:val="0"/>
          <w:sz w:val="32"/>
          <w:szCs w:val="32"/>
          <w:highlight w:val="none"/>
        </w:rPr>
        <w:t xml:space="preserve"> </w:t>
      </w:r>
      <w:r>
        <w:rPr>
          <w:rFonts w:hint="eastAsia" w:ascii="黑体" w:hAnsi="宋体" w:eastAsia="黑体" w:cs="宋体"/>
          <w:b/>
          <w:bCs/>
          <w:color w:val="auto"/>
          <w:kern w:val="0"/>
          <w:sz w:val="32"/>
          <w:szCs w:val="32"/>
          <w:highlight w:val="none"/>
        </w:rPr>
        <w:t xml:space="preserve"> 附件--响应文件格式</w:t>
      </w:r>
    </w:p>
    <w:tbl>
      <w:tblPr>
        <w:tblStyle w:val="40"/>
        <w:tblW w:w="8190" w:type="dxa"/>
        <w:tblInd w:w="135" w:type="dxa"/>
        <w:tblLayout w:type="fixed"/>
        <w:tblCellMar>
          <w:top w:w="0" w:type="dxa"/>
          <w:left w:w="0" w:type="dxa"/>
          <w:bottom w:w="0" w:type="dxa"/>
          <w:right w:w="0" w:type="dxa"/>
        </w:tblCellMar>
      </w:tblPr>
      <w:tblGrid>
        <w:gridCol w:w="8190"/>
      </w:tblGrid>
      <w:tr w14:paraId="3C0C8D02">
        <w:tblPrEx>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376DADA">
            <w:pPr>
              <w:widowControl/>
              <w:spacing w:line="360" w:lineRule="auto"/>
              <w:ind w:firstLine="480"/>
              <w:jc w:val="left"/>
              <w:rPr>
                <w:color w:val="auto"/>
                <w:kern w:val="0"/>
                <w:sz w:val="24"/>
                <w:szCs w:val="24"/>
                <w:highlight w:val="none"/>
              </w:rPr>
            </w:pPr>
            <w:r>
              <w:rPr>
                <w:rFonts w:hint="eastAsia" w:ascii="宋体" w:hAnsi="宋体" w:cs="宋体"/>
                <w:color w:val="auto"/>
                <w:kern w:val="0"/>
                <w:sz w:val="24"/>
                <w:szCs w:val="24"/>
                <w:highlight w:val="none"/>
              </w:rPr>
              <w:t>注释：</w:t>
            </w:r>
          </w:p>
          <w:p w14:paraId="6E4B16D4">
            <w:pPr>
              <w:widowControl/>
              <w:spacing w:line="360" w:lineRule="auto"/>
              <w:ind w:firstLine="480"/>
              <w:jc w:val="left"/>
              <w:rPr>
                <w:color w:val="auto"/>
                <w:kern w:val="0"/>
                <w:sz w:val="28"/>
                <w:szCs w:val="28"/>
                <w:highlight w:val="none"/>
              </w:rPr>
            </w:pPr>
            <w:r>
              <w:rPr>
                <w:rFonts w:hint="eastAsia" w:ascii="宋体" w:hAnsi="宋体" w:cs="宋体"/>
                <w:color w:val="auto"/>
                <w:kern w:val="0"/>
                <w:sz w:val="24"/>
                <w:szCs w:val="24"/>
                <w:highlight w:val="none"/>
              </w:rPr>
              <w:t>《响应文件格式》是供应商的部分响应文件格式和签订合同时所需文件的格式。供应商应按照这些格式文件制作响应文件。</w:t>
            </w:r>
          </w:p>
        </w:tc>
      </w:tr>
    </w:tbl>
    <w:p w14:paraId="632C8F98">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3A425F89">
      <w:pPr>
        <w:widowControl/>
        <w:shd w:val="clear" w:color="auto" w:fill="FFFFFF"/>
        <w:spacing w:line="360" w:lineRule="auto"/>
        <w:ind w:firstLine="643"/>
        <w:jc w:val="center"/>
        <w:rPr>
          <w:rFonts w:ascii="宋体" w:hAnsi="宋体" w:cs="宋体"/>
          <w:color w:val="auto"/>
          <w:kern w:val="0"/>
          <w:szCs w:val="21"/>
          <w:highlight w:val="none"/>
        </w:rPr>
      </w:pPr>
      <w:r>
        <w:rPr>
          <w:rFonts w:hint="eastAsia" w:ascii="宋体" w:hAnsi="宋体" w:cs="宋体"/>
          <w:b/>
          <w:bCs/>
          <w:color w:val="auto"/>
          <w:kern w:val="0"/>
          <w:sz w:val="32"/>
          <w:szCs w:val="32"/>
          <w:highlight w:val="none"/>
        </w:rPr>
        <w:t>目    录</w:t>
      </w:r>
    </w:p>
    <w:p w14:paraId="60B994AF">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附件1 响应文件封面（格式）</w:t>
      </w:r>
    </w:p>
    <w:p w14:paraId="4D356720">
      <w:pPr>
        <w:widowControl/>
        <w:shd w:val="clear" w:color="auto" w:fill="FFFFFF"/>
        <w:spacing w:line="460" w:lineRule="atLeast"/>
        <w:ind w:firstLine="480"/>
        <w:rPr>
          <w:color w:val="auto"/>
          <w:kern w:val="0"/>
          <w:sz w:val="28"/>
          <w:szCs w:val="28"/>
          <w:highlight w:val="none"/>
        </w:rPr>
      </w:pPr>
      <w:r>
        <w:rPr>
          <w:rFonts w:hint="eastAsia" w:ascii="宋体" w:hAnsi="宋体"/>
          <w:color w:val="auto"/>
          <w:kern w:val="0"/>
          <w:sz w:val="24"/>
          <w:highlight w:val="none"/>
        </w:rPr>
        <w:t>附件2 竞争性磋商响应书（格式）</w:t>
      </w:r>
    </w:p>
    <w:p w14:paraId="165B0EBD">
      <w:pPr>
        <w:widowControl/>
        <w:shd w:val="clear" w:color="auto" w:fill="FFFFFF"/>
        <w:spacing w:line="460" w:lineRule="atLeast"/>
        <w:ind w:firstLine="480"/>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附件3 初次报价一览表（格式）</w:t>
      </w:r>
    </w:p>
    <w:p w14:paraId="646183A6">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附件4</w:t>
      </w:r>
      <w:r>
        <w:rPr>
          <w:rFonts w:hint="eastAsia" w:ascii="宋体" w:hAnsi="宋体"/>
          <w:color w:val="auto"/>
          <w:kern w:val="0"/>
          <w:sz w:val="24"/>
          <w:highlight w:val="none"/>
          <w:lang w:val="en-US" w:eastAsia="zh-CN"/>
        </w:rPr>
        <w:t xml:space="preserve">  初次</w:t>
      </w:r>
      <w:r>
        <w:rPr>
          <w:rFonts w:hint="eastAsia" w:ascii="宋体" w:hAnsi="宋体"/>
          <w:color w:val="auto"/>
          <w:kern w:val="0"/>
          <w:sz w:val="24"/>
          <w:highlight w:val="none"/>
        </w:rPr>
        <w:t>报价明细表（格式）</w:t>
      </w:r>
    </w:p>
    <w:p w14:paraId="611EA13D">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附件5 供货范围清单（格式自拟）</w:t>
      </w:r>
    </w:p>
    <w:p w14:paraId="7CCA384B">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 xml:space="preserve">  法定代表人身份证明（格式）</w:t>
      </w:r>
    </w:p>
    <w:p w14:paraId="310B02FC">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w:t>
      </w: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 xml:space="preserve">  法定代表人授权书（格式）</w:t>
      </w:r>
    </w:p>
    <w:p w14:paraId="6D52373D">
      <w:pPr>
        <w:widowControl/>
        <w:shd w:val="clear" w:color="auto" w:fill="FFFFFF"/>
        <w:spacing w:line="460" w:lineRule="atLeast"/>
        <w:ind w:firstLine="480"/>
        <w:rPr>
          <w:rFonts w:hint="default" w:ascii="宋体" w:hAnsi="宋体"/>
          <w:color w:val="auto"/>
          <w:kern w:val="0"/>
          <w:sz w:val="24"/>
          <w:highlight w:val="none"/>
          <w:lang w:val="en-US" w:eastAsia="zh-CN"/>
        </w:rPr>
      </w:pPr>
      <w:r>
        <w:rPr>
          <w:rFonts w:hint="eastAsia" w:ascii="宋体" w:hAnsi="宋体"/>
          <w:color w:val="auto"/>
          <w:kern w:val="0"/>
          <w:sz w:val="24"/>
          <w:highlight w:val="none"/>
        </w:rPr>
        <w:t>附件</w:t>
      </w: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技术响应表</w:t>
      </w:r>
    </w:p>
    <w:p w14:paraId="281E9B8D">
      <w:pPr>
        <w:widowControl/>
        <w:shd w:val="clear" w:color="auto" w:fill="FFFFFF"/>
        <w:spacing w:line="460" w:lineRule="atLeast"/>
        <w:ind w:firstLine="480"/>
        <w:rPr>
          <w:rFonts w:hint="eastAsia" w:ascii="宋体" w:hAnsi="宋体"/>
          <w:color w:val="auto"/>
          <w:kern w:val="0"/>
          <w:sz w:val="24"/>
          <w:highlight w:val="none"/>
        </w:rPr>
      </w:pPr>
      <w:r>
        <w:rPr>
          <w:rFonts w:hint="eastAsia" w:ascii="宋体" w:hAnsi="宋体"/>
          <w:color w:val="auto"/>
          <w:kern w:val="0"/>
          <w:sz w:val="24"/>
          <w:highlight w:val="none"/>
        </w:rPr>
        <w:t>附件</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 xml:space="preserve">  </w:t>
      </w:r>
      <w:r>
        <w:rPr>
          <w:rFonts w:hint="eastAsia" w:ascii="宋体" w:hAnsi="宋体"/>
          <w:color w:val="auto"/>
          <w:kern w:val="0"/>
          <w:sz w:val="24"/>
          <w:highlight w:val="none"/>
          <w:lang w:eastAsia="zh-CN"/>
        </w:rPr>
        <w:t>商务响应表</w:t>
      </w:r>
    </w:p>
    <w:p w14:paraId="7D540CA3">
      <w:pPr>
        <w:spacing w:line="360" w:lineRule="auto"/>
        <w:ind w:firstLine="480" w:firstLineChars="200"/>
        <w:rPr>
          <w:rFonts w:hint="eastAsia"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rPr>
        <w:t>附件</w:t>
      </w:r>
      <w:r>
        <w:rPr>
          <w:rFonts w:hint="eastAsia" w:cs="宋体" w:asciiTheme="majorEastAsia" w:hAnsiTheme="majorEastAsia" w:eastAsiaTheme="majorEastAsia"/>
          <w:color w:val="auto"/>
          <w:kern w:val="0"/>
          <w:sz w:val="24"/>
          <w:highlight w:val="none"/>
          <w:lang w:val="en-US" w:eastAsia="zh-CN"/>
        </w:rPr>
        <w:t>10</w:t>
      </w:r>
      <w:r>
        <w:rPr>
          <w:rFonts w:hint="eastAsia" w:cs="宋体" w:asciiTheme="majorEastAsia" w:hAnsiTheme="majorEastAsia" w:eastAsiaTheme="majorEastAsia"/>
          <w:color w:val="auto"/>
          <w:kern w:val="0"/>
          <w:sz w:val="24"/>
          <w:highlight w:val="none"/>
        </w:rPr>
        <w:t xml:space="preserve">  证明文件</w:t>
      </w:r>
    </w:p>
    <w:p w14:paraId="440D11F6">
      <w:pPr>
        <w:spacing w:line="360" w:lineRule="auto"/>
        <w:ind w:firstLine="480" w:firstLineChars="200"/>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附件</w:t>
      </w:r>
      <w:r>
        <w:rPr>
          <w:rFonts w:hint="eastAsia" w:cs="宋体" w:asciiTheme="majorEastAsia" w:hAnsiTheme="majorEastAsia" w:eastAsiaTheme="majorEastAsia"/>
          <w:color w:val="auto"/>
          <w:kern w:val="0"/>
          <w:sz w:val="24"/>
          <w:highlight w:val="none"/>
          <w:lang w:val="en-US" w:eastAsia="zh-CN"/>
        </w:rPr>
        <w:t>11</w:t>
      </w:r>
      <w:r>
        <w:rPr>
          <w:rFonts w:hint="eastAsia" w:cs="宋体" w:asciiTheme="majorEastAsia" w:hAnsiTheme="majorEastAsia" w:eastAsiaTheme="majorEastAsia"/>
          <w:color w:val="auto"/>
          <w:kern w:val="0"/>
          <w:sz w:val="24"/>
          <w:highlight w:val="none"/>
        </w:rPr>
        <w:t xml:space="preserve">  抵制商业贿赂承诺（格式）</w:t>
      </w:r>
    </w:p>
    <w:p w14:paraId="4BFF2D82">
      <w:pPr>
        <w:widowControl/>
        <w:shd w:val="clear" w:color="auto" w:fill="FFFFFF"/>
        <w:spacing w:line="460" w:lineRule="atLeast"/>
        <w:ind w:firstLine="480"/>
        <w:rPr>
          <w:rFonts w:ascii="宋体" w:hAnsi="宋体" w:cs="宋体"/>
          <w:b/>
          <w:bCs/>
          <w:color w:val="auto"/>
          <w:kern w:val="0"/>
          <w:sz w:val="24"/>
          <w:highlight w:val="none"/>
        </w:rPr>
      </w:pPr>
    </w:p>
    <w:p w14:paraId="3E3F0BD1">
      <w:pPr>
        <w:widowControl/>
        <w:shd w:val="clear" w:color="auto" w:fill="FFFFFF"/>
        <w:spacing w:line="360" w:lineRule="auto"/>
        <w:jc w:val="left"/>
        <w:rPr>
          <w:rFonts w:ascii="宋体" w:hAnsi="宋体" w:cs="宋体"/>
          <w:b/>
          <w:bCs/>
          <w:color w:val="auto"/>
          <w:kern w:val="0"/>
          <w:sz w:val="24"/>
          <w:highlight w:val="none"/>
        </w:rPr>
      </w:pPr>
    </w:p>
    <w:p w14:paraId="3CB606AC">
      <w:pPr>
        <w:widowControl/>
        <w:shd w:val="clear" w:color="auto" w:fill="FFFFFF"/>
        <w:spacing w:line="360" w:lineRule="auto"/>
        <w:jc w:val="left"/>
        <w:rPr>
          <w:rFonts w:ascii="宋体" w:hAnsi="宋体" w:cs="宋体"/>
          <w:b/>
          <w:bCs/>
          <w:color w:val="auto"/>
          <w:kern w:val="0"/>
          <w:sz w:val="24"/>
          <w:highlight w:val="none"/>
        </w:rPr>
      </w:pPr>
    </w:p>
    <w:p w14:paraId="399F6D20">
      <w:pPr>
        <w:widowControl/>
        <w:shd w:val="clear" w:color="auto" w:fill="FFFFFF"/>
        <w:spacing w:line="360" w:lineRule="auto"/>
        <w:jc w:val="left"/>
        <w:rPr>
          <w:rFonts w:ascii="宋体" w:hAnsi="宋体" w:cs="宋体"/>
          <w:b/>
          <w:bCs/>
          <w:color w:val="auto"/>
          <w:kern w:val="0"/>
          <w:sz w:val="24"/>
          <w:highlight w:val="none"/>
        </w:rPr>
      </w:pPr>
    </w:p>
    <w:p w14:paraId="2F947449">
      <w:pPr>
        <w:widowControl/>
        <w:shd w:val="clear" w:color="auto" w:fill="FFFFFF"/>
        <w:spacing w:line="360" w:lineRule="auto"/>
        <w:jc w:val="left"/>
        <w:rPr>
          <w:rFonts w:ascii="宋体" w:hAnsi="宋体" w:cs="宋体"/>
          <w:b/>
          <w:bCs/>
          <w:color w:val="auto"/>
          <w:kern w:val="0"/>
          <w:sz w:val="24"/>
          <w:highlight w:val="none"/>
        </w:rPr>
      </w:pPr>
    </w:p>
    <w:p w14:paraId="644F0CA3">
      <w:pPr>
        <w:widowControl/>
        <w:shd w:val="clear" w:color="auto" w:fill="FFFFFF"/>
        <w:spacing w:line="360" w:lineRule="auto"/>
        <w:jc w:val="left"/>
        <w:rPr>
          <w:rFonts w:ascii="宋体" w:hAnsi="宋体" w:cs="宋体"/>
          <w:b/>
          <w:bCs/>
          <w:color w:val="auto"/>
          <w:kern w:val="0"/>
          <w:sz w:val="24"/>
          <w:highlight w:val="none"/>
        </w:rPr>
      </w:pPr>
    </w:p>
    <w:p w14:paraId="16A75482">
      <w:pPr>
        <w:widowControl/>
        <w:shd w:val="clear" w:color="auto" w:fill="FFFFFF"/>
        <w:spacing w:line="360" w:lineRule="auto"/>
        <w:jc w:val="left"/>
        <w:rPr>
          <w:rFonts w:ascii="宋体" w:hAnsi="宋体" w:cs="宋体"/>
          <w:b/>
          <w:bCs/>
          <w:color w:val="auto"/>
          <w:kern w:val="0"/>
          <w:sz w:val="24"/>
          <w:highlight w:val="none"/>
        </w:rPr>
      </w:pPr>
    </w:p>
    <w:p w14:paraId="119BFD04">
      <w:pPr>
        <w:widowControl/>
        <w:shd w:val="clear" w:color="auto" w:fill="FFFFFF"/>
        <w:spacing w:line="360" w:lineRule="auto"/>
        <w:jc w:val="left"/>
        <w:rPr>
          <w:rFonts w:ascii="宋体" w:hAnsi="宋体" w:cs="宋体"/>
          <w:b/>
          <w:bCs/>
          <w:color w:val="auto"/>
          <w:kern w:val="0"/>
          <w:sz w:val="24"/>
          <w:highlight w:val="none"/>
        </w:rPr>
      </w:pPr>
    </w:p>
    <w:p w14:paraId="6942FDA3">
      <w:pPr>
        <w:widowControl/>
        <w:shd w:val="clear" w:color="auto" w:fill="FFFFFF"/>
        <w:spacing w:line="360" w:lineRule="auto"/>
        <w:jc w:val="left"/>
        <w:rPr>
          <w:rFonts w:ascii="宋体" w:hAnsi="宋体" w:cs="宋体"/>
          <w:b/>
          <w:bCs/>
          <w:color w:val="auto"/>
          <w:kern w:val="0"/>
          <w:sz w:val="24"/>
          <w:highlight w:val="none"/>
        </w:rPr>
      </w:pPr>
    </w:p>
    <w:p w14:paraId="09B85DE8">
      <w:pPr>
        <w:widowControl/>
        <w:shd w:val="clear" w:color="auto" w:fill="FFFFFF"/>
        <w:spacing w:line="360" w:lineRule="auto"/>
        <w:jc w:val="left"/>
        <w:rPr>
          <w:rFonts w:ascii="宋体" w:hAnsi="宋体" w:cs="宋体"/>
          <w:b/>
          <w:bCs/>
          <w:color w:val="auto"/>
          <w:kern w:val="0"/>
          <w:sz w:val="24"/>
          <w:highlight w:val="none"/>
        </w:rPr>
      </w:pPr>
    </w:p>
    <w:p w14:paraId="08B6FEF9">
      <w:pPr>
        <w:widowControl/>
        <w:shd w:val="clear" w:color="auto" w:fill="FFFFFF"/>
        <w:spacing w:line="360" w:lineRule="auto"/>
        <w:jc w:val="left"/>
        <w:rPr>
          <w:rFonts w:ascii="宋体" w:hAnsi="宋体" w:cs="宋体"/>
          <w:b/>
          <w:bCs/>
          <w:color w:val="auto"/>
          <w:kern w:val="0"/>
          <w:sz w:val="24"/>
          <w:highlight w:val="none"/>
        </w:rPr>
      </w:pPr>
    </w:p>
    <w:p w14:paraId="1FAD065E">
      <w:pPr>
        <w:widowControl/>
        <w:shd w:val="clear" w:color="auto" w:fill="FFFFFF"/>
        <w:spacing w:line="360" w:lineRule="auto"/>
        <w:jc w:val="left"/>
        <w:rPr>
          <w:rFonts w:ascii="宋体" w:hAnsi="宋体" w:cs="宋体"/>
          <w:b/>
          <w:bCs/>
          <w:color w:val="auto"/>
          <w:kern w:val="0"/>
          <w:sz w:val="24"/>
          <w:highlight w:val="none"/>
        </w:rPr>
      </w:pPr>
    </w:p>
    <w:p w14:paraId="44846406">
      <w:pPr>
        <w:widowControl/>
        <w:shd w:val="clear" w:color="auto" w:fill="FFFFFF"/>
        <w:spacing w:line="360" w:lineRule="auto"/>
        <w:jc w:val="left"/>
        <w:rPr>
          <w:rFonts w:ascii="宋体" w:hAnsi="宋体" w:cs="宋体"/>
          <w:b/>
          <w:bCs/>
          <w:color w:val="auto"/>
          <w:kern w:val="0"/>
          <w:sz w:val="24"/>
          <w:highlight w:val="none"/>
        </w:rPr>
      </w:pPr>
    </w:p>
    <w:p w14:paraId="7A4A7AF3">
      <w:pPr>
        <w:widowControl/>
        <w:shd w:val="clear" w:color="auto" w:fill="FFFFFF"/>
        <w:spacing w:line="360" w:lineRule="auto"/>
        <w:jc w:val="left"/>
        <w:rPr>
          <w:rFonts w:hint="eastAsia" w:ascii="宋体" w:hAnsi="宋体" w:cs="宋体"/>
          <w:b/>
          <w:bCs/>
          <w:color w:val="auto"/>
          <w:kern w:val="0"/>
          <w:sz w:val="24"/>
          <w:highlight w:val="none"/>
        </w:rPr>
      </w:pPr>
    </w:p>
    <w:p w14:paraId="302CE3D9">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b/>
          <w:bCs/>
          <w:color w:val="auto"/>
          <w:kern w:val="0"/>
          <w:sz w:val="24"/>
          <w:highlight w:val="none"/>
        </w:rPr>
        <w:t>附件1                  竞争性磋商响应文件封面</w:t>
      </w:r>
      <w:r>
        <w:rPr>
          <w:rFonts w:hint="eastAsia" w:ascii="宋体" w:hAnsi="宋体" w:cs="宋体"/>
          <w:color w:val="auto"/>
          <w:kern w:val="0"/>
          <w:sz w:val="24"/>
          <w:highlight w:val="none"/>
        </w:rPr>
        <w:t>（格式）</w:t>
      </w:r>
    </w:p>
    <w:p w14:paraId="56BA4E14">
      <w:pPr>
        <w:pStyle w:val="49"/>
        <w:rPr>
          <w:rFonts w:hint="eastAsia" w:ascii="宋体" w:hAnsi="宋体" w:cs="宋体"/>
          <w:color w:val="auto"/>
          <w:kern w:val="0"/>
          <w:sz w:val="24"/>
          <w:highlight w:val="none"/>
        </w:rPr>
      </w:pPr>
    </w:p>
    <w:p w14:paraId="3FF65B8C">
      <w:pPr>
        <w:pStyle w:val="52"/>
        <w:rPr>
          <w:rFonts w:hint="eastAsia" w:ascii="宋体" w:hAnsi="宋体" w:cs="宋体"/>
          <w:color w:val="auto"/>
          <w:kern w:val="0"/>
          <w:sz w:val="24"/>
          <w:highlight w:val="none"/>
        </w:rPr>
      </w:pPr>
    </w:p>
    <w:p w14:paraId="49039C88">
      <w:pPr>
        <w:rPr>
          <w:rFonts w:hint="eastAsia" w:ascii="宋体" w:hAnsi="宋体" w:cs="宋体"/>
          <w:color w:val="auto"/>
          <w:kern w:val="0"/>
          <w:sz w:val="24"/>
          <w:highlight w:val="none"/>
        </w:rPr>
      </w:pPr>
    </w:p>
    <w:p w14:paraId="47A6E86A">
      <w:pPr>
        <w:pStyle w:val="49"/>
        <w:rPr>
          <w:rFonts w:hint="eastAsia" w:ascii="宋体" w:hAnsi="宋体" w:cs="宋体"/>
          <w:color w:val="auto"/>
          <w:kern w:val="0"/>
          <w:sz w:val="24"/>
          <w:highlight w:val="none"/>
        </w:rPr>
      </w:pPr>
    </w:p>
    <w:p w14:paraId="161C46EC">
      <w:pPr>
        <w:pStyle w:val="52"/>
        <w:rPr>
          <w:rFonts w:hint="eastAsia" w:ascii="宋体" w:hAnsi="宋体" w:cs="宋体"/>
          <w:color w:val="auto"/>
          <w:kern w:val="0"/>
          <w:sz w:val="24"/>
          <w:highlight w:val="none"/>
        </w:rPr>
      </w:pPr>
    </w:p>
    <w:p w14:paraId="66FB509C">
      <w:pPr>
        <w:rPr>
          <w:rFonts w:hint="eastAsia" w:ascii="宋体" w:hAnsi="宋体" w:cs="宋体"/>
          <w:color w:val="auto"/>
          <w:kern w:val="0"/>
          <w:sz w:val="24"/>
          <w:highlight w:val="none"/>
        </w:rPr>
      </w:pPr>
    </w:p>
    <w:p w14:paraId="12871916">
      <w:pPr>
        <w:pStyle w:val="49"/>
        <w:rPr>
          <w:color w:val="auto"/>
          <w:highlight w:val="none"/>
        </w:rPr>
      </w:pPr>
    </w:p>
    <w:p w14:paraId="6AC7091F">
      <w:pPr>
        <w:widowControl/>
        <w:shd w:val="clear" w:color="auto" w:fill="FFFFFF"/>
        <w:spacing w:line="360" w:lineRule="auto"/>
        <w:ind w:left="0" w:leftChars="0" w:firstLine="0" w:firstLineChars="0"/>
        <w:jc w:val="center"/>
        <w:rPr>
          <w:color w:val="auto"/>
          <w:kern w:val="0"/>
          <w:sz w:val="28"/>
          <w:szCs w:val="28"/>
          <w:highlight w:val="none"/>
        </w:rPr>
      </w:pPr>
      <w:r>
        <w:rPr>
          <w:rFonts w:hint="eastAsia" w:ascii="宋体" w:hAnsi="宋体" w:cs="宋体"/>
          <w:b/>
          <w:bCs/>
          <w:color w:val="auto"/>
          <w:kern w:val="0"/>
          <w:sz w:val="24"/>
          <w:highlight w:val="none"/>
        </w:rPr>
        <w:t>政府采购项目</w:t>
      </w:r>
    </w:p>
    <w:p w14:paraId="2299530F">
      <w:pPr>
        <w:widowControl/>
        <w:shd w:val="clear" w:color="auto" w:fill="FFFFFF"/>
        <w:spacing w:line="360" w:lineRule="auto"/>
        <w:ind w:left="0" w:leftChars="0" w:firstLine="0" w:firstLineChars="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竞争性磋商响应文件</w:t>
      </w:r>
    </w:p>
    <w:p w14:paraId="65637C96">
      <w:pPr>
        <w:widowControl/>
        <w:shd w:val="clear" w:color="auto" w:fill="FFFFFF"/>
        <w:spacing w:line="360" w:lineRule="auto"/>
        <w:ind w:firstLine="482"/>
        <w:jc w:val="center"/>
        <w:rPr>
          <w:rFonts w:ascii="宋体" w:hAnsi="宋体" w:cs="宋体"/>
          <w:b/>
          <w:bCs/>
          <w:color w:val="auto"/>
          <w:kern w:val="0"/>
          <w:sz w:val="24"/>
          <w:highlight w:val="none"/>
        </w:rPr>
      </w:pPr>
    </w:p>
    <w:p w14:paraId="758887FD">
      <w:pPr>
        <w:widowControl/>
        <w:shd w:val="clear" w:color="auto" w:fill="FFFFFF"/>
        <w:spacing w:line="360" w:lineRule="auto"/>
        <w:ind w:firstLine="482"/>
        <w:jc w:val="center"/>
        <w:rPr>
          <w:color w:val="auto"/>
          <w:kern w:val="0"/>
          <w:sz w:val="28"/>
          <w:szCs w:val="28"/>
          <w:highlight w:val="none"/>
        </w:rPr>
      </w:pPr>
    </w:p>
    <w:p w14:paraId="1581854A">
      <w:pPr>
        <w:widowControl/>
        <w:shd w:val="clear" w:color="auto" w:fill="FFFFFF"/>
        <w:spacing w:line="360" w:lineRule="auto"/>
        <w:ind w:firstLine="1190"/>
        <w:jc w:val="left"/>
        <w:rPr>
          <w:rFonts w:ascii="宋体" w:hAnsi="宋体" w:cs="宋体"/>
          <w:b/>
          <w:bCs/>
          <w:color w:val="auto"/>
          <w:kern w:val="0"/>
          <w:sz w:val="24"/>
          <w:highlight w:val="none"/>
        </w:rPr>
      </w:pPr>
    </w:p>
    <w:p w14:paraId="5A2B4B5A">
      <w:pPr>
        <w:pStyle w:val="49"/>
        <w:rPr>
          <w:rFonts w:ascii="宋体" w:hAnsi="宋体" w:cs="宋体"/>
          <w:b/>
          <w:bCs/>
          <w:color w:val="auto"/>
          <w:kern w:val="0"/>
          <w:sz w:val="24"/>
          <w:highlight w:val="none"/>
        </w:rPr>
      </w:pPr>
    </w:p>
    <w:p w14:paraId="06DA55F5">
      <w:pPr>
        <w:pStyle w:val="52"/>
        <w:rPr>
          <w:rFonts w:ascii="宋体" w:hAnsi="宋体" w:cs="宋体"/>
          <w:b/>
          <w:bCs/>
          <w:color w:val="auto"/>
          <w:kern w:val="0"/>
          <w:sz w:val="24"/>
          <w:highlight w:val="none"/>
        </w:rPr>
      </w:pPr>
    </w:p>
    <w:p w14:paraId="67EADF5B">
      <w:pPr>
        <w:rPr>
          <w:rFonts w:ascii="宋体" w:hAnsi="宋体" w:cs="宋体"/>
          <w:b/>
          <w:bCs/>
          <w:color w:val="auto"/>
          <w:kern w:val="0"/>
          <w:sz w:val="24"/>
          <w:highlight w:val="none"/>
        </w:rPr>
      </w:pPr>
    </w:p>
    <w:p w14:paraId="6C9B290F">
      <w:pPr>
        <w:pStyle w:val="49"/>
        <w:rPr>
          <w:color w:val="auto"/>
          <w:highlight w:val="none"/>
        </w:rPr>
      </w:pPr>
    </w:p>
    <w:p w14:paraId="2AFF3416">
      <w:pPr>
        <w:widowControl/>
        <w:shd w:val="clear" w:color="auto" w:fill="FFFFFF"/>
        <w:spacing w:line="360" w:lineRule="auto"/>
        <w:ind w:firstLine="1190"/>
        <w:jc w:val="left"/>
        <w:rPr>
          <w:rFonts w:ascii="宋体" w:hAnsi="宋体" w:cs="宋体"/>
          <w:b/>
          <w:bCs/>
          <w:color w:val="auto"/>
          <w:kern w:val="0"/>
          <w:sz w:val="24"/>
          <w:highlight w:val="none"/>
        </w:rPr>
      </w:pPr>
    </w:p>
    <w:p w14:paraId="7922E813">
      <w:pPr>
        <w:widowControl/>
        <w:shd w:val="clear" w:color="auto" w:fill="FFFFFF"/>
        <w:spacing w:line="360" w:lineRule="auto"/>
        <w:ind w:firstLine="1190"/>
        <w:jc w:val="left"/>
        <w:rPr>
          <w:color w:val="auto"/>
          <w:kern w:val="0"/>
          <w:sz w:val="28"/>
          <w:szCs w:val="28"/>
          <w:highlight w:val="none"/>
        </w:rPr>
      </w:pPr>
      <w:r>
        <w:rPr>
          <w:rFonts w:hint="eastAsia" w:ascii="宋体" w:hAnsi="宋体" w:cs="宋体"/>
          <w:b/>
          <w:bCs/>
          <w:color w:val="auto"/>
          <w:kern w:val="0"/>
          <w:sz w:val="24"/>
          <w:highlight w:val="none"/>
        </w:rPr>
        <w:t>项 目 名 称：</w:t>
      </w:r>
      <w:r>
        <w:rPr>
          <w:rFonts w:hint="eastAsia" w:ascii="宋体" w:hAnsi="宋体" w:cs="宋体"/>
          <w:b/>
          <w:bCs/>
          <w:color w:val="auto"/>
          <w:kern w:val="0"/>
          <w:sz w:val="24"/>
          <w:highlight w:val="none"/>
          <w:u w:val="single"/>
        </w:rPr>
        <w:t xml:space="preserve">              </w:t>
      </w:r>
    </w:p>
    <w:p w14:paraId="5FE9DE6F">
      <w:pPr>
        <w:widowControl/>
        <w:shd w:val="clear" w:color="auto" w:fill="FFFFFF"/>
        <w:spacing w:line="360" w:lineRule="auto"/>
        <w:ind w:firstLine="1190"/>
        <w:jc w:val="left"/>
        <w:rPr>
          <w:rFonts w:ascii="宋体" w:hAnsi="宋体" w:cs="宋体"/>
          <w:color w:val="auto"/>
          <w:kern w:val="0"/>
          <w:sz w:val="24"/>
          <w:highlight w:val="none"/>
        </w:rPr>
      </w:pPr>
      <w:r>
        <w:rPr>
          <w:rFonts w:hint="eastAsia" w:ascii="宋体" w:hAnsi="宋体" w:cs="宋体"/>
          <w:b/>
          <w:bCs/>
          <w:color w:val="auto"/>
          <w:kern w:val="0"/>
          <w:sz w:val="24"/>
          <w:highlight w:val="none"/>
        </w:rPr>
        <w:t>项 目 编 号：</w:t>
      </w:r>
      <w:r>
        <w:rPr>
          <w:rFonts w:hint="eastAsia" w:ascii="宋体" w:hAnsi="宋体" w:cs="宋体"/>
          <w:b/>
          <w:bCs/>
          <w:color w:val="auto"/>
          <w:kern w:val="0"/>
          <w:sz w:val="24"/>
          <w:highlight w:val="none"/>
          <w:u w:val="single"/>
        </w:rPr>
        <w:t xml:space="preserve">              </w:t>
      </w:r>
    </w:p>
    <w:p w14:paraId="43E6641F">
      <w:pPr>
        <w:widowControl/>
        <w:shd w:val="clear" w:color="auto" w:fill="FFFFFF"/>
        <w:spacing w:line="360" w:lineRule="auto"/>
        <w:ind w:firstLine="482" w:firstLineChars="200"/>
        <w:jc w:val="left"/>
        <w:rPr>
          <w:color w:val="auto"/>
          <w:kern w:val="0"/>
          <w:sz w:val="28"/>
          <w:szCs w:val="28"/>
          <w:highlight w:val="none"/>
        </w:rPr>
      </w:pPr>
      <w:r>
        <w:rPr>
          <w:rFonts w:hint="eastAsia" w:ascii="宋体" w:hAnsi="宋体" w:cs="宋体"/>
          <w:b/>
          <w:bCs/>
          <w:color w:val="auto"/>
          <w:kern w:val="0"/>
          <w:sz w:val="24"/>
          <w:highlight w:val="none"/>
        </w:rPr>
        <w:t xml:space="preserve">      供应商名称 ：</w:t>
      </w:r>
      <w:r>
        <w:rPr>
          <w:rFonts w:hint="eastAsia" w:ascii="宋体" w:hAnsi="宋体" w:cs="宋体"/>
          <w:b/>
          <w:bCs/>
          <w:color w:val="auto"/>
          <w:kern w:val="0"/>
          <w:sz w:val="24"/>
          <w:highlight w:val="none"/>
          <w:u w:val="single"/>
        </w:rPr>
        <w:t xml:space="preserve">              </w:t>
      </w:r>
      <w:r>
        <w:rPr>
          <w:rFonts w:hint="eastAsia" w:ascii="宋体" w:hAnsi="宋体" w:cs="宋体"/>
          <w:color w:val="auto"/>
          <w:kern w:val="0"/>
          <w:sz w:val="24"/>
          <w:highlight w:val="none"/>
        </w:rPr>
        <w:t>（全称并加盖公章）</w:t>
      </w:r>
    </w:p>
    <w:p w14:paraId="29B23CFF">
      <w:pPr>
        <w:widowControl/>
        <w:shd w:val="clear" w:color="auto" w:fill="FFFFFF"/>
        <w:spacing w:line="360" w:lineRule="auto"/>
        <w:ind w:firstLine="482"/>
        <w:jc w:val="left"/>
        <w:rPr>
          <w:color w:val="auto"/>
          <w:kern w:val="0"/>
          <w:sz w:val="28"/>
          <w:szCs w:val="28"/>
          <w:highlight w:val="none"/>
        </w:rPr>
      </w:pPr>
      <w:r>
        <w:rPr>
          <w:rFonts w:hint="eastAsia" w:ascii="宋体" w:hAnsi="宋体" w:cs="宋体"/>
          <w:b/>
          <w:bCs/>
          <w:color w:val="auto"/>
          <w:kern w:val="0"/>
          <w:sz w:val="24"/>
          <w:highlight w:val="none"/>
        </w:rPr>
        <w:t xml:space="preserve">      日  </w:t>
      </w:r>
      <w:r>
        <w:rPr>
          <w:rFonts w:hint="eastAsia" w:ascii="宋体" w:hAnsi="宋体" w:cs="宋体"/>
          <w:b/>
          <w:bCs/>
          <w:color w:val="auto"/>
          <w:kern w:val="0"/>
          <w:sz w:val="24"/>
          <w:highlight w:val="none"/>
          <w:lang w:val="en-US" w:eastAsia="zh-CN"/>
        </w:rPr>
        <w:t xml:space="preserve">  </w:t>
      </w:r>
      <w:r>
        <w:rPr>
          <w:rFonts w:hint="eastAsia" w:ascii="宋体" w:hAnsi="宋体" w:cs="宋体"/>
          <w:b/>
          <w:bCs/>
          <w:color w:val="auto"/>
          <w:kern w:val="0"/>
          <w:sz w:val="24"/>
          <w:highlight w:val="none"/>
        </w:rPr>
        <w:t xml:space="preserve">  期 ：</w:t>
      </w:r>
      <w:r>
        <w:rPr>
          <w:rFonts w:hint="eastAsia" w:ascii="宋体" w:hAnsi="宋体" w:cs="宋体"/>
          <w:b/>
          <w:bCs/>
          <w:color w:val="auto"/>
          <w:kern w:val="0"/>
          <w:sz w:val="24"/>
          <w:highlight w:val="none"/>
          <w:u w:val="single"/>
        </w:rPr>
        <w:t xml:space="preserve">              </w:t>
      </w:r>
    </w:p>
    <w:p w14:paraId="2D73ABB4">
      <w:pPr>
        <w:widowControl/>
        <w:shd w:val="clear" w:color="auto" w:fill="FFFFFF"/>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 </w:t>
      </w:r>
    </w:p>
    <w:p w14:paraId="1C57DBD8">
      <w:pPr>
        <w:widowControl/>
        <w:shd w:val="clear" w:color="auto" w:fill="FFFFFF"/>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 </w:t>
      </w:r>
    </w:p>
    <w:p w14:paraId="25FC36DD">
      <w:pPr>
        <w:widowControl/>
        <w:shd w:val="clear" w:color="auto" w:fill="FFFFFF"/>
        <w:spacing w:line="360" w:lineRule="auto"/>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 xml:space="preserve"> </w:t>
      </w:r>
    </w:p>
    <w:p w14:paraId="7E086231">
      <w:pP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br w:type="page"/>
      </w:r>
    </w:p>
    <w:p w14:paraId="3AFFD91D">
      <w:pPr>
        <w:pStyle w:val="49"/>
        <w:rPr>
          <w:color w:val="auto"/>
          <w:highlight w:val="none"/>
        </w:rPr>
      </w:pPr>
    </w:p>
    <w:p w14:paraId="5B8F9D91">
      <w:pPr>
        <w:widowControl/>
        <w:shd w:val="clear" w:color="auto" w:fill="FFFFFF"/>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附件2                      竞争性磋商响应书（格式）</w:t>
      </w:r>
    </w:p>
    <w:p w14:paraId="4CC80B1F">
      <w:pPr>
        <w:widowControl/>
        <w:shd w:val="clear" w:color="auto" w:fill="FFFFFF"/>
        <w:spacing w:line="360" w:lineRule="auto"/>
        <w:jc w:val="left"/>
        <w:rPr>
          <w:rFonts w:ascii="宋体" w:hAnsi="宋体" w:cs="宋体"/>
          <w:color w:val="auto"/>
          <w:kern w:val="0"/>
          <w:sz w:val="24"/>
          <w:highlight w:val="none"/>
        </w:rPr>
      </w:pPr>
    </w:p>
    <w:p w14:paraId="473E3AC4">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left"/>
        <w:textAlignment w:val="auto"/>
        <w:rPr>
          <w:color w:val="auto"/>
          <w:kern w:val="0"/>
          <w:sz w:val="21"/>
          <w:szCs w:val="21"/>
          <w:highlight w:val="none"/>
        </w:rPr>
      </w:pPr>
      <w:r>
        <w:rPr>
          <w:rFonts w:hint="eastAsia" w:ascii="宋体" w:hAnsi="宋体" w:cs="宋体"/>
          <w:color w:val="auto"/>
          <w:kern w:val="0"/>
          <w:sz w:val="21"/>
          <w:szCs w:val="21"/>
          <w:highlight w:val="none"/>
        </w:rPr>
        <w:t>致：</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（代理机构名称）：</w:t>
      </w:r>
    </w:p>
    <w:p w14:paraId="0045E22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00"/>
        <w:jc w:val="left"/>
        <w:textAlignment w:val="auto"/>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（供应商名称）现委托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（姓名）为我方代理人，参加贵方组织的</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项目（项目编号：</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none"/>
          <w:lang w:eastAsia="zh-CN"/>
        </w:rPr>
        <w:t>）</w:t>
      </w:r>
      <w:r>
        <w:rPr>
          <w:rFonts w:hint="eastAsia" w:ascii="宋体" w:hAnsi="宋体" w:cs="宋体"/>
          <w:color w:val="auto"/>
          <w:kern w:val="0"/>
          <w:sz w:val="21"/>
          <w:szCs w:val="21"/>
          <w:highlight w:val="none"/>
        </w:rPr>
        <w:t>的竞争性磋商。现正式提交下述文件1份：</w:t>
      </w:r>
    </w:p>
    <w:p w14:paraId="25928C6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color w:val="auto"/>
          <w:kern w:val="0"/>
          <w:sz w:val="21"/>
          <w:szCs w:val="21"/>
          <w:highlight w:val="none"/>
        </w:rPr>
      </w:pPr>
      <w:r>
        <w:rPr>
          <w:rFonts w:hint="eastAsia" w:ascii="宋体" w:hAnsi="宋体"/>
          <w:color w:val="auto"/>
          <w:kern w:val="0"/>
          <w:sz w:val="21"/>
          <w:szCs w:val="21"/>
          <w:highlight w:val="none"/>
        </w:rPr>
        <w:t>1、初次报价一览表。</w:t>
      </w:r>
    </w:p>
    <w:p w14:paraId="4E04E11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2、法定代表人身份证明（格式）</w:t>
      </w:r>
    </w:p>
    <w:p w14:paraId="16ED0FC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3、</w:t>
      </w:r>
      <w:r>
        <w:rPr>
          <w:rFonts w:hint="eastAsia" w:ascii="宋体" w:hAnsi="宋体"/>
          <w:color w:val="auto"/>
          <w:kern w:val="0"/>
          <w:sz w:val="21"/>
          <w:szCs w:val="21"/>
          <w:highlight w:val="none"/>
        </w:rPr>
        <w:t>法定代表人授权书（格式）</w:t>
      </w:r>
    </w:p>
    <w:p w14:paraId="1F0138D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4、技术响应表</w:t>
      </w:r>
    </w:p>
    <w:p w14:paraId="0E24331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lang w:eastAsia="zh-CN"/>
        </w:rPr>
        <w:t>、商务响应表</w:t>
      </w:r>
    </w:p>
    <w:p w14:paraId="6F81885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6、</w:t>
      </w:r>
      <w:r>
        <w:rPr>
          <w:rFonts w:hint="eastAsia" w:ascii="宋体" w:hAnsi="宋体"/>
          <w:color w:val="auto"/>
          <w:kern w:val="0"/>
          <w:sz w:val="21"/>
          <w:szCs w:val="21"/>
          <w:highlight w:val="none"/>
        </w:rPr>
        <w:t>证明文件</w:t>
      </w:r>
    </w:p>
    <w:p w14:paraId="4AD2505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7、</w:t>
      </w:r>
      <w:r>
        <w:rPr>
          <w:rFonts w:hint="eastAsia" w:ascii="宋体" w:hAnsi="宋体"/>
          <w:color w:val="auto"/>
          <w:kern w:val="0"/>
          <w:sz w:val="21"/>
          <w:szCs w:val="21"/>
          <w:highlight w:val="none"/>
        </w:rPr>
        <w:t>抵制商业贿赂承诺（格式）</w:t>
      </w:r>
    </w:p>
    <w:p w14:paraId="5A620E6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8、中小微企业承诺函</w:t>
      </w:r>
    </w:p>
    <w:p w14:paraId="14070F82">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为便于贵方公正、择优地确定成交供应商，我方就本次竞争性磋商有关事项郑重声明并宣布同意如下：</w:t>
      </w:r>
    </w:p>
    <w:p w14:paraId="30A4AC11">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1、我方承诺具备竞争性磋商文件中规定的资格条件。我方愿意向贵方提供任何与本竞争性磋商项目有关的数据、情况和技术资料，并根据需要提供一切证明材料，并保证其真实、合法、有效。</w:t>
      </w:r>
    </w:p>
    <w:p w14:paraId="662D7C5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2、我方同意在响应文件有效期内遵守本响应文件中的承诺且在此期限期满之前均具有约束力。如果我方成交，响应文件有效期与合同履行期相同。</w:t>
      </w:r>
    </w:p>
    <w:p w14:paraId="2AF61DE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3、我方已详细审查全部竞争性磋商文件，包括修改文件和有关附件，将自行承担因对全部竞争性磋商文件误解而产生的相应后果。</w:t>
      </w:r>
    </w:p>
    <w:p w14:paraId="515EC07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4、我方保证尊重磋商小组的确定结果。</w:t>
      </w:r>
    </w:p>
    <w:p w14:paraId="2DE3E413">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5、我方遵守竞争性磋商文件的全部规定，接受竞争性磋商文件中政府采购合同的全部条款且无任何异议。</w:t>
      </w:r>
    </w:p>
    <w:p w14:paraId="7AE61EE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6、如果发生供应商须知第26.2.1、26.2.2项所述情况，同意被认定为未实质性响应竞争性磋商文件。</w:t>
      </w:r>
    </w:p>
    <w:p w14:paraId="26B6B023">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7、如果发生供应商须知第26.3</w:t>
      </w:r>
      <w:r>
        <w:rPr>
          <w:rFonts w:hint="eastAsia" w:ascii="宋体" w:hAnsi="宋体"/>
          <w:color w:val="auto"/>
          <w:kern w:val="0"/>
          <w:sz w:val="21"/>
          <w:szCs w:val="21"/>
          <w:highlight w:val="none"/>
        </w:rPr>
        <w:t>、32.2</w:t>
      </w:r>
      <w:r>
        <w:rPr>
          <w:rFonts w:hint="eastAsia" w:ascii="宋体" w:hAnsi="宋体" w:cs="宋体"/>
          <w:color w:val="auto"/>
          <w:kern w:val="0"/>
          <w:sz w:val="21"/>
          <w:szCs w:val="21"/>
          <w:highlight w:val="none"/>
        </w:rPr>
        <w:t>项所述情况，同意磋商小组认定我方的行为属于恶意串通行为，并自愿接受监管部门的处罚。</w:t>
      </w:r>
    </w:p>
    <w:p w14:paraId="093997A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8、如果发生供应商须知第29.2项所述情况，同意被认定为丧失参加磋商的资格，并承担相应的法律责任。</w:t>
      </w:r>
    </w:p>
    <w:p w14:paraId="30DC513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hint="eastAsia" w:eastAsia="宋体"/>
          <w:color w:val="auto"/>
          <w:kern w:val="0"/>
          <w:sz w:val="21"/>
          <w:szCs w:val="21"/>
          <w:highlight w:val="none"/>
          <w:lang w:eastAsia="zh-CN"/>
        </w:rPr>
      </w:pPr>
      <w:r>
        <w:rPr>
          <w:rFonts w:hint="eastAsia" w:ascii="宋体" w:hAnsi="宋体" w:cs="宋体"/>
          <w:color w:val="auto"/>
          <w:kern w:val="0"/>
          <w:sz w:val="21"/>
          <w:szCs w:val="21"/>
          <w:highlight w:val="none"/>
        </w:rPr>
        <w:t>9、如果被确定为成交供应商，我方同意按竞争性磋商文件的规定领取成交通知书。否则，视为我方成交后自动放弃成交资格，承担由此引起的一切后果。</w:t>
      </w:r>
    </w:p>
    <w:p w14:paraId="533C693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10、如果被确定为成交供应商，我方同意在领取成交通知书之日起</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lang w:val="en-US" w:eastAsia="zh-CN"/>
        </w:rPr>
        <w:t>工作日</w:t>
      </w:r>
      <w:r>
        <w:rPr>
          <w:rFonts w:hint="eastAsia" w:ascii="宋体" w:hAnsi="宋体" w:cs="宋体"/>
          <w:color w:val="auto"/>
          <w:kern w:val="0"/>
          <w:sz w:val="21"/>
          <w:szCs w:val="21"/>
          <w:highlight w:val="none"/>
        </w:rPr>
        <w:t>内，按照竞争性磋商文件的规定与采购人签订采购合同。否则，视为我方成交后无正当理由不与采购人签订合同并承担相应法律责任。</w:t>
      </w:r>
    </w:p>
    <w:p w14:paraId="3F9DF15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64"/>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11、我方最近3年内被公开披露或查处的违法违规行为有：</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p>
    <w:p w14:paraId="3C16A55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12、以上事项如有虚假或隐瞒，我方愿意承担一切后果和责任。</w:t>
      </w:r>
    </w:p>
    <w:p w14:paraId="10ADF1AC">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13、与本响应有关的一切正式往来通讯请寄：</w:t>
      </w:r>
    </w:p>
    <w:p w14:paraId="54D8AD7B">
      <w:pPr>
        <w:keepNext w:val="0"/>
        <w:keepLines w:val="0"/>
        <w:pageBreakBefore w:val="0"/>
        <w:kinsoku/>
        <w:wordWrap/>
        <w:overflowPunct/>
        <w:topLinePunct w:val="0"/>
        <w:autoSpaceDE/>
        <w:autoSpaceDN/>
        <w:bidi w:val="0"/>
        <w:adjustRightInd/>
        <w:snapToGrid w:val="0"/>
        <w:spacing w:line="360" w:lineRule="auto"/>
        <w:textAlignment w:val="auto"/>
        <w:rPr>
          <w:rFonts w:hint="eastAsia"/>
          <w:color w:val="auto"/>
          <w:highlight w:val="none"/>
        </w:rPr>
      </w:pPr>
    </w:p>
    <w:p w14:paraId="5A681029">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96" w:firstLineChars="427"/>
        <w:jc w:val="left"/>
        <w:textAlignment w:val="auto"/>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 xml:space="preserve">地址：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邮编： </w:t>
      </w:r>
      <w:r>
        <w:rPr>
          <w:rFonts w:hint="eastAsia" w:ascii="宋体" w:hAnsi="宋体" w:cs="宋体"/>
          <w:color w:val="auto"/>
          <w:kern w:val="0"/>
          <w:sz w:val="21"/>
          <w:szCs w:val="21"/>
          <w:highlight w:val="none"/>
          <w:u w:val="single"/>
        </w:rPr>
        <w:t xml:space="preserve">       </w:t>
      </w:r>
    </w:p>
    <w:p w14:paraId="14C9D19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96" w:firstLineChars="427"/>
        <w:jc w:val="left"/>
        <w:textAlignment w:val="auto"/>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 xml:space="preserve">电话：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传真： </w:t>
      </w:r>
      <w:r>
        <w:rPr>
          <w:rFonts w:hint="eastAsia" w:ascii="宋体" w:hAnsi="宋体" w:cs="宋体"/>
          <w:color w:val="auto"/>
          <w:kern w:val="0"/>
          <w:sz w:val="21"/>
          <w:szCs w:val="21"/>
          <w:highlight w:val="none"/>
          <w:u w:val="single"/>
        </w:rPr>
        <w:t xml:space="preserve">        </w:t>
      </w:r>
    </w:p>
    <w:p w14:paraId="09926B0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96" w:firstLineChars="427"/>
        <w:jc w:val="left"/>
        <w:textAlignment w:val="auto"/>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 xml:space="preserve">供应商代表签字： </w:t>
      </w:r>
      <w:r>
        <w:rPr>
          <w:rFonts w:hint="eastAsia" w:ascii="宋体" w:hAnsi="宋体" w:cs="宋体"/>
          <w:color w:val="auto"/>
          <w:kern w:val="0"/>
          <w:sz w:val="21"/>
          <w:szCs w:val="21"/>
          <w:highlight w:val="none"/>
          <w:u w:val="single"/>
        </w:rPr>
        <w:t xml:space="preserve">                </w:t>
      </w:r>
    </w:p>
    <w:p w14:paraId="2041A15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96" w:firstLineChars="427"/>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供应商名称：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（全称并加盖公章）</w:t>
      </w:r>
    </w:p>
    <w:p w14:paraId="753B3726">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left"/>
        <w:textAlignment w:val="auto"/>
        <w:rPr>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年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月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日</w:t>
      </w:r>
    </w:p>
    <w:p w14:paraId="1300AE77">
      <w:pPr>
        <w:widowControl/>
        <w:shd w:val="clear" w:color="auto" w:fill="FFFFFF"/>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 </w:t>
      </w:r>
    </w:p>
    <w:p w14:paraId="7B88DB28">
      <w:pPr>
        <w:bidi w:val="0"/>
        <w:rPr>
          <w:color w:val="auto"/>
          <w:highlight w:val="none"/>
        </w:rPr>
      </w:pPr>
    </w:p>
    <w:p w14:paraId="5CD6597B">
      <w:pPr>
        <w:widowControl/>
        <w:shd w:val="clear" w:color="auto" w:fill="FFFFFF"/>
        <w:spacing w:line="360" w:lineRule="auto"/>
        <w:jc w:val="left"/>
        <w:rPr>
          <w:rFonts w:ascii="宋体" w:hAnsi="宋体" w:cs="宋体"/>
          <w:b/>
          <w:bCs/>
          <w:color w:val="auto"/>
          <w:kern w:val="0"/>
          <w:sz w:val="24"/>
          <w:highlight w:val="none"/>
        </w:rPr>
      </w:pPr>
    </w:p>
    <w:p w14:paraId="43EF7A35">
      <w:pPr>
        <w:rPr>
          <w:rFonts w:ascii="宋体" w:hAnsi="宋体" w:cs="宋体"/>
          <w:b/>
          <w:bCs/>
          <w:color w:val="auto"/>
          <w:kern w:val="0"/>
          <w:sz w:val="24"/>
          <w:highlight w:val="none"/>
        </w:rPr>
      </w:pPr>
      <w:r>
        <w:rPr>
          <w:rFonts w:ascii="宋体" w:hAnsi="宋体" w:cs="宋体"/>
          <w:b/>
          <w:bCs/>
          <w:color w:val="auto"/>
          <w:kern w:val="0"/>
          <w:sz w:val="24"/>
          <w:highlight w:val="none"/>
        </w:rPr>
        <w:br w:type="page"/>
      </w:r>
    </w:p>
    <w:p w14:paraId="5A90FD9C">
      <w:pPr>
        <w:bidi w:val="0"/>
        <w:rPr>
          <w:color w:val="auto"/>
          <w:highlight w:val="none"/>
        </w:rPr>
      </w:pPr>
    </w:p>
    <w:p w14:paraId="79A754D3">
      <w:pPr>
        <w:widowControl/>
        <w:shd w:val="clear" w:color="auto" w:fill="FFFFFF"/>
        <w:spacing w:line="360" w:lineRule="auto"/>
        <w:jc w:val="left"/>
        <w:rPr>
          <w:color w:val="auto"/>
          <w:kern w:val="0"/>
          <w:sz w:val="28"/>
          <w:szCs w:val="28"/>
          <w:highlight w:val="none"/>
        </w:rPr>
      </w:pPr>
      <w:r>
        <w:rPr>
          <w:rFonts w:hint="eastAsia" w:ascii="宋体" w:hAnsi="宋体" w:cs="宋体"/>
          <w:b/>
          <w:bCs/>
          <w:color w:val="auto"/>
          <w:kern w:val="0"/>
          <w:sz w:val="24"/>
          <w:highlight w:val="none"/>
        </w:rPr>
        <w:t>附件3                     初次报价一览表（格式）</w:t>
      </w:r>
    </w:p>
    <w:p w14:paraId="1A7131D0">
      <w:pPr>
        <w:widowControl/>
        <w:shd w:val="clear" w:color="auto" w:fill="FFFFFF"/>
        <w:spacing w:before="50" w:after="50" w:line="405" w:lineRule="atLeast"/>
        <w:rPr>
          <w:color w:val="auto"/>
          <w:kern w:val="0"/>
          <w:sz w:val="21"/>
          <w:szCs w:val="21"/>
          <w:highlight w:val="none"/>
        </w:rPr>
      </w:pPr>
      <w:r>
        <w:rPr>
          <w:rFonts w:hint="eastAsia" w:ascii="宋体" w:hAnsi="宋体"/>
          <w:color w:val="auto"/>
          <w:kern w:val="0"/>
          <w:sz w:val="24"/>
          <w:highlight w:val="none"/>
        </w:rPr>
        <w:t> </w:t>
      </w:r>
      <w:r>
        <w:rPr>
          <w:rFonts w:hint="eastAsia" w:ascii="宋体" w:hAnsi="宋体"/>
          <w:color w:val="auto"/>
          <w:kern w:val="0"/>
          <w:sz w:val="21"/>
          <w:szCs w:val="21"/>
          <w:highlight w:val="none"/>
        </w:rPr>
        <w:t>项目编号：</w:t>
      </w:r>
      <w:r>
        <w:rPr>
          <w:rFonts w:hint="eastAsia" w:ascii="宋体" w:hAnsi="宋体" w:cs="宋体"/>
          <w:b/>
          <w:bCs/>
          <w:color w:val="auto"/>
          <w:kern w:val="0"/>
          <w:sz w:val="21"/>
          <w:szCs w:val="21"/>
          <w:highlight w:val="none"/>
          <w:u w:val="single"/>
        </w:rPr>
        <w:t xml:space="preserve">              </w:t>
      </w:r>
      <w:r>
        <w:rPr>
          <w:rFonts w:hint="eastAsia"/>
          <w:color w:val="auto"/>
          <w:kern w:val="0"/>
          <w:sz w:val="21"/>
          <w:szCs w:val="21"/>
          <w:highlight w:val="none"/>
        </w:rPr>
        <w:t xml:space="preserve">                       </w:t>
      </w:r>
      <w:r>
        <w:rPr>
          <w:rFonts w:hint="eastAsia" w:ascii="宋体" w:hAnsi="宋体"/>
          <w:color w:val="auto"/>
          <w:kern w:val="0"/>
          <w:sz w:val="21"/>
          <w:szCs w:val="21"/>
          <w:highlight w:val="none"/>
        </w:rPr>
        <w:t>货币单位：元</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6015"/>
      </w:tblGrid>
      <w:tr w14:paraId="6839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41BFDB88">
            <w:pPr>
              <w:widowControl/>
              <w:spacing w:line="360" w:lineRule="auto"/>
              <w:jc w:val="center"/>
              <w:rPr>
                <w:rFonts w:hint="eastAsia"/>
                <w:color w:val="auto"/>
                <w:highlight w:val="none"/>
              </w:rPr>
            </w:pPr>
            <w:r>
              <w:rPr>
                <w:rFonts w:hint="eastAsia"/>
                <w:color w:val="auto"/>
                <w:highlight w:val="none"/>
              </w:rPr>
              <w:t>项目名称</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44C97FD1">
            <w:pPr>
              <w:widowControl/>
              <w:spacing w:line="360" w:lineRule="auto"/>
              <w:jc w:val="center"/>
              <w:rPr>
                <w:rFonts w:hint="eastAsia"/>
                <w:color w:val="auto"/>
                <w:highlight w:val="none"/>
              </w:rPr>
            </w:pPr>
          </w:p>
        </w:tc>
      </w:tr>
      <w:tr w14:paraId="6DEB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7490D009">
            <w:pPr>
              <w:widowControl/>
              <w:spacing w:line="360" w:lineRule="auto"/>
              <w:jc w:val="center"/>
              <w:rPr>
                <w:rFonts w:hint="eastAsia" w:eastAsia="宋体"/>
                <w:color w:val="auto"/>
                <w:highlight w:val="none"/>
                <w:lang w:val="en-US" w:eastAsia="zh-CN"/>
              </w:rPr>
            </w:pPr>
            <w:r>
              <w:rPr>
                <w:rFonts w:hint="eastAsia"/>
                <w:color w:val="auto"/>
                <w:highlight w:val="none"/>
              </w:rPr>
              <w:t>供应商</w:t>
            </w:r>
            <w:r>
              <w:rPr>
                <w:rFonts w:hint="eastAsia"/>
                <w:color w:val="auto"/>
                <w:highlight w:val="none"/>
                <w:lang w:val="en-US" w:eastAsia="zh-CN"/>
              </w:rPr>
              <w:t>名称</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6359916C">
            <w:pPr>
              <w:widowControl/>
              <w:spacing w:line="360" w:lineRule="auto"/>
              <w:jc w:val="center"/>
              <w:rPr>
                <w:rFonts w:hint="eastAsia"/>
                <w:color w:val="auto"/>
                <w:highlight w:val="none"/>
              </w:rPr>
            </w:pPr>
          </w:p>
        </w:tc>
      </w:tr>
      <w:tr w14:paraId="4A1D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389" w:type="dxa"/>
            <w:tcBorders>
              <w:top w:val="single" w:color="auto" w:sz="4" w:space="0"/>
              <w:left w:val="single" w:color="auto" w:sz="4" w:space="0"/>
              <w:right w:val="single" w:color="auto" w:sz="4" w:space="0"/>
            </w:tcBorders>
            <w:noWrap w:val="0"/>
            <w:vAlign w:val="center"/>
          </w:tcPr>
          <w:p w14:paraId="7E7CBEA2">
            <w:pPr>
              <w:widowControl/>
              <w:jc w:val="center"/>
              <w:rPr>
                <w:rFonts w:hint="eastAsia" w:eastAsia="宋体"/>
                <w:color w:val="auto"/>
                <w:sz w:val="21"/>
                <w:szCs w:val="21"/>
                <w:highlight w:val="none"/>
                <w:lang w:val="en-US" w:eastAsia="zh-CN"/>
              </w:rPr>
            </w:pPr>
            <w:r>
              <w:rPr>
                <w:rFonts w:hint="eastAsia"/>
                <w:color w:val="auto"/>
                <w:sz w:val="21"/>
                <w:szCs w:val="21"/>
                <w:highlight w:val="none"/>
              </w:rPr>
              <w:t>磋商</w:t>
            </w:r>
            <w:r>
              <w:rPr>
                <w:rFonts w:hint="eastAsia"/>
                <w:color w:val="auto"/>
                <w:sz w:val="21"/>
                <w:szCs w:val="21"/>
                <w:highlight w:val="none"/>
                <w:lang w:val="en-US" w:eastAsia="zh-CN"/>
              </w:rPr>
              <w:t>报价</w:t>
            </w:r>
          </w:p>
        </w:tc>
        <w:tc>
          <w:tcPr>
            <w:tcW w:w="6015" w:type="dxa"/>
            <w:tcBorders>
              <w:top w:val="single" w:color="auto" w:sz="4" w:space="0"/>
              <w:left w:val="single" w:color="auto" w:sz="4" w:space="0"/>
              <w:right w:val="single" w:color="auto" w:sz="4" w:space="0"/>
            </w:tcBorders>
            <w:noWrap w:val="0"/>
            <w:vAlign w:val="center"/>
          </w:tcPr>
          <w:p w14:paraId="6EBB6F85">
            <w:pPr>
              <w:spacing w:line="480" w:lineRule="auto"/>
              <w:rPr>
                <w:rFonts w:hint="eastAsia"/>
                <w:color w:val="auto"/>
                <w:sz w:val="21"/>
                <w:szCs w:val="21"/>
                <w:highlight w:val="none"/>
                <w:u w:val="single"/>
              </w:rPr>
            </w:pPr>
            <w:r>
              <w:rPr>
                <w:rFonts w:hint="eastAsia"/>
                <w:color w:val="auto"/>
                <w:sz w:val="21"/>
                <w:szCs w:val="21"/>
                <w:highlight w:val="none"/>
              </w:rPr>
              <w:t>大写：</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p w14:paraId="68F574F6">
            <w:pPr>
              <w:spacing w:line="480" w:lineRule="auto"/>
              <w:rPr>
                <w:rFonts w:hint="eastAsia"/>
                <w:b/>
                <w:bCs/>
                <w:color w:val="auto"/>
                <w:sz w:val="21"/>
                <w:szCs w:val="21"/>
                <w:highlight w:val="none"/>
              </w:rPr>
            </w:pPr>
            <w:r>
              <w:rPr>
                <w:rFonts w:hint="eastAsia"/>
                <w:color w:val="auto"/>
                <w:sz w:val="21"/>
                <w:szCs w:val="21"/>
                <w:highlight w:val="none"/>
              </w:rPr>
              <w:t>小写：</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tc>
      </w:tr>
      <w:tr w14:paraId="342E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2DEE7457">
            <w:pPr>
              <w:widowControl/>
              <w:spacing w:line="360" w:lineRule="auto"/>
              <w:jc w:val="center"/>
              <w:rPr>
                <w:rFonts w:hint="eastAsia" w:eastAsia="宋体"/>
                <w:color w:val="auto"/>
                <w:highlight w:val="none"/>
                <w:lang w:val="en-US" w:eastAsia="zh-CN"/>
              </w:rPr>
            </w:pPr>
            <w:r>
              <w:rPr>
                <w:rFonts w:hint="eastAsia"/>
                <w:color w:val="auto"/>
                <w:highlight w:val="none"/>
                <w:lang w:val="en-US" w:eastAsia="zh-CN"/>
              </w:rPr>
              <w:t>交货期</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5B26F8E8">
            <w:pPr>
              <w:widowControl/>
              <w:spacing w:line="360" w:lineRule="auto"/>
              <w:jc w:val="center"/>
              <w:rPr>
                <w:rFonts w:hint="eastAsia"/>
                <w:color w:val="auto"/>
                <w:highlight w:val="none"/>
              </w:rPr>
            </w:pPr>
          </w:p>
        </w:tc>
      </w:tr>
      <w:tr w14:paraId="3725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34D24B">
            <w:pPr>
              <w:widowControl/>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质保期</w:t>
            </w:r>
          </w:p>
        </w:tc>
        <w:tc>
          <w:tcPr>
            <w:tcW w:w="6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DA2D3A">
            <w:pPr>
              <w:widowControl/>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 xml:space="preserve"> </w:t>
            </w:r>
          </w:p>
        </w:tc>
      </w:tr>
      <w:tr w14:paraId="2513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FB858">
            <w:pPr>
              <w:widowControl/>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质量要求</w:t>
            </w:r>
          </w:p>
        </w:tc>
        <w:tc>
          <w:tcPr>
            <w:tcW w:w="6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2C1A70">
            <w:pPr>
              <w:widowControl/>
              <w:spacing w:line="360" w:lineRule="auto"/>
              <w:jc w:val="center"/>
              <w:rPr>
                <w:rFonts w:hint="eastAsia" w:ascii="Times New Roman" w:hAnsi="Times New Roman" w:eastAsia="宋体" w:cs="Times New Roman"/>
                <w:color w:val="auto"/>
                <w:kern w:val="2"/>
                <w:sz w:val="21"/>
                <w:szCs w:val="24"/>
                <w:highlight w:val="none"/>
                <w:lang w:val="en-US" w:eastAsia="zh-CN" w:bidi="ar-SA"/>
              </w:rPr>
            </w:pPr>
          </w:p>
        </w:tc>
      </w:tr>
      <w:tr w14:paraId="5938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0EC548">
            <w:pPr>
              <w:widowControl/>
              <w:spacing w:line="360" w:lineRule="auto"/>
              <w:jc w:val="center"/>
              <w:rPr>
                <w:rFonts w:hint="eastAsia" w:eastAsia="宋体"/>
                <w:color w:val="auto"/>
                <w:highlight w:val="none"/>
                <w:lang w:eastAsia="zh-CN"/>
              </w:rPr>
            </w:pPr>
            <w:r>
              <w:rPr>
                <w:rFonts w:hint="eastAsia"/>
                <w:color w:val="auto"/>
                <w:highlight w:val="none"/>
              </w:rPr>
              <w:t>响应文件</w:t>
            </w:r>
            <w:r>
              <w:rPr>
                <w:rFonts w:hint="eastAsia"/>
                <w:color w:val="auto"/>
                <w:highlight w:val="none"/>
                <w:lang w:val="en-US" w:eastAsia="zh-CN"/>
              </w:rPr>
              <w:t>有效期</w:t>
            </w:r>
          </w:p>
        </w:tc>
        <w:tc>
          <w:tcPr>
            <w:tcW w:w="6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B6EA2">
            <w:pPr>
              <w:widowControl/>
              <w:spacing w:line="360" w:lineRule="auto"/>
              <w:jc w:val="center"/>
              <w:rPr>
                <w:rFonts w:hint="eastAsia" w:ascii="Times New Roman" w:hAnsi="Times New Roman" w:eastAsia="宋体" w:cs="Times New Roman"/>
                <w:color w:val="auto"/>
                <w:kern w:val="2"/>
                <w:sz w:val="21"/>
                <w:szCs w:val="24"/>
                <w:highlight w:val="none"/>
                <w:lang w:val="en-US" w:eastAsia="zh-CN" w:bidi="ar-SA"/>
              </w:rPr>
            </w:pPr>
          </w:p>
        </w:tc>
      </w:tr>
      <w:tr w14:paraId="4159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4B5AE243">
            <w:pPr>
              <w:spacing w:line="360" w:lineRule="auto"/>
              <w:jc w:val="center"/>
              <w:rPr>
                <w:rFonts w:hint="eastAsia"/>
                <w:color w:val="auto"/>
                <w:highlight w:val="none"/>
              </w:rPr>
            </w:pPr>
            <w:r>
              <w:rPr>
                <w:rFonts w:hint="eastAsia"/>
                <w:color w:val="auto"/>
                <w:highlight w:val="none"/>
              </w:rPr>
              <w:t>备  注</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2A784B25">
            <w:pPr>
              <w:widowControl/>
              <w:spacing w:line="360" w:lineRule="auto"/>
              <w:jc w:val="center"/>
              <w:rPr>
                <w:rFonts w:hint="eastAsia"/>
                <w:color w:val="auto"/>
                <w:highlight w:val="none"/>
              </w:rPr>
            </w:pPr>
          </w:p>
        </w:tc>
      </w:tr>
    </w:tbl>
    <w:p w14:paraId="7196F7C8">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olor w:val="auto"/>
          <w:kern w:val="0"/>
          <w:sz w:val="21"/>
          <w:szCs w:val="21"/>
          <w:highlight w:val="none"/>
        </w:rPr>
        <w:t>注: 1、磋商报价一经涂改，应在涂改处加盖单位公章或供应商代表签字或盖章，否则其响应作无效响应处理。</w:t>
      </w:r>
    </w:p>
    <w:p w14:paraId="7E33ED29">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olor w:val="auto"/>
          <w:kern w:val="0"/>
          <w:sz w:val="21"/>
          <w:szCs w:val="21"/>
          <w:highlight w:val="none"/>
        </w:rPr>
        <w:t>2、</w:t>
      </w:r>
      <w:r>
        <w:rPr>
          <w:rFonts w:hint="eastAsia" w:ascii="宋体" w:hAnsi="宋体" w:cs="宋体"/>
          <w:color w:val="auto"/>
          <w:kern w:val="0"/>
          <w:sz w:val="21"/>
          <w:szCs w:val="21"/>
          <w:highlight w:val="none"/>
        </w:rPr>
        <w:t>所有磋商报价均以人民币元为计算单位。供应商的磋商报价为完成本项目</w:t>
      </w:r>
      <w:r>
        <w:rPr>
          <w:rFonts w:hint="eastAsia" w:ascii="宋体" w:hAnsi="宋体" w:cs="宋体"/>
          <w:color w:val="auto"/>
          <w:kern w:val="0"/>
          <w:sz w:val="21"/>
          <w:szCs w:val="21"/>
          <w:highlight w:val="none"/>
          <w:lang w:val="en-US" w:eastAsia="zh-CN"/>
        </w:rPr>
        <w:t>供货及安装</w:t>
      </w:r>
      <w:r>
        <w:rPr>
          <w:rFonts w:hint="eastAsia" w:ascii="宋体" w:hAnsi="宋体" w:cs="宋体"/>
          <w:color w:val="auto"/>
          <w:kern w:val="0"/>
          <w:sz w:val="21"/>
          <w:szCs w:val="21"/>
          <w:highlight w:val="none"/>
        </w:rPr>
        <w:t>产生的所有费用总和。</w:t>
      </w:r>
    </w:p>
    <w:p w14:paraId="6D706834">
      <w:pPr>
        <w:keepNext w:val="0"/>
        <w:keepLines w:val="0"/>
        <w:pageBreakBefore w:val="0"/>
        <w:widowControl/>
        <w:kinsoku/>
        <w:wordWrap w:val="0"/>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3、若认为符合价格折扣条件的，在 “备注”栏内注明符合何种折扣条件，以方便磋商小组评审。</w:t>
      </w:r>
    </w:p>
    <w:p w14:paraId="00CEC5BF">
      <w:pPr>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color w:val="auto"/>
          <w:kern w:val="0"/>
          <w:sz w:val="21"/>
          <w:szCs w:val="21"/>
          <w:highlight w:val="none"/>
        </w:rPr>
      </w:pPr>
      <w:r>
        <w:rPr>
          <w:rFonts w:hint="eastAsia" w:ascii="宋体" w:hAnsi="宋体"/>
          <w:color w:val="auto"/>
          <w:kern w:val="0"/>
          <w:sz w:val="21"/>
          <w:szCs w:val="21"/>
          <w:highlight w:val="none"/>
        </w:rPr>
        <w:t xml:space="preserve">    4、供应商按格式填列，不得自行更改，否则引起的不利后果由供应商承担。</w:t>
      </w:r>
    </w:p>
    <w:p w14:paraId="7F7A411B">
      <w:pPr>
        <w:widowControl/>
        <w:shd w:val="clear" w:color="auto" w:fill="FFFFFF"/>
        <w:spacing w:line="460" w:lineRule="atLeast"/>
        <w:rPr>
          <w:rFonts w:ascii="宋体" w:hAnsi="宋体"/>
          <w:color w:val="auto"/>
          <w:kern w:val="0"/>
          <w:sz w:val="21"/>
          <w:szCs w:val="21"/>
          <w:highlight w:val="none"/>
        </w:rPr>
      </w:pPr>
      <w:r>
        <w:rPr>
          <w:rFonts w:hint="eastAsia" w:ascii="宋体" w:hAnsi="宋体"/>
          <w:color w:val="auto"/>
          <w:kern w:val="0"/>
          <w:sz w:val="21"/>
          <w:szCs w:val="21"/>
          <w:highlight w:val="none"/>
        </w:rPr>
        <w:t xml:space="preserve">                   </w:t>
      </w:r>
    </w:p>
    <w:p w14:paraId="238718CE">
      <w:pPr>
        <w:widowControl/>
        <w:shd w:val="clear" w:color="auto" w:fill="FFFFFF"/>
        <w:spacing w:line="460" w:lineRule="atLeast"/>
        <w:ind w:firstLine="480"/>
        <w:rPr>
          <w:color w:val="auto"/>
          <w:kern w:val="0"/>
          <w:sz w:val="21"/>
          <w:szCs w:val="21"/>
          <w:highlight w:val="none"/>
        </w:rPr>
      </w:pPr>
      <w:r>
        <w:rPr>
          <w:rFonts w:hint="eastAsia" w:ascii="宋体" w:hAnsi="宋体"/>
          <w:color w:val="auto"/>
          <w:kern w:val="0"/>
          <w:sz w:val="21"/>
          <w:szCs w:val="21"/>
          <w:highlight w:val="none"/>
        </w:rPr>
        <w:t>              供应商</w:t>
      </w:r>
      <w:r>
        <w:rPr>
          <w:rFonts w:hint="eastAsia" w:ascii="宋体" w:hAnsi="宋体"/>
          <w:color w:val="auto"/>
          <w:kern w:val="0"/>
          <w:sz w:val="21"/>
          <w:szCs w:val="21"/>
          <w:highlight w:val="none"/>
          <w:lang w:val="en-US" w:eastAsia="zh-CN"/>
        </w:rPr>
        <w:t>名称</w:t>
      </w:r>
      <w:r>
        <w:rPr>
          <w:rFonts w:hint="eastAsia" w:ascii="宋体" w:hAnsi="宋体"/>
          <w:color w:val="auto"/>
          <w:kern w:val="0"/>
          <w:sz w:val="21"/>
          <w:szCs w:val="21"/>
          <w:highlight w:val="none"/>
        </w:rPr>
        <w:t>：</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rPr>
        <w:t>（全称并加盖公章）</w:t>
      </w:r>
    </w:p>
    <w:p w14:paraId="5B1D4395">
      <w:pPr>
        <w:widowControl/>
        <w:shd w:val="clear" w:color="auto" w:fill="FFFFFF"/>
        <w:spacing w:line="460" w:lineRule="atLeast"/>
        <w:ind w:firstLine="4095" w:firstLineChars="1950"/>
        <w:rPr>
          <w:rFonts w:ascii="宋体" w:hAnsi="宋体"/>
          <w:color w:val="auto"/>
          <w:kern w:val="0"/>
          <w:sz w:val="21"/>
          <w:szCs w:val="21"/>
          <w:highlight w:val="none"/>
        </w:rPr>
      </w:pPr>
    </w:p>
    <w:p w14:paraId="7A5551C9">
      <w:pPr>
        <w:widowControl/>
        <w:shd w:val="clear" w:color="auto" w:fill="FFFFFF"/>
        <w:spacing w:line="460" w:lineRule="atLeast"/>
        <w:ind w:firstLine="4095" w:firstLineChars="1950"/>
        <w:rPr>
          <w:color w:val="auto"/>
          <w:highlight w:val="none"/>
        </w:rPr>
        <w:sectPr>
          <w:headerReference r:id="rId7" w:type="default"/>
          <w:footerReference r:id="rId8" w:type="default"/>
          <w:pgSz w:w="11906" w:h="16838"/>
          <w:pgMar w:top="1247" w:right="1474" w:bottom="1417" w:left="1474" w:header="851" w:footer="85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auto"/>
          <w:kern w:val="0"/>
          <w:sz w:val="21"/>
          <w:szCs w:val="21"/>
          <w:highlight w:val="none"/>
        </w:rPr>
        <w:t>年 </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 xml:space="preserve"> 月 </w:t>
      </w:r>
      <w:r>
        <w:rPr>
          <w:rFonts w:hint="eastAsia" w:ascii="宋体" w:hAnsi="宋体"/>
          <w:color w:val="auto"/>
          <w:kern w:val="0"/>
          <w:sz w:val="21"/>
          <w:szCs w:val="21"/>
          <w:highlight w:val="none"/>
          <w:lang w:val="en-US" w:eastAsia="zh-CN"/>
        </w:rPr>
        <w:t xml:space="preserve">  </w:t>
      </w:r>
      <w:r>
        <w:rPr>
          <w:rFonts w:hint="eastAsia" w:ascii="宋体" w:hAnsi="宋体"/>
          <w:color w:val="auto"/>
          <w:kern w:val="0"/>
          <w:sz w:val="21"/>
          <w:szCs w:val="21"/>
          <w:highlight w:val="none"/>
        </w:rPr>
        <w:t> 日</w:t>
      </w:r>
    </w:p>
    <w:p w14:paraId="5EB29F49">
      <w:pPr>
        <w:widowControl/>
        <w:snapToGrid w:val="0"/>
        <w:spacing w:before="50" w:after="50"/>
        <w:jc w:val="both"/>
        <w:rPr>
          <w:rFonts w:hint="eastAsia" w:ascii="宋体" w:hAnsi="宋体" w:cs="宋体"/>
          <w:b/>
          <w:color w:val="auto"/>
          <w:kern w:val="0"/>
          <w:sz w:val="24"/>
          <w:highlight w:val="none"/>
        </w:rPr>
      </w:pPr>
      <w:r>
        <w:rPr>
          <w:rFonts w:hint="eastAsia" w:ascii="宋体" w:hAnsi="宋体" w:cs="宋体"/>
          <w:b/>
          <w:color w:val="auto"/>
          <w:kern w:val="0"/>
          <w:sz w:val="24"/>
          <w:highlight w:val="none"/>
        </w:rPr>
        <w:t>附件4</w:t>
      </w:r>
      <w:r>
        <w:rPr>
          <w:rFonts w:hint="eastAsia" w:ascii="宋体" w:hAnsi="宋体" w:cs="宋体"/>
          <w:b/>
          <w:color w:val="auto"/>
          <w:kern w:val="0"/>
          <w:sz w:val="24"/>
          <w:highlight w:val="none"/>
          <w:lang w:val="en-US" w:eastAsia="zh-CN"/>
        </w:rPr>
        <w:t xml:space="preserve">                  初次</w:t>
      </w:r>
      <w:r>
        <w:rPr>
          <w:rFonts w:hint="eastAsia" w:ascii="宋体" w:hAnsi="宋体" w:cs="宋体"/>
          <w:b/>
          <w:color w:val="auto"/>
          <w:kern w:val="0"/>
          <w:sz w:val="24"/>
          <w:highlight w:val="none"/>
        </w:rPr>
        <w:t>报价明细表</w:t>
      </w:r>
      <w:r>
        <w:rPr>
          <w:rFonts w:hint="eastAsia" w:ascii="宋体" w:hAnsi="宋体" w:cs="宋体"/>
          <w:b/>
          <w:bCs w:val="0"/>
          <w:color w:val="auto"/>
          <w:kern w:val="0"/>
          <w:sz w:val="24"/>
          <w:highlight w:val="none"/>
        </w:rPr>
        <w:t>（格式）</w:t>
      </w:r>
    </w:p>
    <w:p w14:paraId="6FC87036">
      <w:pPr>
        <w:widowControl/>
        <w:snapToGrid w:val="0"/>
        <w:spacing w:before="50" w:after="50"/>
        <w:jc w:val="center"/>
        <w:rPr>
          <w:rFonts w:hint="eastAsia" w:ascii="宋体" w:hAnsi="宋体" w:cs="宋体"/>
          <w:b/>
          <w:color w:val="auto"/>
          <w:kern w:val="0"/>
          <w:sz w:val="24"/>
          <w:highlight w:val="none"/>
        </w:rPr>
      </w:pPr>
    </w:p>
    <w:p w14:paraId="797EFF2A">
      <w:pPr>
        <w:widowControl/>
        <w:wordWrap w:val="0"/>
        <w:snapToGrid w:val="0"/>
        <w:spacing w:before="50" w:after="50"/>
        <w:ind w:left="-21" w:leftChars="-72" w:right="-817" w:rightChars="-389" w:hanging="130" w:hangingChars="6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采购项目编号：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金额单位：人民币（元）</w:t>
      </w:r>
    </w:p>
    <w:tbl>
      <w:tblPr>
        <w:tblStyle w:val="40"/>
        <w:tblW w:w="9013"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1350"/>
        <w:gridCol w:w="900"/>
        <w:gridCol w:w="1488"/>
        <w:gridCol w:w="1440"/>
        <w:gridCol w:w="992"/>
        <w:gridCol w:w="992"/>
        <w:gridCol w:w="1140"/>
      </w:tblGrid>
      <w:tr w14:paraId="51BE7B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11" w:type="dxa"/>
            <w:tcBorders>
              <w:top w:val="single" w:color="auto" w:sz="4" w:space="0"/>
              <w:left w:val="single" w:color="auto" w:sz="4" w:space="0"/>
              <w:bottom w:val="nil"/>
              <w:right w:val="single" w:color="auto" w:sz="4" w:space="0"/>
            </w:tcBorders>
            <w:noWrap w:val="0"/>
            <w:vAlign w:val="center"/>
          </w:tcPr>
          <w:p w14:paraId="2FAD3B4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序号</w:t>
            </w:r>
          </w:p>
        </w:tc>
        <w:tc>
          <w:tcPr>
            <w:tcW w:w="1350" w:type="dxa"/>
            <w:tcBorders>
              <w:top w:val="single" w:color="auto" w:sz="4" w:space="0"/>
              <w:left w:val="single" w:color="auto" w:sz="4" w:space="0"/>
              <w:bottom w:val="nil"/>
              <w:right w:val="single" w:color="auto" w:sz="4" w:space="0"/>
            </w:tcBorders>
            <w:noWrap w:val="0"/>
            <w:vAlign w:val="center"/>
          </w:tcPr>
          <w:p w14:paraId="35594C96">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货物名称</w:t>
            </w:r>
          </w:p>
        </w:tc>
        <w:tc>
          <w:tcPr>
            <w:tcW w:w="900" w:type="dxa"/>
            <w:tcBorders>
              <w:top w:val="single" w:color="auto" w:sz="4" w:space="0"/>
              <w:left w:val="single" w:color="auto" w:sz="4" w:space="0"/>
              <w:bottom w:val="nil"/>
              <w:right w:val="single" w:color="auto" w:sz="4" w:space="0"/>
            </w:tcBorders>
            <w:noWrap w:val="0"/>
            <w:vAlign w:val="center"/>
          </w:tcPr>
          <w:p w14:paraId="4B580807">
            <w:pPr>
              <w:widowControl/>
              <w:snapToGrid w:val="0"/>
              <w:spacing w:before="50" w:after="50" w:line="5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品牌</w:t>
            </w:r>
          </w:p>
        </w:tc>
        <w:tc>
          <w:tcPr>
            <w:tcW w:w="1488" w:type="dxa"/>
            <w:tcBorders>
              <w:top w:val="single" w:color="auto" w:sz="4" w:space="0"/>
              <w:left w:val="single" w:color="auto" w:sz="4" w:space="0"/>
              <w:bottom w:val="nil"/>
              <w:right w:val="single" w:color="auto" w:sz="4" w:space="0"/>
            </w:tcBorders>
            <w:noWrap w:val="0"/>
            <w:vAlign w:val="center"/>
          </w:tcPr>
          <w:p w14:paraId="374A3E44">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规格型号</w:t>
            </w:r>
          </w:p>
        </w:tc>
        <w:tc>
          <w:tcPr>
            <w:tcW w:w="1440" w:type="dxa"/>
            <w:tcBorders>
              <w:top w:val="single" w:color="auto" w:sz="4" w:space="0"/>
              <w:left w:val="single" w:color="auto" w:sz="4" w:space="0"/>
              <w:bottom w:val="nil"/>
              <w:right w:val="single" w:color="auto" w:sz="4" w:space="0"/>
            </w:tcBorders>
            <w:noWrap w:val="0"/>
            <w:vAlign w:val="center"/>
          </w:tcPr>
          <w:p w14:paraId="3770B194">
            <w:pPr>
              <w:widowControl/>
              <w:tabs>
                <w:tab w:val="left" w:pos="1418"/>
              </w:tabs>
              <w:snapToGrid w:val="0"/>
              <w:spacing w:before="50" w:after="50"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992" w:type="dxa"/>
            <w:tcBorders>
              <w:top w:val="single" w:color="auto" w:sz="4" w:space="0"/>
              <w:left w:val="single" w:color="auto" w:sz="4" w:space="0"/>
              <w:bottom w:val="nil"/>
              <w:right w:val="single" w:color="auto" w:sz="4" w:space="0"/>
            </w:tcBorders>
            <w:noWrap w:val="0"/>
            <w:vAlign w:val="center"/>
          </w:tcPr>
          <w:p w14:paraId="482C726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单位</w:t>
            </w:r>
          </w:p>
        </w:tc>
        <w:tc>
          <w:tcPr>
            <w:tcW w:w="992" w:type="dxa"/>
            <w:tcBorders>
              <w:top w:val="single" w:color="auto" w:sz="4" w:space="0"/>
              <w:left w:val="single" w:color="auto" w:sz="4" w:space="0"/>
              <w:bottom w:val="nil"/>
              <w:right w:val="single" w:color="auto" w:sz="4" w:space="0"/>
            </w:tcBorders>
            <w:noWrap w:val="0"/>
            <w:vAlign w:val="center"/>
          </w:tcPr>
          <w:p w14:paraId="1383D23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单价</w:t>
            </w:r>
          </w:p>
        </w:tc>
        <w:tc>
          <w:tcPr>
            <w:tcW w:w="1140" w:type="dxa"/>
            <w:tcBorders>
              <w:top w:val="single" w:color="auto" w:sz="4" w:space="0"/>
              <w:left w:val="single" w:color="auto" w:sz="4" w:space="0"/>
              <w:bottom w:val="nil"/>
              <w:right w:val="single" w:color="auto" w:sz="4" w:space="0"/>
            </w:tcBorders>
            <w:noWrap w:val="0"/>
            <w:vAlign w:val="center"/>
          </w:tcPr>
          <w:p w14:paraId="7CC66BFB">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金额</w:t>
            </w:r>
          </w:p>
        </w:tc>
      </w:tr>
      <w:tr w14:paraId="38A78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noWrap w:val="0"/>
            <w:vAlign w:val="top"/>
          </w:tcPr>
          <w:p w14:paraId="3EC862F9">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350" w:type="dxa"/>
            <w:tcBorders>
              <w:top w:val="single" w:color="auto" w:sz="4" w:space="0"/>
              <w:left w:val="single" w:color="auto" w:sz="4" w:space="0"/>
              <w:bottom w:val="single" w:color="auto" w:sz="4" w:space="0"/>
              <w:right w:val="single" w:color="auto" w:sz="4" w:space="0"/>
            </w:tcBorders>
            <w:noWrap w:val="0"/>
            <w:vAlign w:val="top"/>
          </w:tcPr>
          <w:p w14:paraId="6308C021">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3808AD39">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394E54AD">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4A1FF77">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747AF59C">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832A9C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4DC153A1">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4CECA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noWrap w:val="0"/>
            <w:vAlign w:val="top"/>
          </w:tcPr>
          <w:p w14:paraId="723B951B">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350" w:type="dxa"/>
            <w:tcBorders>
              <w:top w:val="single" w:color="auto" w:sz="4" w:space="0"/>
              <w:left w:val="single" w:color="auto" w:sz="4" w:space="0"/>
              <w:bottom w:val="single" w:color="auto" w:sz="4" w:space="0"/>
              <w:right w:val="single" w:color="auto" w:sz="4" w:space="0"/>
            </w:tcBorders>
            <w:noWrap w:val="0"/>
            <w:vAlign w:val="top"/>
          </w:tcPr>
          <w:p w14:paraId="7593127E">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5B68448A">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3A1E91C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68E0291E">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6BCB0291">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91BFEB8">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66B0D679">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4A67F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noWrap w:val="0"/>
            <w:vAlign w:val="top"/>
          </w:tcPr>
          <w:p w14:paraId="11CE5D7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350" w:type="dxa"/>
            <w:tcBorders>
              <w:top w:val="single" w:color="auto" w:sz="4" w:space="0"/>
              <w:left w:val="single" w:color="auto" w:sz="4" w:space="0"/>
              <w:bottom w:val="single" w:color="auto" w:sz="4" w:space="0"/>
              <w:right w:val="single" w:color="auto" w:sz="4" w:space="0"/>
            </w:tcBorders>
            <w:noWrap w:val="0"/>
            <w:vAlign w:val="top"/>
          </w:tcPr>
          <w:p w14:paraId="53CB980C">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37DAF826">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4CDF3053">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7683EA2">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6BA18C2E">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C4327E2">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295C358F">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0F366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noWrap w:val="0"/>
            <w:vAlign w:val="top"/>
          </w:tcPr>
          <w:p w14:paraId="7325392C">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350" w:type="dxa"/>
            <w:tcBorders>
              <w:top w:val="single" w:color="auto" w:sz="4" w:space="0"/>
              <w:left w:val="single" w:color="auto" w:sz="4" w:space="0"/>
              <w:bottom w:val="single" w:color="auto" w:sz="4" w:space="0"/>
              <w:right w:val="single" w:color="auto" w:sz="4" w:space="0"/>
            </w:tcBorders>
            <w:noWrap w:val="0"/>
            <w:vAlign w:val="top"/>
          </w:tcPr>
          <w:p w14:paraId="1318A38E">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1D78EFD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4E641A2D">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D7D7CFB">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FD385BB">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2ACA5EC">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0F99F9AF">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1DCE7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noWrap w:val="0"/>
            <w:vAlign w:val="top"/>
          </w:tcPr>
          <w:p w14:paraId="7692257C">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350" w:type="dxa"/>
            <w:tcBorders>
              <w:top w:val="single" w:color="auto" w:sz="4" w:space="0"/>
              <w:left w:val="single" w:color="auto" w:sz="4" w:space="0"/>
              <w:bottom w:val="single" w:color="auto" w:sz="4" w:space="0"/>
              <w:right w:val="single" w:color="auto" w:sz="4" w:space="0"/>
            </w:tcBorders>
            <w:noWrap w:val="0"/>
            <w:vAlign w:val="top"/>
          </w:tcPr>
          <w:p w14:paraId="4D018390">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3DA8F961">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2C36EB3C">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F0DC9C6">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15E0CAB2">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7714864">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2816B86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03FEF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11" w:type="dxa"/>
            <w:tcBorders>
              <w:top w:val="single" w:color="auto" w:sz="4" w:space="0"/>
              <w:left w:val="single" w:color="auto" w:sz="4" w:space="0"/>
              <w:bottom w:val="single" w:color="auto" w:sz="4" w:space="0"/>
              <w:right w:val="single" w:color="auto" w:sz="4" w:space="0"/>
            </w:tcBorders>
            <w:noWrap w:val="0"/>
            <w:vAlign w:val="top"/>
          </w:tcPr>
          <w:p w14:paraId="00FCCDD8">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350" w:type="dxa"/>
            <w:tcBorders>
              <w:top w:val="single" w:color="auto" w:sz="4" w:space="0"/>
              <w:left w:val="single" w:color="auto" w:sz="4" w:space="0"/>
              <w:bottom w:val="single" w:color="auto" w:sz="4" w:space="0"/>
              <w:right w:val="single" w:color="auto" w:sz="4" w:space="0"/>
            </w:tcBorders>
            <w:noWrap w:val="0"/>
            <w:vAlign w:val="top"/>
          </w:tcPr>
          <w:p w14:paraId="0BC8197D">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12C34368">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6132C9D4">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4328E17">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2230FD5">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B63675E">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565ED739">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75DEF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11" w:type="dxa"/>
            <w:tcBorders>
              <w:top w:val="single" w:color="auto" w:sz="4" w:space="0"/>
              <w:left w:val="single" w:color="auto" w:sz="4" w:space="0"/>
              <w:bottom w:val="single" w:color="auto" w:sz="4" w:space="0"/>
              <w:right w:val="single" w:color="auto" w:sz="4" w:space="0"/>
            </w:tcBorders>
            <w:noWrap w:val="0"/>
            <w:vAlign w:val="top"/>
          </w:tcPr>
          <w:p w14:paraId="12491113">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3738" w:type="dxa"/>
            <w:gridSpan w:val="3"/>
            <w:tcBorders>
              <w:top w:val="single" w:color="auto" w:sz="4" w:space="0"/>
              <w:left w:val="single" w:color="auto" w:sz="4" w:space="0"/>
              <w:bottom w:val="single" w:color="auto" w:sz="4" w:space="0"/>
              <w:right w:val="single" w:color="auto" w:sz="4" w:space="0"/>
            </w:tcBorders>
            <w:noWrap w:val="0"/>
            <w:vAlign w:val="top"/>
          </w:tcPr>
          <w:p w14:paraId="2B92DA2F">
            <w:pPr>
              <w:widowControl/>
              <w:tabs>
                <w:tab w:val="left" w:pos="1418"/>
              </w:tabs>
              <w:snapToGrid w:val="0"/>
              <w:spacing w:before="50" w:after="50" w:line="500" w:lineRule="exact"/>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运输费、安装调试费、其他</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7EF5C70">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top"/>
          </w:tcPr>
          <w:p w14:paraId="2FCE8EAD">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5DA761D">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02B37458">
            <w:pPr>
              <w:widowControl/>
              <w:tabs>
                <w:tab w:val="left" w:pos="1418"/>
              </w:tabs>
              <w:snapToGrid w:val="0"/>
              <w:spacing w:before="50" w:after="50" w:line="50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r>
      <w:tr w14:paraId="05847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873" w:type="dxa"/>
            <w:gridSpan w:val="7"/>
            <w:tcBorders>
              <w:top w:val="single" w:color="auto" w:sz="4" w:space="0"/>
              <w:left w:val="single" w:color="auto" w:sz="4" w:space="0"/>
              <w:bottom w:val="single" w:color="auto" w:sz="4" w:space="0"/>
              <w:right w:val="single" w:color="auto" w:sz="4" w:space="0"/>
            </w:tcBorders>
            <w:noWrap w:val="0"/>
            <w:vAlign w:val="top"/>
          </w:tcPr>
          <w:p w14:paraId="77D4DBDE">
            <w:pPr>
              <w:widowControl/>
              <w:tabs>
                <w:tab w:val="left" w:pos="1418"/>
              </w:tabs>
              <w:snapToGrid w:val="0"/>
              <w:spacing w:before="50" w:after="50" w:line="500" w:lineRule="exact"/>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投标总价(</w:t>
            </w:r>
            <w:r>
              <w:rPr>
                <w:rFonts w:hint="eastAsia" w:ascii="宋体" w:hAnsi="宋体" w:eastAsia="宋体" w:cs="宋体"/>
                <w:color w:val="auto"/>
                <w:kern w:val="0"/>
                <w:sz w:val="21"/>
                <w:szCs w:val="21"/>
                <w:highlight w:val="none"/>
              </w:rPr>
              <w:t>大写)：</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0F8FBA1F">
            <w:pPr>
              <w:widowControl/>
              <w:tabs>
                <w:tab w:val="left" w:pos="1418"/>
              </w:tabs>
              <w:snapToGrid w:val="0"/>
              <w:spacing w:before="50" w:after="50" w:line="500" w:lineRule="exact"/>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w:t>
            </w:r>
          </w:p>
        </w:tc>
      </w:tr>
    </w:tbl>
    <w:p w14:paraId="5FAA5205">
      <w:pPr>
        <w:widowControl/>
        <w:wordWrap w:val="0"/>
        <w:spacing w:line="460" w:lineRule="exact"/>
        <w:ind w:firstLine="1680" w:firstLineChars="800"/>
        <w:jc w:val="left"/>
        <w:rPr>
          <w:rFonts w:hint="eastAsia" w:ascii="宋体" w:hAnsi="宋体" w:eastAsia="宋体" w:cs="宋体"/>
          <w:color w:val="auto"/>
          <w:kern w:val="0"/>
          <w:sz w:val="21"/>
          <w:szCs w:val="21"/>
          <w:highlight w:val="none"/>
        </w:rPr>
      </w:pPr>
    </w:p>
    <w:p w14:paraId="17189ED4">
      <w:pPr>
        <w:widowControl/>
        <w:wordWrap w:val="0"/>
        <w:spacing w:line="460" w:lineRule="exact"/>
        <w:ind w:firstLine="2940" w:firstLineChars="14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u w:val="none"/>
        </w:rPr>
        <w:t xml:space="preserve"> 供应商</w:t>
      </w:r>
      <w:r>
        <w:rPr>
          <w:rFonts w:hint="eastAsia" w:ascii="宋体" w:hAnsi="宋体" w:cs="宋体"/>
          <w:color w:val="auto"/>
          <w:kern w:val="0"/>
          <w:sz w:val="21"/>
          <w:szCs w:val="21"/>
          <w:highlight w:val="none"/>
          <w:u w:val="none"/>
          <w:lang w:val="en-US" w:eastAsia="zh-CN"/>
        </w:rPr>
        <w:t>名称</w:t>
      </w:r>
      <w:r>
        <w:rPr>
          <w:rFonts w:hint="eastAsia" w:ascii="宋体" w:hAnsi="宋体" w:eastAsia="宋体" w:cs="宋体"/>
          <w:color w:val="auto"/>
          <w:kern w:val="0"/>
          <w:sz w:val="21"/>
          <w:szCs w:val="21"/>
          <w:highlight w:val="none"/>
          <w:u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533B3D79">
      <w:pPr>
        <w:widowControl/>
        <w:wordWrap w:val="0"/>
        <w:spacing w:line="460" w:lineRule="exact"/>
        <w:ind w:firstLine="4305" w:firstLineChars="20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24A2C26C">
      <w:pPr>
        <w:bidi w:val="0"/>
        <w:jc w:val="center"/>
        <w:rPr>
          <w:rFonts w:hint="eastAsia" w:ascii="宋体" w:hAnsi="宋体" w:cs="宋体"/>
          <w:color w:val="auto"/>
          <w:kern w:val="0"/>
          <w:sz w:val="21"/>
          <w:szCs w:val="21"/>
          <w:highlight w:val="none"/>
          <w:shd w:val="clear" w:color="auto" w:fill="FFFFFF"/>
        </w:rPr>
      </w:pPr>
    </w:p>
    <w:p w14:paraId="4DF0F179">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367AFBC3">
      <w:pPr>
        <w:bidi w:val="0"/>
        <w:jc w:val="center"/>
        <w:rPr>
          <w:rFonts w:hint="eastAsia" w:ascii="宋体" w:hAnsi="宋体" w:cs="宋体"/>
          <w:color w:val="auto"/>
          <w:kern w:val="0"/>
          <w:sz w:val="21"/>
          <w:szCs w:val="21"/>
          <w:highlight w:val="none"/>
          <w:shd w:val="clear" w:color="auto" w:fill="FFFFFF"/>
        </w:rPr>
      </w:pPr>
    </w:p>
    <w:p w14:paraId="08D6FA7D">
      <w:pPr>
        <w:rPr>
          <w:rFonts w:hint="eastAsia" w:ascii="宋体" w:hAnsi="宋体" w:cs="宋体"/>
          <w:color w:val="auto"/>
          <w:kern w:val="0"/>
          <w:sz w:val="21"/>
          <w:szCs w:val="21"/>
          <w:highlight w:val="none"/>
          <w:shd w:val="clear" w:color="auto" w:fill="FFFFFF"/>
        </w:rPr>
      </w:pPr>
      <w:r>
        <w:rPr>
          <w:rFonts w:hint="eastAsia" w:ascii="宋体" w:hAnsi="宋体" w:cs="宋体"/>
          <w:color w:val="auto"/>
          <w:kern w:val="0"/>
          <w:sz w:val="21"/>
          <w:szCs w:val="21"/>
          <w:highlight w:val="none"/>
          <w:shd w:val="clear" w:color="auto" w:fill="FFFFFF"/>
        </w:rPr>
        <w:br w:type="page"/>
      </w:r>
    </w:p>
    <w:p w14:paraId="18BBFC3B">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28AFC4CE">
      <w:pPr>
        <w:pStyle w:val="3"/>
        <w:pageBreakBefore w:val="0"/>
        <w:widowControl/>
        <w:tabs>
          <w:tab w:val="left" w:pos="840"/>
        </w:tabs>
        <w:wordWrap/>
        <w:overflowPunct/>
        <w:topLinePunct w:val="0"/>
        <w:bidi w:val="0"/>
        <w:spacing w:line="360" w:lineRule="auto"/>
        <w:jc w:val="center"/>
        <w:textAlignment w:val="baseline"/>
        <w:rPr>
          <w:rFonts w:hint="eastAsia" w:ascii="宋体" w:hAnsi="宋体" w:cs="宋体"/>
          <w:color w:val="auto"/>
          <w:sz w:val="32"/>
          <w:szCs w:val="32"/>
          <w:highlight w:val="none"/>
          <w:lang w:val="en-US" w:eastAsia="zh-CN"/>
        </w:rPr>
      </w:pPr>
      <w:bookmarkStart w:id="29" w:name="_Toc15484"/>
      <w:r>
        <w:rPr>
          <w:rFonts w:hint="eastAsia" w:ascii="宋体" w:hAnsi="宋体" w:eastAsia="宋体" w:cs="宋体"/>
          <w:b/>
          <w:bCs w:val="0"/>
          <w:color w:val="auto"/>
          <w:kern w:val="0"/>
          <w:sz w:val="24"/>
          <w:szCs w:val="24"/>
          <w:highlight w:val="none"/>
          <w:lang w:val="en-US" w:eastAsia="zh-CN" w:bidi="ar-SA"/>
        </w:rPr>
        <w:t>4.1 产品配置清单一览表</w:t>
      </w:r>
      <w:bookmarkEnd w:id="29"/>
    </w:p>
    <w:p w14:paraId="1019A0FA">
      <w:pPr>
        <w:jc w:val="both"/>
        <w:rPr>
          <w:rFonts w:hint="eastAsia" w:ascii="宋体" w:hAnsi="宋体" w:eastAsia="宋体" w:cs="宋体"/>
          <w:b w:val="0"/>
          <w:bCs w:val="0"/>
          <w:color w:val="auto"/>
          <w:spacing w:val="-4"/>
          <w:kern w:val="0"/>
          <w:sz w:val="24"/>
          <w:szCs w:val="24"/>
          <w:highlight w:val="none"/>
          <w:lang w:val="en-US" w:eastAsia="zh-CN"/>
        </w:rPr>
      </w:pPr>
      <w:r>
        <w:rPr>
          <w:rFonts w:hint="eastAsia" w:ascii="宋体" w:hAnsi="宋体" w:eastAsia="宋体" w:cs="宋体"/>
          <w:b/>
          <w:bCs/>
          <w:color w:val="auto"/>
          <w:sz w:val="24"/>
          <w:szCs w:val="24"/>
          <w:highlight w:val="none"/>
          <w:lang w:val="en-US" w:eastAsia="zh-CN"/>
        </w:rPr>
        <w:t>产品名称：</w:t>
      </w:r>
      <w:r>
        <w:rPr>
          <w:rFonts w:hint="eastAsia" w:ascii="宋体" w:hAnsi="宋体" w:eastAsia="宋体" w:cs="宋体"/>
          <w:b w:val="0"/>
          <w:bCs w:val="0"/>
          <w:color w:val="auto"/>
          <w:spacing w:val="-4"/>
          <w:kern w:val="0"/>
          <w:sz w:val="24"/>
          <w:szCs w:val="24"/>
          <w:highlight w:val="none"/>
          <w:lang w:val="en-US" w:eastAsia="zh-CN"/>
        </w:rPr>
        <w:t>（产品注册证名称）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915"/>
        <w:gridCol w:w="866"/>
        <w:gridCol w:w="1090"/>
        <w:gridCol w:w="978"/>
        <w:gridCol w:w="978"/>
        <w:gridCol w:w="979"/>
        <w:gridCol w:w="979"/>
      </w:tblGrid>
      <w:tr w14:paraId="0D2E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DBFC873">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序号</w:t>
            </w:r>
          </w:p>
        </w:tc>
        <w:tc>
          <w:tcPr>
            <w:tcW w:w="1915" w:type="dxa"/>
            <w:tcBorders>
              <w:top w:val="single" w:color="auto" w:sz="4" w:space="0"/>
              <w:left w:val="single" w:color="auto" w:sz="4" w:space="0"/>
              <w:bottom w:val="single" w:color="auto" w:sz="4" w:space="0"/>
              <w:right w:val="single" w:color="auto" w:sz="4" w:space="0"/>
            </w:tcBorders>
            <w:noWrap w:val="0"/>
            <w:vAlign w:val="center"/>
          </w:tcPr>
          <w:p w14:paraId="6A7B3B54">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物品名称</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12EE5C10">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品牌</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B21A018">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规格型号</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7C88F8A4">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产地</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7341DB4">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数量</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712C73D7">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单位</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5F2EA9B5">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备注</w:t>
            </w:r>
          </w:p>
        </w:tc>
      </w:tr>
      <w:tr w14:paraId="0390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108414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r>
              <w:rPr>
                <w:rFonts w:hint="eastAsia" w:ascii="宋体" w:hAnsi="宋体" w:eastAsia="宋体" w:cs="宋体"/>
                <w:b w:val="0"/>
                <w:bCs w:val="0"/>
                <w:color w:val="auto"/>
                <w:spacing w:val="-4"/>
                <w:kern w:val="0"/>
                <w:sz w:val="24"/>
                <w:szCs w:val="24"/>
                <w:highlight w:val="none"/>
                <w:vertAlign w:val="baseline"/>
                <w:lang w:val="en-US" w:eastAsia="zh-CN"/>
              </w:rPr>
              <w:t>1</w:t>
            </w:r>
          </w:p>
        </w:tc>
        <w:tc>
          <w:tcPr>
            <w:tcW w:w="1915" w:type="dxa"/>
            <w:tcBorders>
              <w:top w:val="single" w:color="auto" w:sz="4" w:space="0"/>
              <w:left w:val="single" w:color="auto" w:sz="4" w:space="0"/>
              <w:bottom w:val="single" w:color="auto" w:sz="4" w:space="0"/>
              <w:right w:val="single" w:color="auto" w:sz="4" w:space="0"/>
            </w:tcBorders>
            <w:noWrap w:val="0"/>
            <w:vAlign w:val="center"/>
          </w:tcPr>
          <w:p w14:paraId="430F5C06">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288765A">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7BA29C7">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286E2141">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7E2DA08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4F39AE58">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75676BE4">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7553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7F078F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r>
              <w:rPr>
                <w:rFonts w:hint="eastAsia" w:ascii="宋体" w:hAnsi="宋体" w:eastAsia="宋体" w:cs="宋体"/>
                <w:b w:val="0"/>
                <w:bCs w:val="0"/>
                <w:color w:val="auto"/>
                <w:spacing w:val="-4"/>
                <w:kern w:val="0"/>
                <w:sz w:val="24"/>
                <w:szCs w:val="24"/>
                <w:highlight w:val="none"/>
                <w:vertAlign w:val="baseline"/>
                <w:lang w:val="en-US" w:eastAsia="zh-CN"/>
              </w:rPr>
              <w:t>2</w:t>
            </w:r>
          </w:p>
        </w:tc>
        <w:tc>
          <w:tcPr>
            <w:tcW w:w="1915" w:type="dxa"/>
            <w:tcBorders>
              <w:top w:val="single" w:color="auto" w:sz="4" w:space="0"/>
              <w:left w:val="single" w:color="auto" w:sz="4" w:space="0"/>
              <w:bottom w:val="single" w:color="auto" w:sz="4" w:space="0"/>
              <w:right w:val="single" w:color="auto" w:sz="4" w:space="0"/>
            </w:tcBorders>
            <w:noWrap w:val="0"/>
            <w:vAlign w:val="center"/>
          </w:tcPr>
          <w:p w14:paraId="4146FF8C">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1C97FED">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26663ABC">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69BCDA22">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05D02987">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24B44D01">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51E53B24">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5925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1513CAF">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r>
              <w:rPr>
                <w:rFonts w:hint="eastAsia" w:ascii="宋体" w:hAnsi="宋体" w:eastAsia="宋体" w:cs="宋体"/>
                <w:b w:val="0"/>
                <w:bCs w:val="0"/>
                <w:color w:val="auto"/>
                <w:spacing w:val="-4"/>
                <w:kern w:val="0"/>
                <w:sz w:val="24"/>
                <w:szCs w:val="24"/>
                <w:highlight w:val="none"/>
                <w:vertAlign w:val="baseline"/>
                <w:lang w:val="en-US" w:eastAsia="zh-CN"/>
              </w:rPr>
              <w:t>3</w:t>
            </w:r>
          </w:p>
        </w:tc>
        <w:tc>
          <w:tcPr>
            <w:tcW w:w="1915" w:type="dxa"/>
            <w:tcBorders>
              <w:top w:val="single" w:color="auto" w:sz="4" w:space="0"/>
              <w:left w:val="single" w:color="auto" w:sz="4" w:space="0"/>
              <w:bottom w:val="single" w:color="auto" w:sz="4" w:space="0"/>
              <w:right w:val="single" w:color="auto" w:sz="4" w:space="0"/>
            </w:tcBorders>
            <w:noWrap w:val="0"/>
            <w:vAlign w:val="center"/>
          </w:tcPr>
          <w:p w14:paraId="48B27AB2">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1421B0A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7FCBFD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0B0A0BF8">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0795016B">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35464BD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7B37EB1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6C7D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09149A1">
            <w:pPr>
              <w:widowControl w:val="0"/>
              <w:jc w:val="center"/>
              <w:rPr>
                <w:rFonts w:hint="default" w:ascii="宋体" w:hAnsi="宋体" w:eastAsia="宋体" w:cs="宋体"/>
                <w:b w:val="0"/>
                <w:bCs w:val="0"/>
                <w:color w:val="auto"/>
                <w:spacing w:val="-4"/>
                <w:kern w:val="0"/>
                <w:sz w:val="24"/>
                <w:szCs w:val="24"/>
                <w:highlight w:val="none"/>
                <w:vertAlign w:val="baseline"/>
                <w:lang w:val="en-US" w:eastAsia="zh-CN"/>
              </w:rPr>
            </w:pPr>
            <w:r>
              <w:rPr>
                <w:rFonts w:hint="eastAsia" w:ascii="宋体" w:hAnsi="宋体" w:eastAsia="宋体" w:cs="宋体"/>
                <w:b w:val="0"/>
                <w:bCs w:val="0"/>
                <w:color w:val="auto"/>
                <w:spacing w:val="-4"/>
                <w:kern w:val="0"/>
                <w:sz w:val="24"/>
                <w:szCs w:val="24"/>
                <w:highlight w:val="none"/>
                <w:vertAlign w:val="baseline"/>
                <w:lang w:val="en-US" w:eastAsia="zh-CN"/>
              </w:rPr>
              <w:t>...</w:t>
            </w:r>
          </w:p>
        </w:tc>
        <w:tc>
          <w:tcPr>
            <w:tcW w:w="1915" w:type="dxa"/>
            <w:tcBorders>
              <w:top w:val="single" w:color="auto" w:sz="4" w:space="0"/>
              <w:left w:val="single" w:color="auto" w:sz="4" w:space="0"/>
              <w:bottom w:val="single" w:color="auto" w:sz="4" w:space="0"/>
              <w:right w:val="single" w:color="auto" w:sz="4" w:space="0"/>
            </w:tcBorders>
            <w:noWrap w:val="0"/>
            <w:vAlign w:val="center"/>
          </w:tcPr>
          <w:p w14:paraId="04C5F168">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6CF337C">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607C614">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48BBC66B">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64C710B1">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4AD769EE">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5560613F">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20C3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EEA177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14:paraId="321905E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5CDEDF9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6F9871AD">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3F785B6F">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61EE93B6">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0EE4291E">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06C5D6AB">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3C6F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17ACE1">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14:paraId="55C47C7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2BF79BB2">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67E53ABA">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3FC8CDC3">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70A464FD">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175D744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41CDD6E3">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5DA9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E61A59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14:paraId="3FECA166">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4FDFF4C3">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7F59C9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114F42FF">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5F59F883">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3FA76D9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67A6F43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bl>
    <w:p w14:paraId="3373CF39">
      <w:pPr>
        <w:jc w:val="center"/>
        <w:rPr>
          <w:rFonts w:hint="eastAsia" w:ascii="宋体" w:hAnsi="宋体" w:eastAsia="宋体" w:cs="宋体"/>
          <w:b w:val="0"/>
          <w:bCs w:val="0"/>
          <w:color w:val="auto"/>
          <w:spacing w:val="-4"/>
          <w:kern w:val="0"/>
          <w:sz w:val="24"/>
          <w:szCs w:val="24"/>
          <w:highlight w:val="none"/>
          <w:lang w:val="en-US" w:eastAsia="zh-CN"/>
        </w:rPr>
      </w:pPr>
    </w:p>
    <w:p w14:paraId="72A0DC86">
      <w:pPr>
        <w:rPr>
          <w:rFonts w:hint="default"/>
          <w:color w:val="auto"/>
          <w:highlight w:val="none"/>
          <w:lang w:val="en-US" w:eastAsia="zh-CN"/>
        </w:rPr>
      </w:pPr>
    </w:p>
    <w:p w14:paraId="6F28C4F1">
      <w:pPr>
        <w:pageBreakBefore w:val="0"/>
        <w:widowControl/>
        <w:wordWrap/>
        <w:overflowPunct/>
        <w:topLinePunct w:val="0"/>
        <w:bidi w:val="0"/>
        <w:spacing w:line="360" w:lineRule="auto"/>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0C7FCDD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1、此配置清单按单台/件配置填写。若投标产品配置清单中含第三方产品，请填写第三方品牌、型号、产地，以铭牌为准。 </w:t>
      </w:r>
    </w:p>
    <w:p w14:paraId="1338A744">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3BF0DBB2">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58671275">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4DCDFB51">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6405ECBA">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42B2E575">
      <w:pPr>
        <w:widowControl/>
        <w:shd w:val="clear" w:color="auto" w:fill="auto"/>
        <w:snapToGrid w:val="0"/>
        <w:spacing w:before="50" w:after="50"/>
        <w:jc w:val="left"/>
        <w:rPr>
          <w:rFonts w:hint="eastAsia" w:ascii="宋体" w:hAnsi="宋体" w:cs="宋体"/>
          <w:color w:val="auto"/>
          <w:kern w:val="0"/>
          <w:sz w:val="21"/>
          <w:szCs w:val="21"/>
          <w:highlight w:val="none"/>
          <w:shd w:val="clear" w:color="auto" w:fill="FFFFFF"/>
        </w:rPr>
      </w:pPr>
    </w:p>
    <w:p w14:paraId="2F0A07CD">
      <w:pPr>
        <w:widowControl/>
        <w:shd w:val="clear" w:color="auto" w:fill="auto"/>
        <w:snapToGrid w:val="0"/>
        <w:ind w:firstLine="2415" w:firstLineChars="1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（全称并加盖公章）</w:t>
      </w:r>
    </w:p>
    <w:p w14:paraId="66E916EB">
      <w:pPr>
        <w:widowControl/>
        <w:shd w:val="clear" w:color="auto" w:fill="auto"/>
        <w:snapToGrid w:val="0"/>
        <w:ind w:firstLine="2520" w:firstLineChars="1200"/>
        <w:jc w:val="left"/>
        <w:rPr>
          <w:rFonts w:ascii="宋体" w:hAnsi="宋体" w:cs="宋体"/>
          <w:color w:val="auto"/>
          <w:kern w:val="0"/>
          <w:sz w:val="21"/>
          <w:szCs w:val="21"/>
          <w:highlight w:val="none"/>
        </w:rPr>
      </w:pPr>
    </w:p>
    <w:p w14:paraId="5D5B73C5">
      <w:pPr>
        <w:widowControl/>
        <w:shd w:val="clear" w:color="auto" w:fill="auto"/>
        <w:snapToGrid w:val="0"/>
        <w:ind w:firstLine="3570" w:firstLineChars="17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bCs/>
          <w:color w:val="auto"/>
          <w:kern w:val="0"/>
          <w:sz w:val="21"/>
          <w:szCs w:val="21"/>
          <w:highlight w:val="none"/>
        </w:rPr>
        <w:t xml:space="preserve"> </w:t>
      </w:r>
      <w:r>
        <w:rPr>
          <w:rFonts w:hint="eastAsia" w:ascii="宋体" w:hAnsi="宋体" w:cs="宋体"/>
          <w:color w:val="auto"/>
          <w:kern w:val="0"/>
          <w:sz w:val="21"/>
          <w:szCs w:val="21"/>
          <w:highlight w:val="none"/>
        </w:rPr>
        <w:t>年    月    日</w:t>
      </w:r>
    </w:p>
    <w:p w14:paraId="0AD0DDD4">
      <w:pPr>
        <w:widowControl/>
        <w:snapToGrid w:val="0"/>
        <w:spacing w:before="50" w:after="50" w:line="360" w:lineRule="auto"/>
        <w:ind w:right="1352" w:rightChars="644"/>
        <w:jc w:val="right"/>
        <w:rPr>
          <w:color w:val="auto"/>
          <w:sz w:val="21"/>
          <w:szCs w:val="21"/>
          <w:highlight w:val="none"/>
        </w:rPr>
        <w:sectPr>
          <w:pgSz w:w="11906" w:h="16838"/>
          <w:pgMar w:top="1247" w:right="1474" w:bottom="1417" w:left="1474" w:header="851" w:footer="850" w:gutter="0"/>
          <w:pgBorders>
            <w:top w:val="none" w:sz="0" w:space="0"/>
            <w:left w:val="none" w:sz="0" w:space="0"/>
            <w:bottom w:val="none" w:sz="0" w:space="0"/>
            <w:right w:val="none" w:sz="0" w:space="0"/>
          </w:pgBorders>
          <w:pgNumType w:fmt="decimal"/>
          <w:cols w:space="720" w:num="1"/>
          <w:docGrid w:type="lines" w:linePitch="312" w:charSpace="0"/>
        </w:sectPr>
      </w:pPr>
    </w:p>
    <w:p w14:paraId="3D2A4458">
      <w:pPr>
        <w:widowControl/>
        <w:shd w:val="clear" w:color="auto" w:fill="FFFFFF"/>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附件 </w:t>
      </w:r>
      <w:r>
        <w:rPr>
          <w:rFonts w:hint="eastAsia" w:ascii="宋体" w:hAnsi="宋体" w:eastAsia="宋体" w:cs="宋体"/>
          <w:b/>
          <w:bCs/>
          <w:color w:val="auto"/>
          <w:kern w:val="0"/>
          <w:sz w:val="24"/>
          <w:highlight w:val="none"/>
          <w:lang w:val="en-US" w:eastAsia="zh-CN"/>
        </w:rPr>
        <w:t>5                    供货及服务范围清单</w:t>
      </w:r>
      <w:r>
        <w:rPr>
          <w:rFonts w:hint="eastAsia" w:ascii="宋体" w:hAnsi="宋体" w:eastAsia="宋体" w:cs="宋体"/>
          <w:b/>
          <w:bCs/>
          <w:color w:val="auto"/>
          <w:kern w:val="0"/>
          <w:sz w:val="24"/>
          <w:highlight w:val="none"/>
        </w:rPr>
        <w:t>（格式自拟）</w:t>
      </w:r>
    </w:p>
    <w:p w14:paraId="2ECC4D59">
      <w:pPr>
        <w:widowControl/>
        <w:wordWrap w:val="0"/>
        <w:spacing w:line="4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28867578">
      <w:pPr>
        <w:widowControl/>
        <w:shd w:val="clear" w:color="auto" w:fill="FFFFFF"/>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说明：</w:t>
      </w:r>
    </w:p>
    <w:p w14:paraId="50F4C891">
      <w:pPr>
        <w:widowControl/>
        <w:shd w:val="clear" w:color="auto" w:fill="FFFFFF"/>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本清单应列明组成</w:t>
      </w:r>
      <w:r>
        <w:rPr>
          <w:rFonts w:hint="eastAsia" w:asciiTheme="minorEastAsia" w:hAnsiTheme="minorEastAsia" w:eastAsiaTheme="minorEastAsia" w:cstheme="minorEastAsia"/>
          <w:color w:val="auto"/>
          <w:kern w:val="0"/>
          <w:sz w:val="21"/>
          <w:szCs w:val="21"/>
          <w:highlight w:val="none"/>
          <w:lang w:val="en-US" w:eastAsia="zh-CN"/>
        </w:rPr>
        <w:t>产品</w:t>
      </w:r>
      <w:r>
        <w:rPr>
          <w:rFonts w:hint="eastAsia" w:asciiTheme="minorEastAsia" w:hAnsiTheme="minorEastAsia" w:eastAsiaTheme="minorEastAsia" w:cstheme="minorEastAsia"/>
          <w:color w:val="auto"/>
          <w:kern w:val="0"/>
          <w:sz w:val="21"/>
          <w:szCs w:val="21"/>
          <w:highlight w:val="none"/>
        </w:rPr>
        <w:t>的主要件和关键件的名称、数量、原产地及单价。</w:t>
      </w:r>
    </w:p>
    <w:p w14:paraId="0A62557B">
      <w:pPr>
        <w:widowControl/>
        <w:shd w:val="clear" w:color="auto" w:fill="FFFFFF"/>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本清单应列明专用工具的名称、数量、原产地及单价（如果有的话）。</w:t>
      </w:r>
    </w:p>
    <w:p w14:paraId="678FCE1D">
      <w:pPr>
        <w:widowControl/>
        <w:shd w:val="clear" w:color="auto" w:fill="FFFFFF"/>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本清单应列明备品备件的名称、数量、原产地及单价（如果有的话）。</w:t>
      </w:r>
    </w:p>
    <w:p w14:paraId="300C4E47">
      <w:pPr>
        <w:widowControl/>
        <w:shd w:val="clear" w:color="auto" w:fill="FFFFFF"/>
        <w:spacing w:line="360" w:lineRule="auto"/>
        <w:jc w:val="left"/>
        <w:rPr>
          <w:rFonts w:hint="eastAsia" w:asciiTheme="minorEastAsia" w:hAnsiTheme="minorEastAsia" w:eastAsiaTheme="minorEastAsia" w:cstheme="minorEastAsia"/>
          <w:color w:val="auto"/>
          <w:sz w:val="21"/>
          <w:szCs w:val="21"/>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Theme="minorEastAsia" w:hAnsiTheme="minorEastAsia" w:eastAsiaTheme="minorEastAsia" w:cstheme="minorEastAsia"/>
          <w:color w:val="auto"/>
          <w:kern w:val="0"/>
          <w:sz w:val="21"/>
          <w:szCs w:val="21"/>
          <w:highlight w:val="none"/>
        </w:rPr>
        <w:t xml:space="preserve">本清单应列明服务的范围。  </w:t>
      </w:r>
    </w:p>
    <w:p w14:paraId="5FC08B18">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附件</w:t>
      </w:r>
      <w:r>
        <w:rPr>
          <w:rFonts w:hint="eastAsia" w:ascii="宋体" w:hAnsi="宋体" w:cs="宋体"/>
          <w:b/>
          <w:bCs/>
          <w:color w:val="auto"/>
          <w:kern w:val="0"/>
          <w:sz w:val="24"/>
          <w:highlight w:val="none"/>
          <w:lang w:val="en-US" w:eastAsia="zh-CN"/>
        </w:rPr>
        <w:t>6</w:t>
      </w:r>
      <w:r>
        <w:rPr>
          <w:b/>
          <w:bCs/>
          <w:color w:val="auto"/>
          <w:kern w:val="0"/>
          <w:sz w:val="24"/>
          <w:highlight w:val="none"/>
        </w:rPr>
        <w:t xml:space="preserve">              </w:t>
      </w:r>
      <w:r>
        <w:rPr>
          <w:rFonts w:hint="eastAsia" w:ascii="宋体" w:hAnsi="宋体" w:cs="宋体"/>
          <w:b/>
          <w:bCs/>
          <w:color w:val="auto"/>
          <w:kern w:val="0"/>
          <w:sz w:val="24"/>
          <w:highlight w:val="none"/>
        </w:rPr>
        <w:t>法定代表人身份证明（格式）</w:t>
      </w:r>
    </w:p>
    <w:p w14:paraId="3D457371">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供应商名称：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w:t>
      </w:r>
    </w:p>
    <w:p w14:paraId="5768A4D9">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rPr>
        <w:t xml:space="preserve">                   </w:t>
      </w:r>
    </w:p>
    <w:p w14:paraId="0DF7BA12">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成立时间：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日</w:t>
      </w:r>
    </w:p>
    <w:p w14:paraId="16385D64">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经营期限：</w:t>
      </w:r>
      <w:r>
        <w:rPr>
          <w:rFonts w:hint="eastAsia" w:ascii="宋体" w:hAnsi="宋体" w:cs="宋体"/>
          <w:color w:val="auto"/>
          <w:kern w:val="0"/>
          <w:sz w:val="21"/>
          <w:szCs w:val="21"/>
          <w:highlight w:val="none"/>
          <w:u w:val="single"/>
        </w:rPr>
        <w:t xml:space="preserve">                 </w:t>
      </w:r>
    </w:p>
    <w:p w14:paraId="78F31B59">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，性别：</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，年龄：</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，职务：</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 xml:space="preserve">  __</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（供应商名称）的法定代表人。</w:t>
      </w:r>
    </w:p>
    <w:p w14:paraId="7AA99CEF">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特此证明。</w:t>
      </w:r>
    </w:p>
    <w:tbl>
      <w:tblPr>
        <w:tblStyle w:val="40"/>
        <w:tblW w:w="5328" w:type="dxa"/>
        <w:tblInd w:w="135" w:type="dxa"/>
        <w:tblLayout w:type="fixed"/>
        <w:tblCellMar>
          <w:top w:w="0" w:type="dxa"/>
          <w:left w:w="0" w:type="dxa"/>
          <w:bottom w:w="0" w:type="dxa"/>
          <w:right w:w="0" w:type="dxa"/>
        </w:tblCellMar>
      </w:tblPr>
      <w:tblGrid>
        <w:gridCol w:w="5328"/>
      </w:tblGrid>
      <w:tr w14:paraId="40A0FE48">
        <w:tblPrEx>
          <w:tblCellMar>
            <w:top w:w="0" w:type="dxa"/>
            <w:left w:w="0" w:type="dxa"/>
            <w:bottom w:w="0" w:type="dxa"/>
            <w:right w:w="0"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0DE298D5">
            <w:pPr>
              <w:widowControl/>
              <w:spacing w:line="360" w:lineRule="auto"/>
              <w:jc w:val="left"/>
              <w:rPr>
                <w:color w:val="auto"/>
                <w:kern w:val="0"/>
                <w:sz w:val="21"/>
                <w:szCs w:val="21"/>
                <w:highlight w:val="none"/>
              </w:rPr>
            </w:pPr>
            <w:r>
              <w:rPr>
                <w:rFonts w:hint="eastAsia" w:ascii="宋体" w:hAnsi="宋体" w:cs="宋体"/>
                <w:color w:val="auto"/>
                <w:kern w:val="0"/>
                <w:sz w:val="21"/>
                <w:szCs w:val="21"/>
                <w:highlight w:val="none"/>
              </w:rPr>
              <w:t>此处请粘贴法定代表人身份证复印件</w:t>
            </w:r>
          </w:p>
        </w:tc>
      </w:tr>
    </w:tbl>
    <w:p w14:paraId="5CE8F761">
      <w:pPr>
        <w:widowControl/>
        <w:shd w:val="clear" w:color="auto" w:fill="FFFFFF"/>
        <w:spacing w:line="360" w:lineRule="auto"/>
        <w:ind w:firstLine="276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p>
    <w:p w14:paraId="38001149">
      <w:pPr>
        <w:widowControl/>
        <w:shd w:val="clear" w:color="auto" w:fill="FFFFFF"/>
        <w:spacing w:line="360" w:lineRule="auto"/>
        <w:ind w:firstLine="3150" w:firstLineChars="15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供应商名称：</w:t>
      </w:r>
      <w:r>
        <w:rPr>
          <w:rFonts w:hint="eastAsia" w:ascii="宋体" w:hAnsi="宋体" w:cs="宋体"/>
          <w:b/>
          <w:bCs/>
          <w:color w:val="auto"/>
          <w:kern w:val="0"/>
          <w:sz w:val="24"/>
          <w:highlight w:val="none"/>
          <w:u w:val="single"/>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（全称并加盖公章）</w:t>
      </w:r>
    </w:p>
    <w:p w14:paraId="77253C83">
      <w:pPr>
        <w:widowControl/>
        <w:shd w:val="clear" w:color="auto" w:fill="FFFFFF"/>
        <w:spacing w:line="360" w:lineRule="auto"/>
        <w:ind w:left="5040" w:firstLine="560"/>
        <w:jc w:val="left"/>
        <w:rPr>
          <w:rFonts w:ascii="宋体" w:hAnsi="宋体" w:cs="宋体"/>
          <w:color w:val="auto"/>
          <w:kern w:val="0"/>
          <w:sz w:val="21"/>
          <w:szCs w:val="21"/>
          <w:highlight w:val="none"/>
        </w:rPr>
      </w:pPr>
      <w:r>
        <w:rPr>
          <w:color w:val="auto"/>
          <w:kern w:val="0"/>
          <w:sz w:val="21"/>
          <w:szCs w:val="21"/>
          <w:highlight w:val="none"/>
        </w:rPr>
        <w:t xml:space="preserve">  </w:t>
      </w:r>
      <w:r>
        <w:rPr>
          <w:rFonts w:hint="eastAsia" w:ascii="宋体" w:hAnsi="宋体" w:cs="宋体"/>
          <w:color w:val="auto"/>
          <w:kern w:val="0"/>
          <w:sz w:val="21"/>
          <w:szCs w:val="21"/>
          <w:highlight w:val="none"/>
        </w:rPr>
        <w:t xml:space="preserve"> </w:t>
      </w:r>
    </w:p>
    <w:p w14:paraId="37F2A0D6">
      <w:pPr>
        <w:widowControl/>
        <w:shd w:val="clear" w:color="auto" w:fill="FFFFFF"/>
        <w:spacing w:line="360" w:lineRule="auto"/>
        <w:jc w:val="left"/>
        <w:rPr>
          <w:color w:val="auto"/>
          <w:kern w:val="0"/>
          <w:sz w:val="21"/>
          <w:szCs w:val="21"/>
          <w:highlight w:val="none"/>
        </w:rPr>
      </w:pPr>
      <w:r>
        <w:rPr>
          <w:rFonts w:hint="eastAsia" w:ascii="宋体" w:hAnsi="宋体" w:cs="宋体"/>
          <w:color w:val="auto"/>
          <w:kern w:val="0"/>
          <w:sz w:val="21"/>
          <w:szCs w:val="21"/>
          <w:highlight w:val="none"/>
        </w:rPr>
        <w:t xml:space="preserve">                                年    月    日</w:t>
      </w:r>
    </w:p>
    <w:p w14:paraId="35DD111B">
      <w:pPr>
        <w:rPr>
          <w:rFonts w:ascii="宋体" w:hAnsi="宋体" w:cs="宋体"/>
          <w:b/>
          <w:bCs/>
          <w:color w:val="auto"/>
          <w:kern w:val="0"/>
          <w:sz w:val="24"/>
          <w:highlight w:val="none"/>
        </w:rPr>
      </w:pPr>
      <w:r>
        <w:rPr>
          <w:rFonts w:ascii="宋体" w:hAnsi="宋体" w:cs="宋体"/>
          <w:b/>
          <w:bCs/>
          <w:color w:val="auto"/>
          <w:kern w:val="0"/>
          <w:sz w:val="24"/>
          <w:highlight w:val="none"/>
        </w:rPr>
        <w:br w:type="page"/>
      </w:r>
    </w:p>
    <w:p w14:paraId="0A4E5D33">
      <w:pPr>
        <w:keepNext w:val="0"/>
        <w:keepLines w:val="0"/>
        <w:pageBreakBefore w:val="0"/>
        <w:widowControl/>
        <w:shd w:val="clear" w:color="auto" w:fill="FFFFFF"/>
        <w:kinsoku/>
        <w:wordWrap/>
        <w:overflowPunct/>
        <w:topLinePunct w:val="0"/>
        <w:autoSpaceDE/>
        <w:autoSpaceDN/>
        <w:bidi w:val="0"/>
        <w:adjustRightInd/>
        <w:snapToGrid w:val="0"/>
        <w:spacing w:after="157" w:afterLines="50" w:line="360" w:lineRule="auto"/>
        <w:jc w:val="left"/>
        <w:textAlignment w:val="auto"/>
        <w:rPr>
          <w:color w:val="auto"/>
          <w:kern w:val="0"/>
          <w:szCs w:val="21"/>
          <w:highlight w:val="none"/>
        </w:rPr>
      </w:pPr>
      <w:r>
        <w:rPr>
          <w:rFonts w:hint="eastAsia" w:ascii="宋体" w:hAnsi="宋体" w:cs="宋体"/>
          <w:b/>
          <w:bCs/>
          <w:color w:val="auto"/>
          <w:kern w:val="0"/>
          <w:sz w:val="24"/>
          <w:highlight w:val="none"/>
        </w:rPr>
        <w:t>附件</w:t>
      </w:r>
      <w:r>
        <w:rPr>
          <w:rFonts w:hint="eastAsia" w:ascii="宋体" w:hAnsi="宋体" w:cs="宋体"/>
          <w:b/>
          <w:bCs/>
          <w:color w:val="auto"/>
          <w:kern w:val="0"/>
          <w:sz w:val="24"/>
          <w:highlight w:val="none"/>
          <w:lang w:val="en-US" w:eastAsia="zh-CN"/>
        </w:rPr>
        <w:t>7</w:t>
      </w:r>
      <w:r>
        <w:rPr>
          <w:b/>
          <w:bCs/>
          <w:color w:val="auto"/>
          <w:kern w:val="0"/>
          <w:sz w:val="24"/>
          <w:highlight w:val="none"/>
        </w:rPr>
        <w:t xml:space="preserve">               </w:t>
      </w:r>
      <w:r>
        <w:rPr>
          <w:rFonts w:hint="eastAsia" w:ascii="宋体" w:hAnsi="宋体" w:cs="宋体"/>
          <w:b/>
          <w:bCs/>
          <w:color w:val="auto"/>
          <w:kern w:val="0"/>
          <w:sz w:val="24"/>
          <w:highlight w:val="none"/>
        </w:rPr>
        <w:t>法定代表人授权书（格式）</w:t>
      </w:r>
    </w:p>
    <w:p w14:paraId="07A7F6D1">
      <w:pPr>
        <w:keepNext w:val="0"/>
        <w:keepLines w:val="0"/>
        <w:pageBreakBefore w:val="0"/>
        <w:widowControl/>
        <w:shd w:val="clear" w:color="auto" w:fill="FFFFFF"/>
        <w:kinsoku/>
        <w:wordWrap/>
        <w:overflowPunct/>
        <w:topLinePunct w:val="0"/>
        <w:autoSpaceDN/>
        <w:bidi w:val="0"/>
        <w:adjustRightInd/>
        <w:snapToGrid w:val="0"/>
        <w:spacing w:line="360" w:lineRule="auto"/>
        <w:jc w:val="left"/>
        <w:textAlignment w:val="auto"/>
        <w:rPr>
          <w:color w:val="auto"/>
          <w:kern w:val="0"/>
          <w:sz w:val="21"/>
          <w:szCs w:val="21"/>
          <w:highlight w:val="none"/>
        </w:rPr>
      </w:pPr>
      <w:r>
        <w:rPr>
          <w:rFonts w:hint="eastAsia" w:ascii="宋体" w:hAnsi="宋体" w:cs="宋体"/>
          <w:color w:val="auto"/>
          <w:kern w:val="0"/>
          <w:sz w:val="21"/>
          <w:szCs w:val="21"/>
          <w:highlight w:val="none"/>
        </w:rPr>
        <w:t>致：</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（采购代理机构名称）</w:t>
      </w:r>
      <w:r>
        <w:rPr>
          <w:rFonts w:hint="eastAsia" w:ascii="宋体" w:hAnsi="宋体" w:cs="宋体"/>
          <w:b/>
          <w:bCs/>
          <w:color w:val="auto"/>
          <w:kern w:val="0"/>
          <w:sz w:val="21"/>
          <w:szCs w:val="21"/>
          <w:highlight w:val="none"/>
        </w:rPr>
        <w:t xml:space="preserve"> </w:t>
      </w:r>
      <w:r>
        <w:rPr>
          <w:rFonts w:hint="eastAsia" w:ascii="宋体" w:hAnsi="宋体" w:cs="宋体"/>
          <w:color w:val="auto"/>
          <w:kern w:val="0"/>
          <w:sz w:val="21"/>
          <w:szCs w:val="21"/>
          <w:highlight w:val="none"/>
        </w:rPr>
        <w:t>：</w:t>
      </w:r>
    </w:p>
    <w:p w14:paraId="1DA3E359">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我</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（姓名）系</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（供应商名称）的法定代表人，现委托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（姓名）为我方代理人。代理人根据本授权，以我方的名义参加</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项目（项目编号：</w:t>
      </w:r>
      <w:r>
        <w:rPr>
          <w:rFonts w:hint="eastAsia" w:ascii="宋体" w:hAnsi="宋体" w:cs="宋体"/>
          <w:b/>
          <w:bCs/>
          <w:color w:val="auto"/>
          <w:kern w:val="0"/>
          <w:sz w:val="21"/>
          <w:szCs w:val="21"/>
          <w:highlight w:val="none"/>
          <w:u w:val="single"/>
        </w:rPr>
        <w:t xml:space="preserve">   </w:t>
      </w:r>
      <w:r>
        <w:rPr>
          <w:rFonts w:hint="eastAsia" w:ascii="宋体" w:hAnsi="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rPr>
        <w:t>）的竞争性磋商活动，并代表我方全权办理针对上述项目的响应文件递交、磋商、签约等具体事务和签署相关文件。</w:t>
      </w:r>
    </w:p>
    <w:p w14:paraId="34C094A1">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我方对代理人的签名负全部责任。在撤销授权的书面通知以前，本授权书一直有效。代理人在授权书有效期内签署的所有文件不因授权的撤销而失效。</w:t>
      </w:r>
    </w:p>
    <w:p w14:paraId="3255CEF2">
      <w:pPr>
        <w:keepNext w:val="0"/>
        <w:keepLines w:val="0"/>
        <w:pageBreakBefore w:val="0"/>
        <w:widowControl/>
        <w:shd w:val="clear" w:color="auto" w:fill="FFFFFF"/>
        <w:kinsoku/>
        <w:wordWrap/>
        <w:overflowPunct/>
        <w:topLinePunct w:val="0"/>
        <w:autoSpaceDN/>
        <w:bidi w:val="0"/>
        <w:adjustRightInd/>
        <w:snapToGrid w:val="0"/>
        <w:spacing w:line="360" w:lineRule="auto"/>
        <w:ind w:firstLine="480"/>
        <w:jc w:val="left"/>
        <w:textAlignment w:val="auto"/>
        <w:rPr>
          <w:color w:val="auto"/>
          <w:kern w:val="0"/>
          <w:sz w:val="21"/>
          <w:szCs w:val="21"/>
          <w:highlight w:val="none"/>
        </w:rPr>
      </w:pPr>
      <w:r>
        <w:rPr>
          <w:rFonts w:hint="eastAsia" w:ascii="宋体" w:hAnsi="宋体" w:cs="宋体"/>
          <w:color w:val="auto"/>
          <w:kern w:val="0"/>
          <w:sz w:val="21"/>
          <w:szCs w:val="21"/>
          <w:highlight w:val="none"/>
        </w:rPr>
        <w:t>代理人无转委托权。</w:t>
      </w:r>
    </w:p>
    <w:p w14:paraId="716A0B70">
      <w:pPr>
        <w:keepNext w:val="0"/>
        <w:keepLines w:val="0"/>
        <w:pageBreakBefore w:val="0"/>
        <w:widowControl/>
        <w:kinsoku/>
        <w:wordWrap/>
        <w:overflowPunct/>
        <w:topLinePunct w:val="0"/>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委托期限：</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w:t>
      </w:r>
    </w:p>
    <w:p w14:paraId="5DBFDC81">
      <w:pPr>
        <w:keepNext w:val="0"/>
        <w:keepLines w:val="0"/>
        <w:pageBreakBefore w:val="0"/>
        <w:widowControl/>
        <w:kinsoku/>
        <w:wordWrap/>
        <w:overflowPunct/>
        <w:topLinePunct w:val="0"/>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委托代理人签名：</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法定代表人签名：</w:t>
      </w:r>
      <w:r>
        <w:rPr>
          <w:rFonts w:hint="eastAsia" w:ascii="宋体" w:hAnsi="宋体" w:cs="宋体"/>
          <w:color w:val="auto"/>
          <w:kern w:val="0"/>
          <w:sz w:val="21"/>
          <w:szCs w:val="21"/>
          <w:highlight w:val="none"/>
          <w:u w:val="single"/>
        </w:rPr>
        <w:t xml:space="preserve">          </w:t>
      </w:r>
    </w:p>
    <w:p w14:paraId="766C5E71">
      <w:pPr>
        <w:keepNext w:val="0"/>
        <w:keepLines w:val="0"/>
        <w:pageBreakBefore w:val="0"/>
        <w:widowControl/>
        <w:kinsoku/>
        <w:wordWrap/>
        <w:overflowPunct/>
        <w:topLinePunct w:val="0"/>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职务：</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职务：</w:t>
      </w:r>
      <w:r>
        <w:rPr>
          <w:rFonts w:hint="eastAsia" w:ascii="宋体" w:hAnsi="宋体" w:cs="宋体"/>
          <w:color w:val="auto"/>
          <w:kern w:val="0"/>
          <w:sz w:val="21"/>
          <w:szCs w:val="21"/>
          <w:highlight w:val="none"/>
          <w:u w:val="single"/>
        </w:rPr>
        <w:t xml:space="preserve">           </w:t>
      </w:r>
    </w:p>
    <w:p w14:paraId="32454ADC">
      <w:pPr>
        <w:keepNext w:val="0"/>
        <w:keepLines w:val="0"/>
        <w:pageBreakBefore w:val="0"/>
        <w:widowControl/>
        <w:shd w:val="clear" w:color="auto" w:fill="FFFFFF"/>
        <w:kinsoku/>
        <w:wordWrap/>
        <w:overflowPunct/>
        <w:topLinePunct w:val="0"/>
        <w:autoSpaceDE w:val="0"/>
        <w:autoSpaceDN/>
        <w:bidi w:val="0"/>
        <w:adjustRightInd/>
        <w:snapToGrid w:val="0"/>
        <w:spacing w:line="360" w:lineRule="auto"/>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委托代理人身份证号码：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w:t>
      </w:r>
    </w:p>
    <w:p w14:paraId="5E884B4E">
      <w:pPr>
        <w:widowControl/>
        <w:shd w:val="clear" w:color="auto" w:fill="FFFFFF"/>
        <w:autoSpaceDE w:val="0"/>
        <w:spacing w:line="360" w:lineRule="auto"/>
        <w:jc w:val="left"/>
        <w:rPr>
          <w:color w:val="auto"/>
          <w:kern w:val="0"/>
          <w:sz w:val="21"/>
          <w:szCs w:val="21"/>
          <w:highlight w:val="none"/>
        </w:rPr>
      </w:pPr>
      <w:r>
        <w:rPr>
          <w:rFonts w:hint="eastAsia" w:ascii="宋体" w:hAnsi="宋体" w:cs="宋体"/>
          <w:color w:val="auto"/>
          <w:kern w:val="0"/>
          <w:sz w:val="21"/>
          <w:szCs w:val="21"/>
          <w:highlight w:val="none"/>
        </w:rPr>
        <w:t xml:space="preserve">                               </w:t>
      </w:r>
    </w:p>
    <w:tbl>
      <w:tblPr>
        <w:tblStyle w:val="40"/>
        <w:tblW w:w="5508" w:type="dxa"/>
        <w:tblInd w:w="135" w:type="dxa"/>
        <w:tblLayout w:type="fixed"/>
        <w:tblCellMar>
          <w:top w:w="0" w:type="dxa"/>
          <w:left w:w="0" w:type="dxa"/>
          <w:bottom w:w="0" w:type="dxa"/>
          <w:right w:w="0" w:type="dxa"/>
        </w:tblCellMar>
      </w:tblPr>
      <w:tblGrid>
        <w:gridCol w:w="5508"/>
      </w:tblGrid>
      <w:tr w14:paraId="534C2E04">
        <w:tblPrEx>
          <w:tblCellMar>
            <w:top w:w="0" w:type="dxa"/>
            <w:left w:w="0" w:type="dxa"/>
            <w:bottom w:w="0" w:type="dxa"/>
            <w:right w:w="0"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5090417C">
            <w:pPr>
              <w:widowControl/>
              <w:spacing w:line="360" w:lineRule="auto"/>
              <w:jc w:val="left"/>
              <w:rPr>
                <w:color w:val="auto"/>
                <w:kern w:val="0"/>
                <w:sz w:val="21"/>
                <w:szCs w:val="21"/>
                <w:highlight w:val="none"/>
              </w:rPr>
            </w:pPr>
            <w:r>
              <w:rPr>
                <w:rFonts w:hint="eastAsia" w:ascii="宋体" w:hAnsi="宋体" w:cs="宋体"/>
                <w:color w:val="auto"/>
                <w:kern w:val="0"/>
                <w:sz w:val="21"/>
                <w:szCs w:val="21"/>
                <w:highlight w:val="none"/>
              </w:rPr>
              <w:t>此处请粘贴委托代理人身份证复印件</w:t>
            </w:r>
          </w:p>
        </w:tc>
      </w:tr>
    </w:tbl>
    <w:p w14:paraId="6E5622C7">
      <w:pPr>
        <w:widowControl/>
        <w:shd w:val="clear" w:color="auto" w:fill="FFFFFF"/>
        <w:spacing w:line="360" w:lineRule="auto"/>
        <w:ind w:firstLine="24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p>
    <w:p w14:paraId="03B2274A">
      <w:pPr>
        <w:widowControl/>
        <w:shd w:val="clear" w:color="auto" w:fill="FFFFFF"/>
        <w:spacing w:line="360" w:lineRule="auto"/>
        <w:ind w:firstLine="2400"/>
        <w:jc w:val="left"/>
        <w:rPr>
          <w:color w:val="auto"/>
          <w:kern w:val="0"/>
          <w:sz w:val="21"/>
          <w:szCs w:val="21"/>
          <w:highlight w:val="none"/>
        </w:rPr>
      </w:pPr>
      <w:r>
        <w:rPr>
          <w:rFonts w:hint="eastAsia" w:ascii="宋体" w:hAnsi="宋体" w:cs="宋体"/>
          <w:color w:val="auto"/>
          <w:kern w:val="0"/>
          <w:sz w:val="21"/>
          <w:szCs w:val="21"/>
          <w:highlight w:val="none"/>
        </w:rPr>
        <w:t xml:space="preserve">    供应商名称：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（全称并加盖公章）</w:t>
      </w:r>
    </w:p>
    <w:p w14:paraId="0CF5AC18">
      <w:pPr>
        <w:widowControl/>
        <w:shd w:val="clear" w:color="auto" w:fill="FFFFFF"/>
        <w:spacing w:line="360" w:lineRule="auto"/>
        <w:ind w:firstLine="480"/>
        <w:jc w:val="left"/>
        <w:rPr>
          <w:color w:val="auto"/>
          <w:kern w:val="0"/>
          <w:sz w:val="21"/>
          <w:szCs w:val="21"/>
          <w:highlight w:val="none"/>
        </w:rPr>
      </w:pPr>
      <w:r>
        <w:rPr>
          <w:rFonts w:hint="eastAsia" w:ascii="宋体" w:hAnsi="宋体" w:cs="宋体"/>
          <w:color w:val="auto"/>
          <w:kern w:val="0"/>
          <w:sz w:val="21"/>
          <w:szCs w:val="21"/>
          <w:highlight w:val="none"/>
        </w:rPr>
        <w:t xml:space="preserve">                                </w:t>
      </w:r>
    </w:p>
    <w:p w14:paraId="4A7FCA76">
      <w:pPr>
        <w:widowControl/>
        <w:shd w:val="clear" w:color="auto" w:fill="FFFFFF"/>
        <w:spacing w:line="360" w:lineRule="auto"/>
        <w:ind w:firstLine="4725" w:firstLineChars="2250"/>
        <w:jc w:val="left"/>
        <w:rPr>
          <w:rFonts w:hint="eastAsia" w:ascii="宋体" w:hAnsi="宋体" w:eastAsia="宋体" w:cs="宋体"/>
          <w:b/>
          <w:bCs/>
          <w:color w:val="auto"/>
          <w:kern w:val="0"/>
          <w:sz w:val="24"/>
          <w:highlight w:val="none"/>
          <w:lang w:val="en-US" w:eastAsia="zh-CN"/>
        </w:rPr>
      </w:pPr>
      <w:r>
        <w:rPr>
          <w:rFonts w:hint="eastAsia" w:ascii="宋体" w:hAnsi="宋体" w:cs="宋体"/>
          <w:color w:val="auto"/>
          <w:kern w:val="0"/>
          <w:sz w:val="21"/>
          <w:szCs w:val="21"/>
          <w:highlight w:val="none"/>
        </w:rPr>
        <w:t xml:space="preserve">年    月   </w:t>
      </w:r>
      <w:r>
        <w:rPr>
          <w:rFonts w:hint="eastAsia" w:ascii="宋体" w:hAnsi="宋体" w:cs="宋体"/>
          <w:color w:val="auto"/>
          <w:kern w:val="0"/>
          <w:sz w:val="24"/>
          <w:highlight w:val="none"/>
        </w:rPr>
        <w:t xml:space="preserve"> </w:t>
      </w:r>
      <w:r>
        <w:rPr>
          <w:rFonts w:hint="eastAsia" w:ascii="宋体" w:hAnsi="宋体" w:cs="宋体"/>
          <w:color w:val="auto"/>
          <w:kern w:val="0"/>
          <w:sz w:val="21"/>
          <w:szCs w:val="21"/>
          <w:highlight w:val="none"/>
          <w:lang w:val="en-US" w:eastAsia="zh-CN"/>
        </w:rPr>
        <w:t>日</w:t>
      </w:r>
    </w:p>
    <w:p w14:paraId="41715714">
      <w:pPr>
        <w:widowControl/>
        <w:shd w:val="clear" w:color="auto" w:fill="FFFFFF"/>
        <w:spacing w:line="360" w:lineRule="auto"/>
        <w:jc w:val="left"/>
        <w:rPr>
          <w:rFonts w:ascii="宋体" w:hAnsi="宋体" w:cs="宋体"/>
          <w:b/>
          <w:bCs/>
          <w:color w:val="auto"/>
          <w:kern w:val="0"/>
          <w:sz w:val="24"/>
          <w:highlight w:val="none"/>
        </w:rPr>
      </w:pPr>
    </w:p>
    <w:p w14:paraId="793C8E88">
      <w:pPr>
        <w:rPr>
          <w:rFonts w:eastAsia="‹ΟGB2312"/>
          <w:b/>
          <w:bCs/>
          <w:color w:val="auto"/>
          <w:kern w:val="0"/>
          <w:sz w:val="24"/>
          <w:highlight w:val="none"/>
        </w:rPr>
      </w:pPr>
      <w:r>
        <w:rPr>
          <w:rFonts w:eastAsia="‹ΟGB2312"/>
          <w:b/>
          <w:bCs/>
          <w:color w:val="auto"/>
          <w:kern w:val="0"/>
          <w:sz w:val="24"/>
          <w:highlight w:val="none"/>
        </w:rPr>
        <w:br w:type="page"/>
      </w:r>
    </w:p>
    <w:p w14:paraId="5E1A28C3">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kern w:val="0"/>
          <w:sz w:val="24"/>
          <w:highlight w:val="none"/>
        </w:rPr>
      </w:pPr>
      <w:bookmarkStart w:id="30" w:name="_Toc15804"/>
      <w:bookmarkStart w:id="31" w:name="_Toc226"/>
      <w:r>
        <w:rPr>
          <w:rFonts w:hint="eastAsia" w:ascii="宋体" w:hAnsi="宋体" w:eastAsia="宋体" w:cs="宋体"/>
          <w:b/>
          <w:bCs/>
          <w:color w:val="auto"/>
          <w:kern w:val="0"/>
          <w:sz w:val="24"/>
          <w:highlight w:val="none"/>
        </w:rPr>
        <w:t>附件</w:t>
      </w:r>
      <w:r>
        <w:rPr>
          <w:rFonts w:hint="eastAsia" w:ascii="宋体" w:hAnsi="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 xml:space="preserve">               技术响应表（格式）</w:t>
      </w:r>
      <w:bookmarkEnd w:id="30"/>
      <w:bookmarkEnd w:id="31"/>
    </w:p>
    <w:p w14:paraId="42E2803A">
      <w:pPr>
        <w:widowControl/>
        <w:wordWrap w:val="0"/>
        <w:snapToGrid w:val="0"/>
        <w:spacing w:before="50" w:afterLines="50"/>
        <w:jc w:val="left"/>
        <w:rPr>
          <w:rFonts w:ascii="宋体" w:hAnsi="宋体" w:cs="宋体"/>
          <w:color w:val="auto"/>
          <w:kern w:val="0"/>
          <w:sz w:val="24"/>
          <w:highlight w:val="none"/>
          <w:u w:val="single"/>
        </w:rPr>
      </w:pPr>
      <w:r>
        <w:rPr>
          <w:rFonts w:hint="eastAsia" w:cs="宋体"/>
          <w:color w:val="auto"/>
          <w:kern w:val="0"/>
          <w:sz w:val="24"/>
          <w:highlight w:val="none"/>
        </w:rPr>
        <w:t>项目编号：</w:t>
      </w:r>
    </w:p>
    <w:tbl>
      <w:tblPr>
        <w:tblStyle w:val="41"/>
        <w:tblpPr w:leftFromText="180" w:rightFromText="180" w:vertAnchor="text" w:horzAnchor="page" w:tblpX="1410" w:tblpY="53"/>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485"/>
        <w:gridCol w:w="2625"/>
        <w:gridCol w:w="2580"/>
        <w:gridCol w:w="1720"/>
      </w:tblGrid>
      <w:tr w14:paraId="6AC5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27" w:type="dxa"/>
            <w:vAlign w:val="center"/>
          </w:tcPr>
          <w:p w14:paraId="31C2F1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85" w:type="dxa"/>
            <w:vAlign w:val="center"/>
          </w:tcPr>
          <w:p w14:paraId="1D95D3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625" w:type="dxa"/>
            <w:vAlign w:val="center"/>
          </w:tcPr>
          <w:p w14:paraId="402316D9">
            <w:pPr>
              <w:autoSpaceDE w:val="0"/>
              <w:autoSpaceDN w:val="0"/>
              <w:adjustRightInd w:val="0"/>
              <w:spacing w:before="79"/>
              <w:ind w:right="-2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竞争性磋商文件要求</w:t>
            </w:r>
          </w:p>
        </w:tc>
        <w:tc>
          <w:tcPr>
            <w:tcW w:w="2580" w:type="dxa"/>
            <w:vAlign w:val="center"/>
          </w:tcPr>
          <w:p w14:paraId="4EF39F7D">
            <w:pPr>
              <w:autoSpaceDE w:val="0"/>
              <w:autoSpaceDN w:val="0"/>
              <w:adjustRightInd w:val="0"/>
              <w:spacing w:before="79"/>
              <w:ind w:right="-2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响应性文件内容</w:t>
            </w:r>
          </w:p>
        </w:tc>
        <w:tc>
          <w:tcPr>
            <w:tcW w:w="1720" w:type="dxa"/>
            <w:vAlign w:val="center"/>
          </w:tcPr>
          <w:p w14:paraId="14C5598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偏离情况</w:t>
            </w:r>
          </w:p>
        </w:tc>
      </w:tr>
      <w:tr w14:paraId="0C1A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27" w:type="dxa"/>
            <w:vAlign w:val="center"/>
          </w:tcPr>
          <w:p w14:paraId="0AC4CF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85" w:type="dxa"/>
            <w:vAlign w:val="center"/>
          </w:tcPr>
          <w:p w14:paraId="16D47487">
            <w:pPr>
              <w:jc w:val="center"/>
              <w:rPr>
                <w:rFonts w:hint="eastAsia" w:ascii="宋体" w:hAnsi="宋体" w:eastAsia="宋体" w:cs="宋体"/>
                <w:color w:val="auto"/>
                <w:sz w:val="21"/>
                <w:szCs w:val="21"/>
                <w:highlight w:val="none"/>
              </w:rPr>
            </w:pPr>
          </w:p>
        </w:tc>
        <w:tc>
          <w:tcPr>
            <w:tcW w:w="2625" w:type="dxa"/>
            <w:vAlign w:val="center"/>
          </w:tcPr>
          <w:p w14:paraId="084C21D3">
            <w:pPr>
              <w:jc w:val="center"/>
              <w:rPr>
                <w:rFonts w:hint="eastAsia" w:ascii="宋体" w:hAnsi="宋体" w:eastAsia="宋体" w:cs="宋体"/>
                <w:color w:val="auto"/>
                <w:sz w:val="21"/>
                <w:szCs w:val="21"/>
                <w:highlight w:val="none"/>
              </w:rPr>
            </w:pPr>
          </w:p>
        </w:tc>
        <w:tc>
          <w:tcPr>
            <w:tcW w:w="2580" w:type="dxa"/>
            <w:vAlign w:val="center"/>
          </w:tcPr>
          <w:p w14:paraId="33009FF1">
            <w:pPr>
              <w:jc w:val="center"/>
              <w:rPr>
                <w:rFonts w:hint="eastAsia" w:ascii="宋体" w:hAnsi="宋体" w:eastAsia="宋体" w:cs="宋体"/>
                <w:color w:val="auto"/>
                <w:sz w:val="21"/>
                <w:szCs w:val="21"/>
                <w:highlight w:val="none"/>
              </w:rPr>
            </w:pPr>
          </w:p>
        </w:tc>
        <w:tc>
          <w:tcPr>
            <w:tcW w:w="1720" w:type="dxa"/>
            <w:vAlign w:val="center"/>
          </w:tcPr>
          <w:p w14:paraId="62C47B69">
            <w:pPr>
              <w:jc w:val="center"/>
              <w:rPr>
                <w:rFonts w:hint="eastAsia" w:ascii="宋体" w:hAnsi="宋体" w:eastAsia="宋体" w:cs="宋体"/>
                <w:color w:val="auto"/>
                <w:sz w:val="21"/>
                <w:szCs w:val="21"/>
                <w:highlight w:val="none"/>
              </w:rPr>
            </w:pPr>
          </w:p>
        </w:tc>
      </w:tr>
      <w:tr w14:paraId="418E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27" w:type="dxa"/>
            <w:vAlign w:val="center"/>
          </w:tcPr>
          <w:p w14:paraId="26ECF0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85" w:type="dxa"/>
            <w:vAlign w:val="center"/>
          </w:tcPr>
          <w:p w14:paraId="2AA41DAF">
            <w:pPr>
              <w:jc w:val="center"/>
              <w:rPr>
                <w:rFonts w:hint="eastAsia" w:ascii="宋体" w:hAnsi="宋体" w:eastAsia="宋体" w:cs="宋体"/>
                <w:color w:val="auto"/>
                <w:sz w:val="21"/>
                <w:szCs w:val="21"/>
                <w:highlight w:val="none"/>
              </w:rPr>
            </w:pPr>
          </w:p>
        </w:tc>
        <w:tc>
          <w:tcPr>
            <w:tcW w:w="2625" w:type="dxa"/>
            <w:vAlign w:val="center"/>
          </w:tcPr>
          <w:p w14:paraId="28CE7475">
            <w:pPr>
              <w:jc w:val="center"/>
              <w:rPr>
                <w:rFonts w:hint="eastAsia" w:ascii="宋体" w:hAnsi="宋体" w:eastAsia="宋体" w:cs="宋体"/>
                <w:color w:val="auto"/>
                <w:sz w:val="21"/>
                <w:szCs w:val="21"/>
                <w:highlight w:val="none"/>
              </w:rPr>
            </w:pPr>
          </w:p>
        </w:tc>
        <w:tc>
          <w:tcPr>
            <w:tcW w:w="2580" w:type="dxa"/>
            <w:vAlign w:val="center"/>
          </w:tcPr>
          <w:p w14:paraId="66E586FC">
            <w:pPr>
              <w:jc w:val="center"/>
              <w:rPr>
                <w:rFonts w:hint="eastAsia" w:ascii="宋体" w:hAnsi="宋体" w:eastAsia="宋体" w:cs="宋体"/>
                <w:bCs/>
                <w:color w:val="auto"/>
                <w:sz w:val="21"/>
                <w:szCs w:val="21"/>
                <w:highlight w:val="none"/>
              </w:rPr>
            </w:pPr>
          </w:p>
        </w:tc>
        <w:tc>
          <w:tcPr>
            <w:tcW w:w="1720" w:type="dxa"/>
            <w:vAlign w:val="center"/>
          </w:tcPr>
          <w:p w14:paraId="38304BE5">
            <w:pPr>
              <w:jc w:val="center"/>
              <w:rPr>
                <w:rFonts w:hint="eastAsia" w:ascii="宋体" w:hAnsi="宋体" w:eastAsia="宋体" w:cs="宋体"/>
                <w:bCs/>
                <w:color w:val="auto"/>
                <w:sz w:val="21"/>
                <w:szCs w:val="21"/>
                <w:highlight w:val="none"/>
              </w:rPr>
            </w:pPr>
          </w:p>
        </w:tc>
      </w:tr>
      <w:tr w14:paraId="3DAD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27" w:type="dxa"/>
            <w:vAlign w:val="center"/>
          </w:tcPr>
          <w:p w14:paraId="119E61D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85" w:type="dxa"/>
            <w:vAlign w:val="center"/>
          </w:tcPr>
          <w:p w14:paraId="3AED70FF">
            <w:pPr>
              <w:jc w:val="center"/>
              <w:rPr>
                <w:rFonts w:hint="eastAsia" w:ascii="宋体" w:hAnsi="宋体" w:eastAsia="宋体" w:cs="宋体"/>
                <w:color w:val="auto"/>
                <w:sz w:val="21"/>
                <w:szCs w:val="21"/>
                <w:highlight w:val="none"/>
              </w:rPr>
            </w:pPr>
          </w:p>
        </w:tc>
        <w:tc>
          <w:tcPr>
            <w:tcW w:w="2625" w:type="dxa"/>
            <w:vAlign w:val="center"/>
          </w:tcPr>
          <w:p w14:paraId="52E32B78">
            <w:pPr>
              <w:jc w:val="center"/>
              <w:rPr>
                <w:rFonts w:hint="eastAsia" w:ascii="宋体" w:hAnsi="宋体" w:eastAsia="宋体" w:cs="宋体"/>
                <w:color w:val="auto"/>
                <w:sz w:val="21"/>
                <w:szCs w:val="21"/>
                <w:highlight w:val="none"/>
              </w:rPr>
            </w:pPr>
          </w:p>
        </w:tc>
        <w:tc>
          <w:tcPr>
            <w:tcW w:w="2580" w:type="dxa"/>
            <w:vAlign w:val="center"/>
          </w:tcPr>
          <w:p w14:paraId="3A451C89">
            <w:pPr>
              <w:jc w:val="center"/>
              <w:rPr>
                <w:rFonts w:hint="eastAsia" w:ascii="宋体" w:hAnsi="宋体" w:eastAsia="宋体" w:cs="宋体"/>
                <w:bCs/>
                <w:color w:val="auto"/>
                <w:sz w:val="21"/>
                <w:szCs w:val="21"/>
                <w:highlight w:val="none"/>
              </w:rPr>
            </w:pPr>
          </w:p>
        </w:tc>
        <w:tc>
          <w:tcPr>
            <w:tcW w:w="1720" w:type="dxa"/>
            <w:vAlign w:val="center"/>
          </w:tcPr>
          <w:p w14:paraId="1C01C88B">
            <w:pPr>
              <w:jc w:val="center"/>
              <w:rPr>
                <w:rFonts w:hint="eastAsia" w:ascii="宋体" w:hAnsi="宋体" w:eastAsia="宋体" w:cs="宋体"/>
                <w:bCs/>
                <w:color w:val="auto"/>
                <w:sz w:val="21"/>
                <w:szCs w:val="21"/>
                <w:highlight w:val="none"/>
              </w:rPr>
            </w:pPr>
          </w:p>
        </w:tc>
      </w:tr>
      <w:tr w14:paraId="42D2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27" w:type="dxa"/>
            <w:vAlign w:val="center"/>
          </w:tcPr>
          <w:p w14:paraId="41D83D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85" w:type="dxa"/>
            <w:vAlign w:val="center"/>
          </w:tcPr>
          <w:p w14:paraId="225F9618">
            <w:pPr>
              <w:jc w:val="center"/>
              <w:rPr>
                <w:rFonts w:hint="eastAsia" w:ascii="宋体" w:hAnsi="宋体" w:eastAsia="宋体" w:cs="宋体"/>
                <w:color w:val="auto"/>
                <w:sz w:val="21"/>
                <w:szCs w:val="21"/>
                <w:highlight w:val="none"/>
              </w:rPr>
            </w:pPr>
          </w:p>
        </w:tc>
        <w:tc>
          <w:tcPr>
            <w:tcW w:w="2625" w:type="dxa"/>
            <w:vAlign w:val="center"/>
          </w:tcPr>
          <w:p w14:paraId="61C7A2B0">
            <w:pPr>
              <w:jc w:val="center"/>
              <w:rPr>
                <w:rFonts w:hint="eastAsia" w:ascii="宋体" w:hAnsi="宋体" w:eastAsia="宋体" w:cs="宋体"/>
                <w:color w:val="auto"/>
                <w:sz w:val="21"/>
                <w:szCs w:val="21"/>
                <w:highlight w:val="none"/>
              </w:rPr>
            </w:pPr>
          </w:p>
        </w:tc>
        <w:tc>
          <w:tcPr>
            <w:tcW w:w="2580" w:type="dxa"/>
            <w:vAlign w:val="center"/>
          </w:tcPr>
          <w:p w14:paraId="2CE28B22">
            <w:pPr>
              <w:jc w:val="center"/>
              <w:rPr>
                <w:rFonts w:hint="eastAsia" w:ascii="宋体" w:hAnsi="宋体" w:eastAsia="宋体" w:cs="宋体"/>
                <w:bCs/>
                <w:color w:val="auto"/>
                <w:sz w:val="21"/>
                <w:szCs w:val="21"/>
                <w:highlight w:val="none"/>
              </w:rPr>
            </w:pPr>
          </w:p>
        </w:tc>
        <w:tc>
          <w:tcPr>
            <w:tcW w:w="1720" w:type="dxa"/>
            <w:vAlign w:val="center"/>
          </w:tcPr>
          <w:p w14:paraId="32F613E6">
            <w:pPr>
              <w:jc w:val="center"/>
              <w:rPr>
                <w:rFonts w:hint="eastAsia" w:ascii="宋体" w:hAnsi="宋体" w:eastAsia="宋体" w:cs="宋体"/>
                <w:bCs/>
                <w:color w:val="auto"/>
                <w:sz w:val="21"/>
                <w:szCs w:val="21"/>
                <w:highlight w:val="none"/>
              </w:rPr>
            </w:pPr>
          </w:p>
        </w:tc>
      </w:tr>
      <w:tr w14:paraId="40DC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27" w:type="dxa"/>
            <w:vAlign w:val="center"/>
          </w:tcPr>
          <w:p w14:paraId="68C990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85" w:type="dxa"/>
            <w:vAlign w:val="center"/>
          </w:tcPr>
          <w:p w14:paraId="24D33DC6">
            <w:pPr>
              <w:jc w:val="center"/>
              <w:rPr>
                <w:rFonts w:hint="eastAsia" w:ascii="宋体" w:hAnsi="宋体" w:eastAsia="宋体" w:cs="宋体"/>
                <w:color w:val="auto"/>
                <w:sz w:val="21"/>
                <w:szCs w:val="21"/>
                <w:highlight w:val="none"/>
              </w:rPr>
            </w:pPr>
          </w:p>
        </w:tc>
        <w:tc>
          <w:tcPr>
            <w:tcW w:w="2625" w:type="dxa"/>
            <w:vAlign w:val="center"/>
          </w:tcPr>
          <w:p w14:paraId="4676487E">
            <w:pPr>
              <w:jc w:val="center"/>
              <w:rPr>
                <w:rFonts w:hint="eastAsia" w:ascii="宋体" w:hAnsi="宋体" w:eastAsia="宋体" w:cs="宋体"/>
                <w:bCs/>
                <w:color w:val="auto"/>
                <w:sz w:val="21"/>
                <w:szCs w:val="21"/>
                <w:highlight w:val="none"/>
              </w:rPr>
            </w:pPr>
          </w:p>
        </w:tc>
        <w:tc>
          <w:tcPr>
            <w:tcW w:w="2580" w:type="dxa"/>
            <w:vAlign w:val="center"/>
          </w:tcPr>
          <w:p w14:paraId="62AA1D6C">
            <w:pPr>
              <w:jc w:val="center"/>
              <w:rPr>
                <w:rFonts w:hint="eastAsia" w:ascii="宋体" w:hAnsi="宋体" w:eastAsia="宋体" w:cs="宋体"/>
                <w:bCs/>
                <w:color w:val="auto"/>
                <w:sz w:val="21"/>
                <w:szCs w:val="21"/>
                <w:highlight w:val="none"/>
              </w:rPr>
            </w:pPr>
          </w:p>
        </w:tc>
        <w:tc>
          <w:tcPr>
            <w:tcW w:w="1720" w:type="dxa"/>
            <w:vAlign w:val="center"/>
          </w:tcPr>
          <w:p w14:paraId="1EFE2A02">
            <w:pPr>
              <w:jc w:val="center"/>
              <w:rPr>
                <w:rFonts w:hint="eastAsia" w:ascii="宋体" w:hAnsi="宋体" w:eastAsia="宋体" w:cs="宋体"/>
                <w:bCs/>
                <w:color w:val="auto"/>
                <w:sz w:val="21"/>
                <w:szCs w:val="21"/>
                <w:highlight w:val="none"/>
              </w:rPr>
            </w:pPr>
          </w:p>
        </w:tc>
      </w:tr>
    </w:tbl>
    <w:p w14:paraId="26EF29C5">
      <w:pPr>
        <w:rPr>
          <w:b/>
          <w:color w:val="auto"/>
          <w:kern w:val="0"/>
          <w:sz w:val="24"/>
          <w:highlight w:val="none"/>
        </w:rPr>
      </w:pPr>
    </w:p>
    <w:p w14:paraId="5C423937">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1"/>
          <w:szCs w:val="21"/>
          <w:highlight w:val="none"/>
        </w:rPr>
        <w:t>注：</w:t>
      </w:r>
      <w:r>
        <w:rPr>
          <w:rFonts w:hint="eastAsia" w:ascii="宋体" w:hAnsi="宋体" w:cs="宋体"/>
          <w:bCs/>
          <w:color w:val="auto"/>
          <w:kern w:val="0"/>
          <w:sz w:val="21"/>
          <w:szCs w:val="21"/>
          <w:highlight w:val="none"/>
          <w:lang w:eastAsia="zh-CN"/>
        </w:rPr>
        <w:t>供应商</w:t>
      </w:r>
      <w:r>
        <w:rPr>
          <w:rFonts w:hint="eastAsia" w:ascii="宋体" w:hAnsi="宋体" w:cs="宋体"/>
          <w:bCs/>
          <w:color w:val="auto"/>
          <w:kern w:val="0"/>
          <w:sz w:val="21"/>
          <w:szCs w:val="21"/>
          <w:highlight w:val="none"/>
        </w:rPr>
        <w:t>必须如实完整填写表格， “偏离情况”是指“正偏离”、“负偏离”或“无偏离”。</w:t>
      </w:r>
    </w:p>
    <w:p w14:paraId="1E6EC957">
      <w:pPr>
        <w:pStyle w:val="161"/>
        <w:rPr>
          <w:bCs/>
          <w:color w:val="auto"/>
          <w:kern w:val="0"/>
          <w:highlight w:val="none"/>
        </w:rPr>
      </w:pPr>
    </w:p>
    <w:p w14:paraId="1B8F31E2">
      <w:pPr>
        <w:pStyle w:val="161"/>
        <w:rPr>
          <w:bCs/>
          <w:color w:val="auto"/>
          <w:kern w:val="0"/>
          <w:highlight w:val="none"/>
        </w:rPr>
      </w:pPr>
    </w:p>
    <w:p w14:paraId="636BC111">
      <w:pPr>
        <w:pStyle w:val="161"/>
        <w:rPr>
          <w:bCs/>
          <w:color w:val="auto"/>
          <w:kern w:val="0"/>
          <w:highlight w:val="none"/>
        </w:rPr>
      </w:pPr>
    </w:p>
    <w:p w14:paraId="1B15BBC4">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en-US" w:eastAsia="zh-CN"/>
        </w:rPr>
        <w:t>名称</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（全称并加盖公章）</w:t>
      </w:r>
    </w:p>
    <w:p w14:paraId="3837864A">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14:paraId="0F6089CE">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610A989A">
      <w:pPr>
        <w:rPr>
          <w:rFonts w:hint="eastAsia" w:ascii="宋体" w:hAnsi="宋体" w:cs="宋体"/>
          <w:b/>
          <w:color w:val="auto"/>
          <w:kern w:val="0"/>
          <w:sz w:val="24"/>
          <w:highlight w:val="none"/>
        </w:rPr>
      </w:pPr>
      <w:r>
        <w:rPr>
          <w:rFonts w:hint="eastAsia" w:ascii="宋体" w:hAnsi="宋体" w:cs="宋体"/>
          <w:b/>
          <w:color w:val="auto"/>
          <w:kern w:val="0"/>
          <w:sz w:val="24"/>
          <w:highlight w:val="none"/>
        </w:rPr>
        <w:br w:type="page"/>
      </w:r>
    </w:p>
    <w:p w14:paraId="237D7291">
      <w:pPr>
        <w:keepNext w:val="0"/>
        <w:keepLines w:val="0"/>
        <w:pageBreakBefore/>
        <w:widowControl w:val="0"/>
        <w:kinsoku/>
        <w:wordWrap/>
        <w:overflowPunct/>
        <w:topLinePunct w:val="0"/>
        <w:autoSpaceDE/>
        <w:autoSpaceDN/>
        <w:bidi w:val="0"/>
        <w:adjustRightInd/>
        <w:snapToGrid w:val="0"/>
        <w:spacing w:line="360" w:lineRule="auto"/>
        <w:jc w:val="center"/>
        <w:textAlignment w:val="auto"/>
        <w:rPr>
          <w:rStyle w:val="159"/>
          <w:rFonts w:hint="eastAsia" w:ascii="宋体" w:hAnsi="宋体" w:eastAsia="宋体" w:cs="宋体"/>
          <w:b/>
          <w:bCs w:val="0"/>
          <w:color w:val="auto"/>
          <w:kern w:val="0"/>
          <w:highlight w:val="none"/>
          <w:lang w:val="en-US"/>
        </w:rPr>
      </w:pPr>
      <w:r>
        <w:rPr>
          <w:rStyle w:val="159"/>
          <w:rFonts w:hint="eastAsia" w:ascii="宋体" w:hAnsi="宋体" w:cs="宋体"/>
          <w:b/>
          <w:bCs w:val="0"/>
          <w:color w:val="auto"/>
          <w:kern w:val="0"/>
          <w:highlight w:val="none"/>
          <w:lang w:val="en-US"/>
        </w:rPr>
        <w:t>8</w:t>
      </w:r>
      <w:r>
        <w:rPr>
          <w:rStyle w:val="159"/>
          <w:rFonts w:hint="eastAsia" w:ascii="宋体" w:hAnsi="宋体" w:eastAsia="宋体" w:cs="宋体"/>
          <w:b/>
          <w:bCs w:val="0"/>
          <w:color w:val="auto"/>
          <w:kern w:val="0"/>
          <w:highlight w:val="none"/>
          <w:lang w:val="en-US"/>
        </w:rPr>
        <w:t xml:space="preserve">.1技术响应证明文件（此项应针对磋商文件第二章采购需求 </w:t>
      </w:r>
      <w:r>
        <w:rPr>
          <w:rStyle w:val="159"/>
          <w:rFonts w:hint="eastAsia" w:ascii="宋体" w:hAnsi="宋体" w:cs="宋体"/>
          <w:b/>
          <w:bCs w:val="0"/>
          <w:color w:val="auto"/>
          <w:kern w:val="0"/>
          <w:highlight w:val="none"/>
          <w:lang w:val="en-US"/>
        </w:rPr>
        <w:t>三</w:t>
      </w:r>
      <w:r>
        <w:rPr>
          <w:rStyle w:val="159"/>
          <w:rFonts w:hint="eastAsia" w:ascii="宋体" w:hAnsi="宋体" w:eastAsia="宋体" w:cs="宋体"/>
          <w:b/>
          <w:bCs w:val="0"/>
          <w:color w:val="auto"/>
          <w:kern w:val="0"/>
          <w:highlight w:val="none"/>
          <w:lang w:val="en-US"/>
        </w:rPr>
        <w:t>、技术要求提供证明材料，包含但不限于：</w:t>
      </w:r>
      <w:r>
        <w:rPr>
          <w:rStyle w:val="159"/>
          <w:rFonts w:hint="eastAsia" w:ascii="宋体" w:hAnsi="宋体" w:eastAsia="宋体" w:cs="宋体"/>
          <w:b/>
          <w:bCs w:val="0"/>
          <w:color w:val="auto"/>
          <w:kern w:val="0"/>
          <w:highlight w:val="none"/>
          <w:lang w:val="en-US" w:eastAsia="zh-CN"/>
        </w:rPr>
        <w:t>产品注册检验报告</w:t>
      </w:r>
      <w:r>
        <w:rPr>
          <w:rStyle w:val="159"/>
          <w:rFonts w:hint="eastAsia" w:ascii="宋体" w:hAnsi="宋体" w:cs="宋体"/>
          <w:b/>
          <w:bCs w:val="0"/>
          <w:color w:val="auto"/>
          <w:kern w:val="0"/>
          <w:highlight w:val="none"/>
          <w:lang w:val="en-US" w:eastAsia="zh-CN"/>
        </w:rPr>
        <w:t>、</w:t>
      </w:r>
      <w:r>
        <w:rPr>
          <w:rStyle w:val="159"/>
          <w:rFonts w:hint="eastAsia" w:ascii="宋体" w:hAnsi="宋体" w:eastAsia="宋体" w:cs="宋体"/>
          <w:b/>
          <w:bCs w:val="0"/>
          <w:color w:val="auto"/>
          <w:kern w:val="0"/>
          <w:highlight w:val="none"/>
          <w:lang w:val="en-US" w:eastAsia="zh-CN"/>
        </w:rPr>
        <w:t>技术白皮书和彩页等相关文件</w:t>
      </w:r>
      <w:r>
        <w:rPr>
          <w:rStyle w:val="159"/>
          <w:rFonts w:hint="eastAsia" w:ascii="宋体" w:hAnsi="宋体" w:eastAsia="宋体" w:cs="宋体"/>
          <w:b/>
          <w:bCs w:val="0"/>
          <w:color w:val="auto"/>
          <w:kern w:val="0"/>
          <w:highlight w:val="none"/>
          <w:lang w:val="en-US"/>
        </w:rPr>
        <w:t>）</w:t>
      </w:r>
    </w:p>
    <w:p w14:paraId="68E4BE4E">
      <w:pPr>
        <w:pStyle w:val="21"/>
        <w:rPr>
          <w:rStyle w:val="159"/>
          <w:rFonts w:hint="eastAsia" w:ascii="宋体" w:hAnsi="宋体" w:eastAsia="宋体" w:cs="宋体"/>
          <w:b/>
          <w:bCs w:val="0"/>
          <w:color w:val="auto"/>
          <w:kern w:val="0"/>
          <w:highlight w:val="none"/>
          <w:lang w:val="en-US"/>
        </w:rPr>
      </w:pPr>
    </w:p>
    <w:p w14:paraId="4B94CB1D">
      <w:pPr>
        <w:pStyle w:val="21"/>
        <w:rPr>
          <w:rStyle w:val="159"/>
          <w:rFonts w:hint="eastAsia" w:ascii="宋体" w:hAnsi="宋体" w:eastAsia="宋体" w:cs="宋体"/>
          <w:b/>
          <w:bCs w:val="0"/>
          <w:color w:val="auto"/>
          <w:kern w:val="0"/>
          <w:highlight w:val="none"/>
          <w:lang w:val="en-US"/>
        </w:rPr>
      </w:pPr>
    </w:p>
    <w:p w14:paraId="689CEE4E">
      <w:pPr>
        <w:pStyle w:val="21"/>
        <w:rPr>
          <w:rStyle w:val="159"/>
          <w:rFonts w:hint="eastAsia" w:ascii="宋体" w:hAnsi="宋体" w:eastAsia="宋体" w:cs="宋体"/>
          <w:b/>
          <w:bCs w:val="0"/>
          <w:color w:val="auto"/>
          <w:kern w:val="0"/>
          <w:highlight w:val="none"/>
          <w:lang w:val="en-US"/>
        </w:rPr>
      </w:pPr>
    </w:p>
    <w:p w14:paraId="260ED406">
      <w:pPr>
        <w:pStyle w:val="21"/>
        <w:rPr>
          <w:rStyle w:val="159"/>
          <w:rFonts w:hint="eastAsia" w:ascii="宋体" w:hAnsi="宋体" w:eastAsia="宋体" w:cs="宋体"/>
          <w:b/>
          <w:bCs w:val="0"/>
          <w:color w:val="auto"/>
          <w:kern w:val="0"/>
          <w:highlight w:val="none"/>
          <w:lang w:val="en-US"/>
        </w:rPr>
      </w:pPr>
    </w:p>
    <w:p w14:paraId="4FADAC2C">
      <w:pPr>
        <w:pStyle w:val="21"/>
        <w:rPr>
          <w:rStyle w:val="159"/>
          <w:rFonts w:hint="eastAsia" w:ascii="宋体" w:hAnsi="宋体" w:eastAsia="宋体" w:cs="宋体"/>
          <w:b/>
          <w:bCs w:val="0"/>
          <w:color w:val="auto"/>
          <w:kern w:val="0"/>
          <w:highlight w:val="none"/>
          <w:lang w:val="en-US"/>
        </w:rPr>
      </w:pPr>
    </w:p>
    <w:p w14:paraId="37D2C413">
      <w:pPr>
        <w:pStyle w:val="21"/>
        <w:rPr>
          <w:rStyle w:val="159"/>
          <w:rFonts w:hint="default" w:ascii="宋体" w:hAnsi="宋体" w:eastAsia="宋体" w:cs="宋体"/>
          <w:b/>
          <w:bCs w:val="0"/>
          <w:color w:val="auto"/>
          <w:kern w:val="0"/>
          <w:highlight w:val="none"/>
          <w:lang w:val="en-US"/>
        </w:rPr>
        <w:sectPr>
          <w:pgSz w:w="11906" w:h="16838"/>
          <w:pgMar w:top="1440" w:right="1800" w:bottom="1440" w:left="1800" w:header="851" w:footer="992" w:gutter="0"/>
          <w:pgNumType w:fmt="numberInDash"/>
          <w:cols w:space="720" w:num="1"/>
          <w:docGrid w:type="lines" w:linePitch="312" w:charSpace="0"/>
        </w:sectPr>
      </w:pPr>
    </w:p>
    <w:p w14:paraId="0C8C0576">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kern w:val="0"/>
          <w:sz w:val="24"/>
          <w:highlight w:val="none"/>
        </w:rPr>
      </w:pPr>
      <w:bookmarkStart w:id="32" w:name="_Toc20420"/>
      <w:bookmarkStart w:id="33" w:name="_Toc29960"/>
      <w:r>
        <w:rPr>
          <w:rFonts w:hint="eastAsia" w:ascii="宋体" w:hAnsi="宋体" w:eastAsia="宋体" w:cs="宋体"/>
          <w:b/>
          <w:bCs/>
          <w:color w:val="auto"/>
          <w:kern w:val="0"/>
          <w:sz w:val="24"/>
          <w:highlight w:val="none"/>
        </w:rPr>
        <w:t>附件</w:t>
      </w:r>
      <w:r>
        <w:rPr>
          <w:rFonts w:hint="eastAsia" w:ascii="宋体" w:hAnsi="宋体" w:cs="宋体"/>
          <w:b/>
          <w:bCs/>
          <w:color w:val="auto"/>
          <w:kern w:val="0"/>
          <w:sz w:val="24"/>
          <w:highlight w:val="none"/>
          <w:lang w:val="en-US" w:eastAsia="zh-CN"/>
        </w:rPr>
        <w:t>9</w:t>
      </w:r>
      <w:r>
        <w:rPr>
          <w:rFonts w:hint="eastAsia" w:ascii="宋体" w:hAnsi="宋体" w:eastAsia="宋体" w:cs="宋体"/>
          <w:b/>
          <w:bCs/>
          <w:color w:val="auto"/>
          <w:kern w:val="0"/>
          <w:sz w:val="24"/>
          <w:highlight w:val="none"/>
        </w:rPr>
        <w:t xml:space="preserve">              商务响应表（格式）</w:t>
      </w:r>
      <w:bookmarkEnd w:id="32"/>
      <w:bookmarkEnd w:id="33"/>
    </w:p>
    <w:p w14:paraId="6E979359">
      <w:pPr>
        <w:widowControl/>
        <w:wordWrap w:val="0"/>
        <w:snapToGrid w:val="0"/>
        <w:spacing w:before="50" w:afterLines="50"/>
        <w:jc w:val="left"/>
        <w:rPr>
          <w:rFonts w:cs="宋体"/>
          <w:color w:val="auto"/>
          <w:kern w:val="0"/>
          <w:sz w:val="24"/>
          <w:highlight w:val="none"/>
        </w:rPr>
      </w:pPr>
    </w:p>
    <w:p w14:paraId="768C1E75">
      <w:pPr>
        <w:widowControl/>
        <w:wordWrap w:val="0"/>
        <w:snapToGrid w:val="0"/>
        <w:spacing w:before="50" w:afterLines="50"/>
        <w:jc w:val="left"/>
        <w:rPr>
          <w:rFonts w:ascii="宋体" w:hAnsi="宋体" w:cs="宋体"/>
          <w:color w:val="auto"/>
          <w:kern w:val="0"/>
          <w:sz w:val="24"/>
          <w:highlight w:val="none"/>
          <w:u w:val="single"/>
        </w:rPr>
      </w:pPr>
      <w:r>
        <w:rPr>
          <w:rFonts w:hint="eastAsia" w:cs="宋体"/>
          <w:color w:val="auto"/>
          <w:kern w:val="0"/>
          <w:sz w:val="24"/>
          <w:highlight w:val="none"/>
        </w:rPr>
        <w:t>项目编号：</w:t>
      </w:r>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785"/>
        <w:gridCol w:w="3112"/>
        <w:gridCol w:w="1212"/>
      </w:tblGrid>
      <w:tr w14:paraId="0B51D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14:paraId="3C2D2C77">
            <w:pPr>
              <w:spacing w:line="0" w:lineRule="atLeast"/>
              <w:jc w:val="center"/>
              <w:rPr>
                <w:color w:val="auto"/>
                <w:sz w:val="21"/>
                <w:szCs w:val="21"/>
                <w:highlight w:val="none"/>
              </w:rPr>
            </w:pPr>
            <w:r>
              <w:rPr>
                <w:rFonts w:hint="eastAsia"/>
                <w:color w:val="auto"/>
                <w:sz w:val="21"/>
                <w:szCs w:val="21"/>
                <w:highlight w:val="none"/>
              </w:rPr>
              <w:t>项目</w:t>
            </w:r>
          </w:p>
        </w:tc>
        <w:tc>
          <w:tcPr>
            <w:tcW w:w="2785" w:type="dxa"/>
            <w:tcBorders>
              <w:top w:val="single" w:color="auto" w:sz="4" w:space="0"/>
              <w:left w:val="single" w:color="auto" w:sz="4" w:space="0"/>
              <w:bottom w:val="single" w:color="auto" w:sz="4" w:space="0"/>
              <w:right w:val="single" w:color="auto" w:sz="4" w:space="0"/>
            </w:tcBorders>
            <w:vAlign w:val="center"/>
          </w:tcPr>
          <w:p w14:paraId="2DCEFC12">
            <w:pPr>
              <w:spacing w:line="0" w:lineRule="atLeast"/>
              <w:jc w:val="center"/>
              <w:rPr>
                <w:color w:val="auto"/>
                <w:sz w:val="21"/>
                <w:szCs w:val="21"/>
                <w:highlight w:val="none"/>
              </w:rPr>
            </w:pPr>
            <w:r>
              <w:rPr>
                <w:rFonts w:hint="eastAsia" w:cs="微软雅黑"/>
                <w:color w:val="auto"/>
                <w:kern w:val="0"/>
                <w:sz w:val="21"/>
                <w:szCs w:val="21"/>
                <w:highlight w:val="none"/>
              </w:rPr>
              <w:t>竞争性磋商文件要求</w:t>
            </w:r>
          </w:p>
        </w:tc>
        <w:tc>
          <w:tcPr>
            <w:tcW w:w="3112" w:type="dxa"/>
            <w:tcBorders>
              <w:top w:val="single" w:color="auto" w:sz="4" w:space="0"/>
              <w:left w:val="single" w:color="auto" w:sz="4" w:space="0"/>
              <w:bottom w:val="single" w:color="auto" w:sz="4" w:space="0"/>
              <w:right w:val="single" w:color="auto" w:sz="4" w:space="0"/>
            </w:tcBorders>
            <w:vAlign w:val="center"/>
          </w:tcPr>
          <w:p w14:paraId="6982021B">
            <w:pPr>
              <w:spacing w:line="0" w:lineRule="atLeast"/>
              <w:jc w:val="center"/>
              <w:rPr>
                <w:color w:val="auto"/>
                <w:sz w:val="21"/>
                <w:szCs w:val="21"/>
                <w:highlight w:val="none"/>
              </w:rPr>
            </w:pPr>
            <w:r>
              <w:rPr>
                <w:rFonts w:hint="eastAsia" w:cs="微软雅黑"/>
                <w:color w:val="auto"/>
                <w:kern w:val="0"/>
                <w:sz w:val="21"/>
                <w:szCs w:val="21"/>
                <w:highlight w:val="none"/>
              </w:rPr>
              <w:t>响应性文件内容</w:t>
            </w:r>
          </w:p>
        </w:tc>
        <w:tc>
          <w:tcPr>
            <w:tcW w:w="1212" w:type="dxa"/>
            <w:tcBorders>
              <w:top w:val="single" w:color="auto" w:sz="4" w:space="0"/>
              <w:left w:val="single" w:color="auto" w:sz="4" w:space="0"/>
              <w:bottom w:val="single" w:color="auto" w:sz="4" w:space="0"/>
              <w:right w:val="single" w:color="auto" w:sz="4" w:space="0"/>
            </w:tcBorders>
            <w:vAlign w:val="center"/>
          </w:tcPr>
          <w:p w14:paraId="3D7188B1">
            <w:pPr>
              <w:spacing w:line="0" w:lineRule="atLeast"/>
              <w:jc w:val="center"/>
              <w:rPr>
                <w:color w:val="auto"/>
                <w:sz w:val="21"/>
                <w:szCs w:val="21"/>
                <w:highlight w:val="none"/>
              </w:rPr>
            </w:pPr>
            <w:r>
              <w:rPr>
                <w:rFonts w:hint="eastAsia"/>
                <w:color w:val="auto"/>
                <w:sz w:val="21"/>
                <w:szCs w:val="21"/>
                <w:highlight w:val="none"/>
              </w:rPr>
              <w:t>响应情况</w:t>
            </w:r>
          </w:p>
        </w:tc>
      </w:tr>
      <w:tr w14:paraId="00949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shd w:val="clear" w:color="auto" w:fill="auto"/>
            <w:vAlign w:val="center"/>
          </w:tcPr>
          <w:p w14:paraId="299B01E1">
            <w:pPr>
              <w:widowControl/>
              <w:snapToGrid w:val="0"/>
              <w:spacing w:line="240" w:lineRule="auto"/>
              <w:ind w:left="0" w:leftChars="0"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质保期</w:t>
            </w:r>
          </w:p>
        </w:tc>
        <w:tc>
          <w:tcPr>
            <w:tcW w:w="2785" w:type="dxa"/>
            <w:tcBorders>
              <w:top w:val="single" w:color="auto" w:sz="4" w:space="0"/>
              <w:left w:val="single" w:color="auto" w:sz="4" w:space="0"/>
              <w:right w:val="single" w:color="auto" w:sz="4" w:space="0"/>
            </w:tcBorders>
            <w:vAlign w:val="center"/>
          </w:tcPr>
          <w:p w14:paraId="78E127BD">
            <w:pPr>
              <w:spacing w:line="0" w:lineRule="atLeast"/>
              <w:jc w:val="center"/>
              <w:rPr>
                <w:color w:val="auto"/>
                <w:sz w:val="24"/>
                <w:highlight w:val="none"/>
              </w:rPr>
            </w:pPr>
          </w:p>
        </w:tc>
        <w:tc>
          <w:tcPr>
            <w:tcW w:w="3112" w:type="dxa"/>
            <w:tcBorders>
              <w:top w:val="single" w:color="auto" w:sz="4" w:space="0"/>
              <w:left w:val="single" w:color="auto" w:sz="4" w:space="0"/>
              <w:right w:val="single" w:color="auto" w:sz="4" w:space="0"/>
            </w:tcBorders>
            <w:vAlign w:val="center"/>
          </w:tcPr>
          <w:p w14:paraId="5226869C">
            <w:pPr>
              <w:spacing w:line="0" w:lineRule="atLeast"/>
              <w:jc w:val="center"/>
              <w:rPr>
                <w:color w:val="auto"/>
                <w:sz w:val="24"/>
                <w:highlight w:val="none"/>
              </w:rPr>
            </w:pPr>
          </w:p>
        </w:tc>
        <w:tc>
          <w:tcPr>
            <w:tcW w:w="1212" w:type="dxa"/>
            <w:tcBorders>
              <w:top w:val="single" w:color="auto" w:sz="4" w:space="0"/>
              <w:left w:val="single" w:color="auto" w:sz="4" w:space="0"/>
              <w:right w:val="single" w:color="auto" w:sz="4" w:space="0"/>
            </w:tcBorders>
            <w:vAlign w:val="center"/>
          </w:tcPr>
          <w:p w14:paraId="428C1F58">
            <w:pPr>
              <w:spacing w:line="0" w:lineRule="atLeast"/>
              <w:jc w:val="center"/>
              <w:rPr>
                <w:color w:val="auto"/>
                <w:sz w:val="24"/>
                <w:highlight w:val="none"/>
              </w:rPr>
            </w:pPr>
          </w:p>
        </w:tc>
      </w:tr>
      <w:tr w14:paraId="0FA42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shd w:val="clear" w:color="auto" w:fill="auto"/>
            <w:vAlign w:val="center"/>
          </w:tcPr>
          <w:p w14:paraId="443BF903">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合同签订时间、交货</w:t>
            </w:r>
            <w:r>
              <w:rPr>
                <w:rFonts w:hint="eastAsia" w:ascii="宋体" w:hAnsi="宋体" w:cs="宋体"/>
                <w:color w:val="auto"/>
                <w:kern w:val="0"/>
                <w:sz w:val="21"/>
                <w:szCs w:val="21"/>
                <w:highlight w:val="none"/>
                <w:lang w:val="en-US" w:eastAsia="zh-CN"/>
              </w:rPr>
              <w:t>期</w:t>
            </w:r>
            <w:r>
              <w:rPr>
                <w:rFonts w:hint="eastAsia" w:ascii="宋体" w:hAnsi="宋体" w:eastAsia="宋体" w:cs="宋体"/>
                <w:color w:val="auto"/>
                <w:kern w:val="0"/>
                <w:sz w:val="21"/>
                <w:szCs w:val="21"/>
                <w:highlight w:val="none"/>
                <w:lang w:val="en-US" w:eastAsia="zh-CN"/>
              </w:rPr>
              <w:t>及地点</w:t>
            </w:r>
          </w:p>
        </w:tc>
        <w:tc>
          <w:tcPr>
            <w:tcW w:w="2785" w:type="dxa"/>
            <w:tcBorders>
              <w:top w:val="single" w:color="auto" w:sz="4" w:space="0"/>
              <w:left w:val="single" w:color="auto" w:sz="4" w:space="0"/>
              <w:right w:val="single" w:color="auto" w:sz="4" w:space="0"/>
            </w:tcBorders>
            <w:vAlign w:val="center"/>
          </w:tcPr>
          <w:p w14:paraId="4B492B9F">
            <w:pPr>
              <w:spacing w:line="0" w:lineRule="atLeast"/>
              <w:jc w:val="center"/>
              <w:rPr>
                <w:color w:val="auto"/>
                <w:sz w:val="24"/>
                <w:highlight w:val="none"/>
              </w:rPr>
            </w:pPr>
          </w:p>
        </w:tc>
        <w:tc>
          <w:tcPr>
            <w:tcW w:w="3112" w:type="dxa"/>
            <w:tcBorders>
              <w:top w:val="single" w:color="auto" w:sz="4" w:space="0"/>
              <w:left w:val="single" w:color="auto" w:sz="4" w:space="0"/>
              <w:right w:val="single" w:color="auto" w:sz="4" w:space="0"/>
            </w:tcBorders>
            <w:vAlign w:val="center"/>
          </w:tcPr>
          <w:p w14:paraId="1FD92065">
            <w:pPr>
              <w:spacing w:line="0" w:lineRule="atLeast"/>
              <w:jc w:val="center"/>
              <w:rPr>
                <w:color w:val="auto"/>
                <w:sz w:val="24"/>
                <w:highlight w:val="none"/>
              </w:rPr>
            </w:pPr>
          </w:p>
        </w:tc>
        <w:tc>
          <w:tcPr>
            <w:tcW w:w="1212" w:type="dxa"/>
            <w:tcBorders>
              <w:top w:val="single" w:color="auto" w:sz="4" w:space="0"/>
              <w:left w:val="single" w:color="auto" w:sz="4" w:space="0"/>
              <w:right w:val="single" w:color="auto" w:sz="4" w:space="0"/>
            </w:tcBorders>
            <w:vAlign w:val="center"/>
          </w:tcPr>
          <w:p w14:paraId="66F54BB4">
            <w:pPr>
              <w:spacing w:line="0" w:lineRule="atLeast"/>
              <w:jc w:val="center"/>
              <w:rPr>
                <w:color w:val="auto"/>
                <w:sz w:val="24"/>
                <w:highlight w:val="none"/>
              </w:rPr>
            </w:pPr>
          </w:p>
        </w:tc>
      </w:tr>
      <w:tr w14:paraId="56F58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6013D049">
            <w:pPr>
              <w:widowControl/>
              <w:snapToGrid w:val="0"/>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质量要求</w:t>
            </w:r>
          </w:p>
        </w:tc>
        <w:tc>
          <w:tcPr>
            <w:tcW w:w="2785" w:type="dxa"/>
            <w:tcBorders>
              <w:top w:val="single" w:color="auto" w:sz="4" w:space="0"/>
              <w:left w:val="single" w:color="auto" w:sz="4" w:space="0"/>
              <w:bottom w:val="single" w:color="auto" w:sz="4" w:space="0"/>
              <w:right w:val="single" w:color="auto" w:sz="4" w:space="0"/>
            </w:tcBorders>
            <w:vAlign w:val="center"/>
          </w:tcPr>
          <w:p w14:paraId="5DA53848">
            <w:pPr>
              <w:spacing w:line="0" w:lineRule="atLeast"/>
              <w:jc w:val="center"/>
              <w:rPr>
                <w:color w:val="auto"/>
                <w:sz w:val="24"/>
                <w:highlight w:val="none"/>
              </w:rPr>
            </w:pPr>
          </w:p>
        </w:tc>
        <w:tc>
          <w:tcPr>
            <w:tcW w:w="3112" w:type="dxa"/>
            <w:tcBorders>
              <w:top w:val="single" w:color="auto" w:sz="4" w:space="0"/>
              <w:left w:val="single" w:color="auto" w:sz="4" w:space="0"/>
              <w:bottom w:val="single" w:color="auto" w:sz="4" w:space="0"/>
              <w:right w:val="single" w:color="auto" w:sz="4" w:space="0"/>
            </w:tcBorders>
            <w:vAlign w:val="center"/>
          </w:tcPr>
          <w:p w14:paraId="013BFF29">
            <w:pPr>
              <w:spacing w:line="0" w:lineRule="atLeast"/>
              <w:jc w:val="center"/>
              <w:rPr>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032CBC98">
            <w:pPr>
              <w:spacing w:line="0" w:lineRule="atLeast"/>
              <w:jc w:val="center"/>
              <w:rPr>
                <w:color w:val="auto"/>
                <w:sz w:val="24"/>
                <w:highlight w:val="none"/>
              </w:rPr>
            </w:pPr>
          </w:p>
        </w:tc>
      </w:tr>
      <w:tr w14:paraId="62389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37BC2B6F">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付款方式</w:t>
            </w:r>
          </w:p>
        </w:tc>
        <w:tc>
          <w:tcPr>
            <w:tcW w:w="2785" w:type="dxa"/>
            <w:tcBorders>
              <w:top w:val="single" w:color="auto" w:sz="4" w:space="0"/>
              <w:left w:val="single" w:color="auto" w:sz="4" w:space="0"/>
              <w:bottom w:val="single" w:color="auto" w:sz="4" w:space="0"/>
              <w:right w:val="single" w:color="auto" w:sz="4" w:space="0"/>
            </w:tcBorders>
            <w:vAlign w:val="center"/>
          </w:tcPr>
          <w:p w14:paraId="7DDF1327">
            <w:pPr>
              <w:spacing w:line="0" w:lineRule="atLeast"/>
              <w:jc w:val="center"/>
              <w:rPr>
                <w:color w:val="auto"/>
                <w:sz w:val="24"/>
                <w:highlight w:val="none"/>
              </w:rPr>
            </w:pPr>
          </w:p>
        </w:tc>
        <w:tc>
          <w:tcPr>
            <w:tcW w:w="3112" w:type="dxa"/>
            <w:tcBorders>
              <w:top w:val="single" w:color="auto" w:sz="4" w:space="0"/>
              <w:left w:val="single" w:color="auto" w:sz="4" w:space="0"/>
              <w:bottom w:val="single" w:color="auto" w:sz="4" w:space="0"/>
              <w:right w:val="single" w:color="auto" w:sz="4" w:space="0"/>
            </w:tcBorders>
            <w:vAlign w:val="center"/>
          </w:tcPr>
          <w:p w14:paraId="0EFAC87B">
            <w:pPr>
              <w:spacing w:line="0" w:lineRule="atLeast"/>
              <w:jc w:val="center"/>
              <w:rPr>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4C9DF1D8">
            <w:pPr>
              <w:spacing w:line="0" w:lineRule="atLeast"/>
              <w:jc w:val="center"/>
              <w:rPr>
                <w:color w:val="auto"/>
                <w:sz w:val="24"/>
                <w:highlight w:val="none"/>
              </w:rPr>
            </w:pPr>
          </w:p>
        </w:tc>
      </w:tr>
      <w:tr w14:paraId="2C80E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005DB5D4">
            <w:pPr>
              <w:widowControl/>
              <w:snapToGrid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售后服务保障或维修响应时间要求</w:t>
            </w:r>
          </w:p>
        </w:tc>
        <w:tc>
          <w:tcPr>
            <w:tcW w:w="2785" w:type="dxa"/>
            <w:tcBorders>
              <w:top w:val="single" w:color="auto" w:sz="4" w:space="0"/>
              <w:left w:val="single" w:color="auto" w:sz="4" w:space="0"/>
              <w:bottom w:val="single" w:color="auto" w:sz="4" w:space="0"/>
              <w:right w:val="single" w:color="auto" w:sz="4" w:space="0"/>
            </w:tcBorders>
            <w:vAlign w:val="center"/>
          </w:tcPr>
          <w:p w14:paraId="00C2769D">
            <w:pPr>
              <w:spacing w:line="0" w:lineRule="atLeast"/>
              <w:jc w:val="center"/>
              <w:rPr>
                <w:color w:val="auto"/>
                <w:sz w:val="24"/>
                <w:highlight w:val="none"/>
              </w:rPr>
            </w:pPr>
          </w:p>
        </w:tc>
        <w:tc>
          <w:tcPr>
            <w:tcW w:w="3112" w:type="dxa"/>
            <w:tcBorders>
              <w:top w:val="single" w:color="auto" w:sz="4" w:space="0"/>
              <w:left w:val="single" w:color="auto" w:sz="4" w:space="0"/>
              <w:bottom w:val="single" w:color="auto" w:sz="4" w:space="0"/>
              <w:right w:val="single" w:color="auto" w:sz="4" w:space="0"/>
            </w:tcBorders>
            <w:vAlign w:val="center"/>
          </w:tcPr>
          <w:p w14:paraId="68410439">
            <w:pPr>
              <w:spacing w:line="0" w:lineRule="atLeast"/>
              <w:jc w:val="center"/>
              <w:rPr>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365A0561">
            <w:pPr>
              <w:spacing w:line="0" w:lineRule="atLeast"/>
              <w:jc w:val="center"/>
              <w:rPr>
                <w:color w:val="auto"/>
                <w:sz w:val="24"/>
                <w:highlight w:val="none"/>
              </w:rPr>
            </w:pPr>
          </w:p>
        </w:tc>
      </w:tr>
      <w:tr w14:paraId="5D73F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14:paraId="1A5EDFB2">
            <w:pPr>
              <w:spacing w:line="0" w:lineRule="atLeast"/>
              <w:jc w:val="center"/>
              <w:rPr>
                <w:color w:val="auto"/>
                <w:sz w:val="24"/>
                <w:highlight w:val="none"/>
              </w:rPr>
            </w:pPr>
            <w:r>
              <w:rPr>
                <w:rFonts w:hint="eastAsia" w:ascii="宋体" w:hAnsi="宋体" w:eastAsia="宋体" w:cs="宋体"/>
                <w:color w:val="auto"/>
                <w:kern w:val="0"/>
                <w:sz w:val="21"/>
                <w:szCs w:val="21"/>
                <w:highlight w:val="none"/>
                <w:lang w:val="en-US" w:eastAsia="zh-CN"/>
              </w:rPr>
              <w:t>其他要求</w:t>
            </w:r>
          </w:p>
        </w:tc>
        <w:tc>
          <w:tcPr>
            <w:tcW w:w="2785" w:type="dxa"/>
            <w:tcBorders>
              <w:top w:val="single" w:color="auto" w:sz="4" w:space="0"/>
              <w:left w:val="single" w:color="auto" w:sz="4" w:space="0"/>
              <w:bottom w:val="single" w:color="auto" w:sz="4" w:space="0"/>
              <w:right w:val="single" w:color="auto" w:sz="4" w:space="0"/>
            </w:tcBorders>
            <w:vAlign w:val="center"/>
          </w:tcPr>
          <w:p w14:paraId="17588D40">
            <w:pPr>
              <w:spacing w:line="0" w:lineRule="atLeast"/>
              <w:jc w:val="center"/>
              <w:rPr>
                <w:color w:val="auto"/>
                <w:sz w:val="24"/>
                <w:highlight w:val="none"/>
              </w:rPr>
            </w:pPr>
          </w:p>
        </w:tc>
        <w:tc>
          <w:tcPr>
            <w:tcW w:w="3112" w:type="dxa"/>
            <w:tcBorders>
              <w:top w:val="single" w:color="auto" w:sz="4" w:space="0"/>
              <w:left w:val="single" w:color="auto" w:sz="4" w:space="0"/>
              <w:bottom w:val="single" w:color="auto" w:sz="4" w:space="0"/>
              <w:right w:val="single" w:color="auto" w:sz="4" w:space="0"/>
            </w:tcBorders>
            <w:vAlign w:val="center"/>
          </w:tcPr>
          <w:p w14:paraId="24C64094">
            <w:pPr>
              <w:spacing w:line="0" w:lineRule="atLeast"/>
              <w:jc w:val="center"/>
              <w:rPr>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2B2C615E">
            <w:pPr>
              <w:spacing w:line="0" w:lineRule="atLeast"/>
              <w:jc w:val="center"/>
              <w:rPr>
                <w:color w:val="auto"/>
                <w:sz w:val="24"/>
                <w:highlight w:val="none"/>
              </w:rPr>
            </w:pPr>
          </w:p>
        </w:tc>
      </w:tr>
      <w:tr w14:paraId="392B2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14:paraId="04A2A972">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w:t>
            </w:r>
          </w:p>
        </w:tc>
        <w:tc>
          <w:tcPr>
            <w:tcW w:w="2785" w:type="dxa"/>
            <w:tcBorders>
              <w:top w:val="single" w:color="auto" w:sz="4" w:space="0"/>
              <w:left w:val="single" w:color="auto" w:sz="4" w:space="0"/>
              <w:bottom w:val="single" w:color="auto" w:sz="4" w:space="0"/>
              <w:right w:val="single" w:color="auto" w:sz="4" w:space="0"/>
            </w:tcBorders>
            <w:vAlign w:val="center"/>
          </w:tcPr>
          <w:p w14:paraId="32A02570">
            <w:pPr>
              <w:spacing w:line="0" w:lineRule="atLeast"/>
              <w:jc w:val="center"/>
              <w:rPr>
                <w:color w:val="auto"/>
                <w:sz w:val="24"/>
                <w:highlight w:val="none"/>
              </w:rPr>
            </w:pPr>
          </w:p>
        </w:tc>
        <w:tc>
          <w:tcPr>
            <w:tcW w:w="3112" w:type="dxa"/>
            <w:tcBorders>
              <w:top w:val="single" w:color="auto" w:sz="4" w:space="0"/>
              <w:left w:val="single" w:color="auto" w:sz="4" w:space="0"/>
              <w:bottom w:val="single" w:color="auto" w:sz="4" w:space="0"/>
              <w:right w:val="single" w:color="auto" w:sz="4" w:space="0"/>
            </w:tcBorders>
            <w:vAlign w:val="center"/>
          </w:tcPr>
          <w:p w14:paraId="53C8F68E">
            <w:pPr>
              <w:spacing w:line="0" w:lineRule="atLeast"/>
              <w:jc w:val="center"/>
              <w:rPr>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40BB8244">
            <w:pPr>
              <w:spacing w:line="0" w:lineRule="atLeast"/>
              <w:jc w:val="center"/>
              <w:rPr>
                <w:color w:val="auto"/>
                <w:sz w:val="24"/>
                <w:highlight w:val="none"/>
              </w:rPr>
            </w:pPr>
          </w:p>
        </w:tc>
      </w:tr>
      <w:tr w14:paraId="0EB7D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47" w:type="dxa"/>
            <w:tcBorders>
              <w:top w:val="single" w:color="auto" w:sz="4" w:space="0"/>
              <w:left w:val="single" w:color="auto" w:sz="4" w:space="0"/>
              <w:bottom w:val="single" w:color="auto" w:sz="4" w:space="0"/>
              <w:right w:val="single" w:color="auto" w:sz="4" w:space="0"/>
            </w:tcBorders>
            <w:vAlign w:val="center"/>
          </w:tcPr>
          <w:p w14:paraId="6D437456">
            <w:pPr>
              <w:spacing w:line="0" w:lineRule="atLeast"/>
              <w:jc w:val="center"/>
              <w:rPr>
                <w:color w:val="auto"/>
                <w:sz w:val="24"/>
                <w:highlight w:val="none"/>
              </w:rPr>
            </w:pPr>
          </w:p>
        </w:tc>
        <w:tc>
          <w:tcPr>
            <w:tcW w:w="2785" w:type="dxa"/>
            <w:tcBorders>
              <w:top w:val="single" w:color="auto" w:sz="4" w:space="0"/>
              <w:left w:val="single" w:color="auto" w:sz="4" w:space="0"/>
              <w:bottom w:val="single" w:color="auto" w:sz="4" w:space="0"/>
              <w:right w:val="single" w:color="auto" w:sz="4" w:space="0"/>
            </w:tcBorders>
            <w:vAlign w:val="center"/>
          </w:tcPr>
          <w:p w14:paraId="0BD30E87">
            <w:pPr>
              <w:spacing w:line="0" w:lineRule="atLeast"/>
              <w:jc w:val="center"/>
              <w:rPr>
                <w:color w:val="auto"/>
                <w:sz w:val="24"/>
                <w:highlight w:val="none"/>
              </w:rPr>
            </w:pPr>
          </w:p>
        </w:tc>
        <w:tc>
          <w:tcPr>
            <w:tcW w:w="3112" w:type="dxa"/>
            <w:tcBorders>
              <w:top w:val="single" w:color="auto" w:sz="4" w:space="0"/>
              <w:left w:val="single" w:color="auto" w:sz="4" w:space="0"/>
              <w:bottom w:val="single" w:color="auto" w:sz="4" w:space="0"/>
              <w:right w:val="single" w:color="auto" w:sz="4" w:space="0"/>
            </w:tcBorders>
            <w:vAlign w:val="center"/>
          </w:tcPr>
          <w:p w14:paraId="6AD28B24">
            <w:pPr>
              <w:spacing w:line="0" w:lineRule="atLeast"/>
              <w:jc w:val="center"/>
              <w:rPr>
                <w:color w:val="auto"/>
                <w:sz w:val="24"/>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14:paraId="73A71E8E">
            <w:pPr>
              <w:spacing w:line="0" w:lineRule="atLeast"/>
              <w:jc w:val="center"/>
              <w:rPr>
                <w:color w:val="auto"/>
                <w:sz w:val="24"/>
                <w:highlight w:val="none"/>
              </w:rPr>
            </w:pPr>
          </w:p>
        </w:tc>
      </w:tr>
    </w:tbl>
    <w:p w14:paraId="0CA49894">
      <w:pPr>
        <w:widowControl/>
        <w:wordWrap w:val="0"/>
        <w:snapToGrid w:val="0"/>
        <w:spacing w:before="50" w:line="480" w:lineRule="auto"/>
        <w:jc w:val="left"/>
        <w:rPr>
          <w:rFonts w:ascii="仿宋_GB2312" w:cs="宋体"/>
          <w:color w:val="auto"/>
          <w:kern w:val="0"/>
          <w:sz w:val="24"/>
          <w:highlight w:val="none"/>
        </w:rPr>
      </w:pPr>
    </w:p>
    <w:p w14:paraId="5037BE97">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en-US" w:eastAsia="zh-CN"/>
        </w:rPr>
        <w:t>名称</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（全称并加盖公章）</w:t>
      </w:r>
    </w:p>
    <w:p w14:paraId="63B85001">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14:paraId="732A910A">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2BC123E2">
      <w:pPr>
        <w:widowControl/>
        <w:shd w:val="clear" w:color="auto" w:fill="FFFFFF"/>
        <w:spacing w:line="460" w:lineRule="atLeast"/>
        <w:ind w:firstLine="480"/>
        <w:rPr>
          <w:rFonts w:hint="eastAsia" w:ascii="宋体" w:hAnsi="宋体" w:eastAsia="宋体" w:cs="宋体"/>
          <w:color w:val="auto"/>
          <w:kern w:val="0"/>
          <w:sz w:val="21"/>
          <w:szCs w:val="21"/>
          <w:highlight w:val="none"/>
        </w:rPr>
      </w:pPr>
    </w:p>
    <w:p w14:paraId="71FF32F8">
      <w:pP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br w:type="page"/>
      </w:r>
    </w:p>
    <w:p w14:paraId="6794D076">
      <w:pPr>
        <w:widowControl/>
        <w:shd w:val="clear" w:color="auto" w:fill="FFFFFF"/>
        <w:spacing w:line="360" w:lineRule="auto"/>
        <w:jc w:val="left"/>
        <w:rPr>
          <w:rFonts w:eastAsia="‹ΟGB2312"/>
          <w:b/>
          <w:bCs/>
          <w:color w:val="auto"/>
          <w:kern w:val="0"/>
          <w:sz w:val="24"/>
          <w:highlight w:val="none"/>
        </w:rPr>
      </w:pPr>
      <w:r>
        <w:rPr>
          <w:rFonts w:hint="eastAsia" w:ascii="宋体" w:hAnsi="宋体" w:cs="宋体"/>
          <w:b/>
          <w:bCs/>
          <w:color w:val="auto"/>
          <w:kern w:val="0"/>
          <w:sz w:val="24"/>
          <w:highlight w:val="none"/>
        </w:rPr>
        <w:t>附件</w:t>
      </w:r>
      <w:r>
        <w:rPr>
          <w:rFonts w:hint="eastAsia" w:ascii="宋体" w:hAnsi="宋体" w:cs="宋体"/>
          <w:b/>
          <w:bCs/>
          <w:color w:val="auto"/>
          <w:kern w:val="0"/>
          <w:sz w:val="24"/>
          <w:highlight w:val="none"/>
          <w:lang w:val="en-US" w:eastAsia="zh-CN"/>
        </w:rPr>
        <w:t>10</w:t>
      </w:r>
      <w:r>
        <w:rPr>
          <w:rFonts w:hint="eastAsia"/>
          <w:b/>
          <w:bCs/>
          <w:color w:val="auto"/>
          <w:kern w:val="0"/>
          <w:sz w:val="24"/>
          <w:highlight w:val="none"/>
        </w:rPr>
        <w:t xml:space="preserve">                       </w:t>
      </w:r>
      <w:r>
        <w:rPr>
          <w:rFonts w:hint="eastAsia" w:eastAsia="‹ΟGB2312"/>
          <w:b/>
          <w:bCs/>
          <w:color w:val="auto"/>
          <w:kern w:val="0"/>
          <w:sz w:val="24"/>
          <w:highlight w:val="none"/>
        </w:rPr>
        <w:t>证明文件</w:t>
      </w:r>
    </w:p>
    <w:p w14:paraId="1E7F73ED">
      <w:pPr>
        <w:bidi w:val="0"/>
        <w:rPr>
          <w:rFonts w:hint="eastAsia"/>
          <w:color w:val="auto"/>
          <w:highlight w:val="none"/>
        </w:rPr>
      </w:pPr>
    </w:p>
    <w:p w14:paraId="31F9CBEF">
      <w:pPr>
        <w:widowControl/>
        <w:shd w:val="clear" w:color="auto" w:fill="FFFFFF"/>
        <w:spacing w:line="460" w:lineRule="atLeast"/>
        <w:ind w:firstLine="472"/>
        <w:jc w:val="center"/>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lang w:val="en-US" w:eastAsia="zh-CN"/>
        </w:rPr>
        <w:t>10</w:t>
      </w:r>
      <w:r>
        <w:rPr>
          <w:rFonts w:hint="eastAsia" w:ascii="宋体" w:hAnsi="宋体"/>
          <w:b/>
          <w:bCs/>
          <w:color w:val="auto"/>
          <w:kern w:val="0"/>
          <w:sz w:val="21"/>
          <w:szCs w:val="21"/>
          <w:highlight w:val="none"/>
        </w:rPr>
        <w:t>.1</w:t>
      </w:r>
      <w:r>
        <w:rPr>
          <w:rFonts w:hint="eastAsia" w:ascii="宋体" w:hAnsi="宋体"/>
          <w:b/>
          <w:bCs/>
          <w:color w:val="auto"/>
          <w:kern w:val="0"/>
          <w:sz w:val="21"/>
          <w:szCs w:val="21"/>
          <w:highlight w:val="none"/>
          <w:lang w:val="en-US" w:eastAsia="zh-CN"/>
        </w:rPr>
        <w:t xml:space="preserve">  驻马店市政府采购供应商信用承诺函</w:t>
      </w:r>
    </w:p>
    <w:p w14:paraId="7D7CF14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1"/>
          <w:szCs w:val="21"/>
          <w:highlight w:val="none"/>
          <w:lang w:val="en-US" w:eastAsia="zh-CN"/>
        </w:rPr>
      </w:pPr>
    </w:p>
    <w:p w14:paraId="27A5F2F2">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161" w:beforeLines="50"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致(采购人或政府采购代理机构):</w:t>
      </w:r>
    </w:p>
    <w:p w14:paraId="607C0084">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单位名称(自然人姓名):</w:t>
      </w:r>
    </w:p>
    <w:p w14:paraId="2B13E1B0">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统一社会信用代码(身份证号码):</w:t>
      </w:r>
    </w:p>
    <w:p w14:paraId="47CE027C">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法定代表人(负责人):</w:t>
      </w:r>
    </w:p>
    <w:p w14:paraId="32E8D377">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联系地址和电话:</w:t>
      </w:r>
    </w:p>
    <w:p w14:paraId="17D8C3C2">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我单位(本人)符合《中华人民共和国政府采购法》第二十二条规定的条件:</w:t>
      </w:r>
    </w:p>
    <w:p w14:paraId="6D8C0872">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(一)具有独立承担民事责任的能力</w:t>
      </w:r>
      <w:r>
        <w:rPr>
          <w:rFonts w:hint="eastAsia" w:ascii="宋体" w:hAnsi="宋体" w:eastAsia="宋体" w:cs="宋体"/>
          <w:b w:val="0"/>
          <w:bCs w:val="0"/>
          <w:color w:val="auto"/>
          <w:sz w:val="21"/>
          <w:szCs w:val="21"/>
          <w:highlight w:val="none"/>
          <w:lang w:eastAsia="zh-CN"/>
        </w:rPr>
        <w:t>；</w:t>
      </w:r>
    </w:p>
    <w:p w14:paraId="0912C88C">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(二)具有良好的商业信誉和健全的财务会计制度</w:t>
      </w:r>
      <w:r>
        <w:rPr>
          <w:rFonts w:hint="eastAsia" w:ascii="宋体" w:hAnsi="宋体" w:eastAsia="宋体" w:cs="宋体"/>
          <w:b w:val="0"/>
          <w:bCs w:val="0"/>
          <w:color w:val="auto"/>
          <w:sz w:val="21"/>
          <w:szCs w:val="21"/>
          <w:highlight w:val="none"/>
          <w:lang w:eastAsia="zh-CN"/>
        </w:rPr>
        <w:t>；</w:t>
      </w:r>
    </w:p>
    <w:p w14:paraId="2735D0CB">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(三)具有履行合同所必需的设备和专业技术能力</w:t>
      </w:r>
      <w:r>
        <w:rPr>
          <w:rFonts w:hint="eastAsia" w:ascii="宋体" w:hAnsi="宋体" w:eastAsia="宋体" w:cs="宋体"/>
          <w:b w:val="0"/>
          <w:bCs w:val="0"/>
          <w:color w:val="auto"/>
          <w:sz w:val="21"/>
          <w:szCs w:val="21"/>
          <w:highlight w:val="none"/>
          <w:lang w:eastAsia="zh-CN"/>
        </w:rPr>
        <w:t>；</w:t>
      </w:r>
    </w:p>
    <w:p w14:paraId="273818BC">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(四)有依法缴纳税收和社会保障资金的良好记录</w:t>
      </w:r>
      <w:r>
        <w:rPr>
          <w:rFonts w:hint="eastAsia" w:ascii="宋体" w:hAnsi="宋体" w:eastAsia="宋体" w:cs="宋体"/>
          <w:b w:val="0"/>
          <w:bCs w:val="0"/>
          <w:color w:val="auto"/>
          <w:sz w:val="21"/>
          <w:szCs w:val="21"/>
          <w:highlight w:val="none"/>
          <w:lang w:eastAsia="zh-CN"/>
        </w:rPr>
        <w:t>；</w:t>
      </w:r>
    </w:p>
    <w:p w14:paraId="065CD1A7">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(五)参加政府采购活动前三年内，在经营活动中没有重大违法记录</w:t>
      </w:r>
      <w:r>
        <w:rPr>
          <w:rFonts w:hint="eastAsia" w:ascii="宋体" w:hAnsi="宋体" w:eastAsia="宋体" w:cs="宋体"/>
          <w:b w:val="0"/>
          <w:bCs w:val="0"/>
          <w:color w:val="auto"/>
          <w:sz w:val="21"/>
          <w:szCs w:val="21"/>
          <w:highlight w:val="none"/>
          <w:lang w:eastAsia="zh-CN"/>
        </w:rPr>
        <w:t>；</w:t>
      </w:r>
    </w:p>
    <w:p w14:paraId="60142A08">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(六)未被列入严重失信主体名单、失信被执行人、税收违法黑名单、政府采购严重违法失信行为记录名单，未曾作出虚假承诺</w:t>
      </w:r>
      <w:r>
        <w:rPr>
          <w:rFonts w:hint="eastAsia" w:ascii="宋体" w:hAnsi="宋体" w:eastAsia="宋体" w:cs="宋体"/>
          <w:b w:val="0"/>
          <w:bCs w:val="0"/>
          <w:color w:val="auto"/>
          <w:sz w:val="21"/>
          <w:szCs w:val="21"/>
          <w:highlight w:val="none"/>
          <w:lang w:eastAsia="zh-CN"/>
        </w:rPr>
        <w:t>；</w:t>
      </w:r>
    </w:p>
    <w:p w14:paraId="469ECB50">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(七)符合法律、行政法规规定的其他条件。</w:t>
      </w:r>
    </w:p>
    <w:p w14:paraId="227F3B7D">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我单位(本人)保证上述承诺事项的真实性，如有弄虚作假或其他违法违规行为，愿意承担一切法律责任，并承担因此所造成的一切损失。</w:t>
      </w:r>
    </w:p>
    <w:p w14:paraId="0A808393">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p>
    <w:p w14:paraId="46A6AAD8">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供应商名称(盖章):</w:t>
      </w:r>
    </w:p>
    <w:p w14:paraId="5A3D9009">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法定代表人、负责人、自然人或授权代表(签字):</w:t>
      </w:r>
    </w:p>
    <w:p w14:paraId="3B5A2894">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年</w:t>
      </w:r>
      <w:r>
        <w:rPr>
          <w:rFonts w:hint="eastAsia" w:ascii="宋体" w:hAnsi="宋体" w:eastAsia="宋体" w:cs="宋体"/>
          <w:b w:val="0"/>
          <w:bCs w:val="0"/>
          <w:color w:val="auto"/>
          <w:sz w:val="21"/>
          <w:szCs w:val="21"/>
          <w:highlight w:val="none"/>
          <w:lang w:val="en-US" w:eastAsia="zh-CN"/>
        </w:rPr>
        <w:t xml:space="preserve">  月</w:t>
      </w:r>
      <w:r>
        <w:rPr>
          <w:rFonts w:hint="eastAsia" w:ascii="宋体" w:hAnsi="宋体" w:eastAsia="宋体" w:cs="宋体"/>
          <w:b w:val="0"/>
          <w:bCs w:val="0"/>
          <w:color w:val="auto"/>
          <w:sz w:val="21"/>
          <w:szCs w:val="21"/>
          <w:highlight w:val="none"/>
        </w:rPr>
        <w:t xml:space="preserve">  日 </w:t>
      </w:r>
    </w:p>
    <w:p w14:paraId="28645227">
      <w:pPr>
        <w:pStyle w:val="39"/>
        <w:keepNext w:val="0"/>
        <w:keepLines w:val="0"/>
        <w:pageBreakBefore w:val="0"/>
        <w:widowControl w:val="0"/>
        <w:tabs>
          <w:tab w:val="left" w:pos="720"/>
          <w:tab w:val="left" w:pos="900"/>
        </w:tabs>
        <w:kinsoku/>
        <w:wordWrap w:val="0"/>
        <w:overflowPunct/>
        <w:topLinePunct/>
        <w:autoSpaceDE/>
        <w:autoSpaceDN/>
        <w:bidi w:val="0"/>
        <w:adjustRightInd/>
        <w:snapToGrid w:val="0"/>
        <w:spacing w:beforeAutospacing="0" w:after="0" w:afterAutospacing="0" w:line="360" w:lineRule="auto"/>
        <w:ind w:lef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注:1.供应商须在投标(响应性)文件中按此模板提供承诺函，未提供视为未实质性响应</w:t>
      </w:r>
      <w:r>
        <w:rPr>
          <w:rFonts w:hint="eastAsia" w:ascii="宋体" w:hAnsi="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文件要求，按无效投标(响应)处理。</w:t>
      </w:r>
    </w:p>
    <w:p w14:paraId="60211654">
      <w:pPr>
        <w:keepNext w:val="0"/>
        <w:keepLines w:val="0"/>
        <w:pageBreakBefore w:val="0"/>
        <w:widowControl w:val="0"/>
        <w:kinsoku/>
        <w:wordWrap w:val="0"/>
        <w:overflowPunct/>
        <w:topLinePunct/>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供应商的法定代表人或者授权代表的签字或盖章应真实、有效，如由授权代表签字或盖章的，应提供“法定代表人授权书”</w:t>
      </w:r>
      <w:r>
        <w:rPr>
          <w:rFonts w:hint="eastAsia" w:ascii="宋体" w:hAnsi="宋体" w:eastAsia="宋体" w:cs="宋体"/>
          <w:color w:val="auto"/>
          <w:kern w:val="0"/>
          <w:sz w:val="21"/>
          <w:szCs w:val="21"/>
          <w:highlight w:val="none"/>
          <w:lang w:val="en-US" w:eastAsia="zh-CN"/>
        </w:rPr>
        <w:t>。</w:t>
      </w:r>
    </w:p>
    <w:p w14:paraId="0204D12C">
      <w:pPr>
        <w:bidi w:val="0"/>
        <w:rPr>
          <w:rFonts w:hint="eastAsia"/>
          <w:color w:val="auto"/>
          <w:highlight w:val="none"/>
        </w:rPr>
      </w:pPr>
      <w:r>
        <w:rPr>
          <w:rFonts w:hint="eastAsia"/>
          <w:color w:val="auto"/>
          <w:highlight w:val="none"/>
        </w:rPr>
        <w:br w:type="page"/>
      </w:r>
    </w:p>
    <w:p w14:paraId="0211706F">
      <w:pPr>
        <w:bidi w:val="0"/>
        <w:rPr>
          <w:rFonts w:hint="default"/>
          <w:color w:val="auto"/>
          <w:highlight w:val="none"/>
          <w:lang w:val="en-US" w:eastAsia="zh-CN"/>
        </w:rPr>
      </w:pPr>
    </w:p>
    <w:p w14:paraId="42C24CE4">
      <w:pPr>
        <w:widowControl/>
        <w:shd w:val="clear" w:color="auto" w:fill="FFFFFF"/>
        <w:spacing w:line="460" w:lineRule="atLeast"/>
        <w:ind w:firstLine="472"/>
        <w:jc w:val="left"/>
        <w:rPr>
          <w:rFonts w:hint="eastAsia" w:ascii="宋体" w:hAnsi="宋体" w:eastAsia="宋体" w:cs="Times New Roman"/>
          <w:b/>
          <w:bCs/>
          <w:color w:val="auto"/>
          <w:kern w:val="0"/>
          <w:sz w:val="21"/>
          <w:szCs w:val="21"/>
          <w:highlight w:val="none"/>
          <w:lang w:val="en-US" w:eastAsia="zh-CN"/>
        </w:rPr>
      </w:pPr>
      <w:r>
        <w:rPr>
          <w:rFonts w:hint="eastAsia" w:ascii="宋体" w:hAnsi="宋体" w:cs="Times New Roman"/>
          <w:b/>
          <w:bCs/>
          <w:color w:val="auto"/>
          <w:kern w:val="0"/>
          <w:sz w:val="21"/>
          <w:szCs w:val="21"/>
          <w:highlight w:val="none"/>
          <w:lang w:val="en-US" w:eastAsia="zh-CN"/>
        </w:rPr>
        <w:t>10</w:t>
      </w:r>
      <w:r>
        <w:rPr>
          <w:rFonts w:hint="eastAsia" w:ascii="宋体" w:hAnsi="宋体" w:eastAsia="宋体" w:cs="Times New Roman"/>
          <w:b/>
          <w:bCs/>
          <w:color w:val="auto"/>
          <w:kern w:val="0"/>
          <w:sz w:val="21"/>
          <w:szCs w:val="21"/>
          <w:highlight w:val="none"/>
          <w:lang w:val="en-US" w:eastAsia="zh-CN"/>
        </w:rPr>
        <w:t>.2 供应商资格证明材料。</w:t>
      </w:r>
    </w:p>
    <w:p w14:paraId="4379D2FC">
      <w:pPr>
        <w:rPr>
          <w:rFonts w:hint="eastAsia"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br w:type="page"/>
      </w:r>
    </w:p>
    <w:p w14:paraId="10D2D194">
      <w:pPr>
        <w:bidi w:val="0"/>
        <w:rPr>
          <w:rFonts w:hint="eastAsia"/>
          <w:color w:val="auto"/>
          <w:highlight w:val="none"/>
          <w:lang w:val="en-US" w:eastAsia="zh-CN"/>
        </w:rPr>
      </w:pPr>
    </w:p>
    <w:p w14:paraId="1FBDE7FF">
      <w:pPr>
        <w:widowControl/>
        <w:shd w:val="clear" w:color="auto" w:fill="FFFFFF"/>
        <w:spacing w:line="460" w:lineRule="atLeast"/>
        <w:ind w:firstLine="472"/>
        <w:jc w:val="left"/>
        <w:rPr>
          <w:rFonts w:hint="eastAsia" w:ascii="宋体" w:hAnsi="宋体" w:eastAsia="宋体" w:cs="Times New Roman"/>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10</w:t>
      </w:r>
      <w:r>
        <w:rPr>
          <w:rFonts w:hint="eastAsia" w:ascii="宋体" w:hAnsi="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3 评分办法中需要提供的证明材料</w:t>
      </w:r>
    </w:p>
    <w:p w14:paraId="20F715BE">
      <w:pPr>
        <w:rPr>
          <w:rFonts w:hint="eastAsia"/>
          <w:color w:val="auto"/>
          <w:highlight w:val="none"/>
          <w:lang w:val="en-US" w:eastAsia="zh-CN"/>
        </w:rPr>
      </w:pPr>
      <w:r>
        <w:rPr>
          <w:rFonts w:hint="eastAsia"/>
          <w:color w:val="auto"/>
          <w:highlight w:val="none"/>
          <w:lang w:val="en-US" w:eastAsia="zh-CN"/>
        </w:rPr>
        <w:br w:type="page"/>
      </w:r>
    </w:p>
    <w:p w14:paraId="271F05D9">
      <w:pPr>
        <w:bidi w:val="0"/>
        <w:rPr>
          <w:rFonts w:hint="eastAsia"/>
          <w:color w:val="auto"/>
          <w:highlight w:val="none"/>
          <w:lang w:val="en-US" w:eastAsia="zh-CN"/>
        </w:rPr>
      </w:pPr>
    </w:p>
    <w:p w14:paraId="623A1295">
      <w:pPr>
        <w:widowControl/>
        <w:shd w:val="clear" w:color="auto" w:fill="FFFFFF"/>
        <w:spacing w:line="460" w:lineRule="atLeast"/>
        <w:ind w:firstLine="472"/>
        <w:jc w:val="left"/>
        <w:rPr>
          <w:rFonts w:hint="default" w:ascii="宋体" w:hAnsi="宋体" w:eastAsia="宋体" w:cs="Times New Roman"/>
          <w:b/>
          <w:bCs/>
          <w:color w:val="auto"/>
          <w:kern w:val="0"/>
          <w:sz w:val="21"/>
          <w:szCs w:val="21"/>
          <w:highlight w:val="none"/>
          <w:lang w:val="en-US" w:eastAsia="zh-CN"/>
        </w:rPr>
      </w:pPr>
      <w:r>
        <w:rPr>
          <w:rFonts w:hint="eastAsia" w:ascii="宋体" w:hAnsi="宋体" w:cs="Times New Roman"/>
          <w:b/>
          <w:bCs/>
          <w:color w:val="auto"/>
          <w:kern w:val="0"/>
          <w:sz w:val="21"/>
          <w:szCs w:val="21"/>
          <w:highlight w:val="none"/>
          <w:lang w:val="en-US" w:eastAsia="zh-CN"/>
        </w:rPr>
        <w:t>10</w:t>
      </w:r>
      <w:r>
        <w:rPr>
          <w:rFonts w:hint="eastAsia" w:ascii="宋体" w:hAnsi="宋体" w:eastAsia="宋体" w:cs="Times New Roman"/>
          <w:b/>
          <w:bCs/>
          <w:color w:val="auto"/>
          <w:kern w:val="0"/>
          <w:sz w:val="21"/>
          <w:szCs w:val="21"/>
          <w:highlight w:val="none"/>
          <w:lang w:val="en-US" w:eastAsia="zh-CN"/>
        </w:rPr>
        <w:t>.</w:t>
      </w:r>
      <w:r>
        <w:rPr>
          <w:rFonts w:hint="eastAsia" w:ascii="宋体" w:hAnsi="宋体" w:cs="Times New Roman"/>
          <w:b/>
          <w:bCs/>
          <w:color w:val="auto"/>
          <w:kern w:val="0"/>
          <w:sz w:val="21"/>
          <w:szCs w:val="21"/>
          <w:highlight w:val="none"/>
          <w:lang w:val="en-US" w:eastAsia="zh-CN"/>
        </w:rPr>
        <w:t>4 供应商认为有必要提供的其他证明材料</w:t>
      </w:r>
    </w:p>
    <w:p w14:paraId="6E190E67">
      <w:pPr>
        <w:widowControl/>
        <w:wordWrap w:val="0"/>
        <w:spacing w:line="360" w:lineRule="auto"/>
        <w:ind w:firstLine="472" w:firstLineChars="196"/>
        <w:jc w:val="left"/>
        <w:rPr>
          <w:rFonts w:hint="eastAsia" w:ascii="宋体" w:hAnsi="宋体" w:cs="宋体"/>
          <w:b/>
          <w:bCs w:val="0"/>
          <w:color w:val="auto"/>
          <w:kern w:val="0"/>
          <w:sz w:val="21"/>
          <w:szCs w:val="21"/>
          <w:highlight w:val="none"/>
        </w:rPr>
      </w:pPr>
      <w:r>
        <w:rPr>
          <w:rFonts w:ascii="‹ΟGB2312" w:eastAsia="‹ΟGB2312"/>
          <w:b/>
          <w:bCs/>
          <w:color w:val="auto"/>
          <w:kern w:val="0"/>
          <w:sz w:val="24"/>
          <w:highlight w:val="none"/>
        </w:rPr>
        <w:br w:type="page"/>
      </w:r>
    </w:p>
    <w:p w14:paraId="51D4EB5C">
      <w:pPr>
        <w:widowControl/>
        <w:shd w:val="clear" w:color="auto" w:fill="FFFFFF"/>
        <w:spacing w:after="240" w:line="460" w:lineRule="atLeast"/>
        <w:jc w:val="center"/>
        <w:rPr>
          <w:rFonts w:hint="eastAsia" w:ascii="宋体" w:hAnsi="宋体" w:eastAsia="宋体" w:cs="宋体"/>
          <w:color w:val="auto"/>
          <w:sz w:val="24"/>
          <w:szCs w:val="24"/>
          <w:highlight w:val="none"/>
        </w:rPr>
      </w:pPr>
      <w:r>
        <w:rPr>
          <w:rFonts w:hint="eastAsia" w:ascii="黑体" w:hAnsi="Times New Roman" w:eastAsia="黑体"/>
          <w:b/>
          <w:color w:val="auto"/>
          <w:sz w:val="24"/>
          <w:szCs w:val="24"/>
          <w:highlight w:val="none"/>
          <w:lang w:val="en-US" w:eastAsia="zh-CN"/>
        </w:rPr>
        <w:t xml:space="preserve">10.5 </w:t>
      </w:r>
      <w:r>
        <w:rPr>
          <w:rFonts w:hint="eastAsia" w:ascii="黑体" w:eastAsia="黑体"/>
          <w:b/>
          <w:color w:val="auto"/>
          <w:sz w:val="24"/>
          <w:szCs w:val="24"/>
          <w:highlight w:val="none"/>
          <w:lang w:val="en-US" w:eastAsia="zh-CN"/>
        </w:rPr>
        <w:t xml:space="preserve"> </w:t>
      </w:r>
      <w:r>
        <w:rPr>
          <w:rFonts w:hint="eastAsia" w:ascii="宋体" w:hAnsi="宋体"/>
          <w:b/>
          <w:bCs/>
          <w:color w:val="auto"/>
          <w:kern w:val="0"/>
          <w:sz w:val="24"/>
          <w:highlight w:val="none"/>
        </w:rPr>
        <w:t>中小企业声明函（只需符合条件的供应商提供）</w:t>
      </w:r>
    </w:p>
    <w:p w14:paraId="33710B5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本公司（联合体）郑重声明，根据《政府采购促进中小企业发展管理办法》（财库﹝2020﹞46 号）的规定，本公司 （联合体）参加</w:t>
      </w:r>
      <w:r>
        <w:rPr>
          <w:rFonts w:hint="eastAsia" w:ascii="宋体" w:hAnsi="宋体" w:eastAsia="宋体" w:cs="宋体"/>
          <w:i w:val="0"/>
          <w:iCs w:val="0"/>
          <w:color w:val="auto"/>
          <w:kern w:val="0"/>
          <w:sz w:val="21"/>
          <w:szCs w:val="21"/>
          <w:highlight w:val="none"/>
          <w:u w:val="single"/>
          <w:lang w:val="en-US" w:eastAsia="zh-CN" w:bidi="ar"/>
        </w:rPr>
        <w:t xml:space="preserve">     （单位名称）</w:t>
      </w:r>
      <w:r>
        <w:rPr>
          <w:rFonts w:hint="eastAsia" w:ascii="宋体" w:hAnsi="宋体" w:eastAsia="宋体" w:cs="宋体"/>
          <w:i w:val="0"/>
          <w:iCs w:val="0"/>
          <w:color w:val="auto"/>
          <w:kern w:val="0"/>
          <w:sz w:val="21"/>
          <w:szCs w:val="21"/>
          <w:highlight w:val="none"/>
          <w:lang w:val="en-US" w:eastAsia="zh-CN" w:bidi="ar"/>
        </w:rPr>
        <w:t>的</w:t>
      </w:r>
      <w:r>
        <w:rPr>
          <w:rFonts w:hint="eastAsia" w:ascii="宋体" w:hAnsi="宋体" w:eastAsia="宋体" w:cs="宋体"/>
          <w:i w:val="0"/>
          <w:iCs w:val="0"/>
          <w:color w:val="auto"/>
          <w:kern w:val="0"/>
          <w:sz w:val="21"/>
          <w:szCs w:val="21"/>
          <w:highlight w:val="none"/>
          <w:u w:val="single"/>
          <w:lang w:val="en-US" w:eastAsia="zh-CN" w:bidi="ar"/>
        </w:rPr>
        <w:t xml:space="preserve">     （项目名称）</w:t>
      </w:r>
      <w:r>
        <w:rPr>
          <w:rFonts w:hint="eastAsia" w:ascii="宋体" w:hAnsi="宋体" w:eastAsia="宋体" w:cs="宋体"/>
          <w:i w:val="0"/>
          <w:iCs w:val="0"/>
          <w:color w:val="auto"/>
          <w:kern w:val="0"/>
          <w:sz w:val="21"/>
          <w:szCs w:val="21"/>
          <w:highlight w:val="none"/>
          <w:lang w:val="en-US" w:eastAsia="zh-CN" w:bidi="ar"/>
        </w:rPr>
        <w:t>采购活动，提供的货物全部由符合政策要求的中小企业制造(或者：服务全部由符合政策要求的中小企业承接</w:t>
      </w:r>
      <w:r>
        <w:rPr>
          <w:rFonts w:hint="eastAsia" w:cs="宋体"/>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。相关企业（含联合体中的中小企业、签订分包意向协议的中小企业） </w:t>
      </w:r>
    </w:p>
    <w:p w14:paraId="312BED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的具体情况如下： </w:t>
      </w:r>
    </w:p>
    <w:p w14:paraId="695CCE4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1. </w:t>
      </w:r>
      <w:r>
        <w:rPr>
          <w:rFonts w:hint="eastAsia" w:ascii="宋体" w:hAnsi="宋体" w:eastAsia="宋体" w:cs="宋体"/>
          <w:i w:val="0"/>
          <w:iCs w:val="0"/>
          <w:color w:val="auto"/>
          <w:kern w:val="0"/>
          <w:sz w:val="21"/>
          <w:szCs w:val="21"/>
          <w:highlight w:val="none"/>
          <w:u w:val="single"/>
          <w:lang w:val="en-US" w:eastAsia="zh-CN" w:bidi="ar"/>
        </w:rPr>
        <w:t xml:space="preserve">（标的名称）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 xml:space="preserve">（采购文件中明确的所属行业） </w:t>
      </w:r>
      <w:r>
        <w:rPr>
          <w:rFonts w:hint="eastAsia" w:ascii="宋体" w:hAnsi="宋体" w:eastAsia="宋体" w:cs="宋体"/>
          <w:i w:val="0"/>
          <w:iCs w:val="0"/>
          <w:color w:val="auto"/>
          <w:kern w:val="0"/>
          <w:sz w:val="21"/>
          <w:szCs w:val="21"/>
          <w:highlight w:val="none"/>
          <w:lang w:val="en-US" w:eastAsia="zh-CN" w:bidi="ar"/>
        </w:rPr>
        <w:t>行业；制造商为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万元①，属于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 xml:space="preserve">； </w:t>
      </w:r>
    </w:p>
    <w:p w14:paraId="566BD81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2. </w:t>
      </w:r>
      <w:r>
        <w:rPr>
          <w:rFonts w:hint="eastAsia" w:ascii="宋体" w:hAnsi="宋体" w:eastAsia="宋体" w:cs="宋体"/>
          <w:i w:val="0"/>
          <w:iCs w:val="0"/>
          <w:color w:val="auto"/>
          <w:kern w:val="0"/>
          <w:sz w:val="21"/>
          <w:szCs w:val="21"/>
          <w:highlight w:val="none"/>
          <w:u w:val="single"/>
          <w:lang w:val="en-US" w:eastAsia="zh-CN" w:bidi="ar"/>
        </w:rPr>
        <w:t xml:space="preserve">（标的名称）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（采购文件中明确的所属行业）</w:t>
      </w:r>
      <w:r>
        <w:rPr>
          <w:rFonts w:hint="eastAsia" w:ascii="宋体" w:hAnsi="宋体" w:eastAsia="宋体" w:cs="宋体"/>
          <w:i w:val="0"/>
          <w:iCs w:val="0"/>
          <w:color w:val="auto"/>
          <w:kern w:val="0"/>
          <w:sz w:val="21"/>
          <w:szCs w:val="21"/>
          <w:highlight w:val="none"/>
          <w:lang w:val="en-US" w:eastAsia="zh-CN" w:bidi="ar"/>
        </w:rPr>
        <w:t>行业；制造商为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 xml:space="preserve">； </w:t>
      </w:r>
    </w:p>
    <w:p w14:paraId="6F174D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w:t>
      </w:r>
    </w:p>
    <w:p w14:paraId="7E26A5A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以上企业，不属于大企业的分支机构，不存在控股股东为大企业的情形，也不存在与大企业的负责人为同一人的情形。</w:t>
      </w:r>
    </w:p>
    <w:p w14:paraId="62F13ED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本企业对上述声明内容的真实性负责。如有虚假，将依法承担相应责任。 </w:t>
      </w:r>
    </w:p>
    <w:p w14:paraId="019D49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p>
    <w:p w14:paraId="51A198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130AD72D">
      <w:pPr>
        <w:keepNext w:val="0"/>
        <w:keepLines w:val="0"/>
        <w:pageBreakBefore w:val="0"/>
        <w:widowControl/>
        <w:suppressLineNumbers w:val="0"/>
        <w:kinsoku/>
        <w:wordWrap/>
        <w:overflowPunct/>
        <w:topLinePunct w:val="0"/>
        <w:autoSpaceDE/>
        <w:autoSpaceDN/>
        <w:bidi w:val="0"/>
        <w:adjustRightInd/>
        <w:snapToGrid/>
        <w:spacing w:line="360" w:lineRule="auto"/>
        <w:ind w:firstLine="5460" w:firstLineChars="26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企业名称（盖章）： </w:t>
      </w:r>
    </w:p>
    <w:p w14:paraId="57844C1B">
      <w:pPr>
        <w:keepNext w:val="0"/>
        <w:keepLines w:val="0"/>
        <w:pageBreakBefore w:val="0"/>
        <w:widowControl/>
        <w:suppressLineNumbers w:val="0"/>
        <w:kinsoku/>
        <w:wordWrap/>
        <w:overflowPunct/>
        <w:topLinePunct w:val="0"/>
        <w:autoSpaceDE/>
        <w:autoSpaceDN/>
        <w:bidi w:val="0"/>
        <w:adjustRightInd/>
        <w:snapToGrid/>
        <w:spacing w:line="360" w:lineRule="auto"/>
        <w:ind w:firstLine="5460" w:firstLineChars="26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日 期： </w:t>
      </w:r>
    </w:p>
    <w:p w14:paraId="291EE6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4E7D7419">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en-US" w:bidi="ar"/>
        </w:rPr>
        <w:t>①</w:t>
      </w:r>
      <w:r>
        <w:rPr>
          <w:rFonts w:hint="eastAsia" w:ascii="宋体" w:hAnsi="宋体" w:eastAsia="宋体" w:cs="宋体"/>
          <w:color w:val="auto"/>
          <w:kern w:val="0"/>
          <w:sz w:val="21"/>
          <w:szCs w:val="21"/>
          <w:highlight w:val="none"/>
          <w:lang w:val="en-US" w:eastAsia="zh-CN" w:bidi="ar"/>
        </w:rPr>
        <w:t>从业人员、营业收入、资产总额填报上一年度数据，无上一年度数据的新成立企业可不填报。</w:t>
      </w:r>
    </w:p>
    <w:p w14:paraId="5C1020C8">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color w:val="auto"/>
          <w:sz w:val="21"/>
          <w:szCs w:val="21"/>
          <w:highlight w:val="none"/>
          <w:lang w:val="en-US" w:eastAsia="en-US"/>
        </w:rPr>
        <w:t>②</w:t>
      </w:r>
      <w:r>
        <w:rPr>
          <w:rFonts w:hint="eastAsia" w:ascii="宋体" w:hAnsi="宋体" w:eastAsia="宋体" w:cs="宋体"/>
          <w:color w:val="auto"/>
          <w:kern w:val="0"/>
          <w:sz w:val="21"/>
          <w:szCs w:val="21"/>
          <w:highlight w:val="none"/>
          <w:lang w:val="en-US" w:eastAsia="zh-CN" w:bidi="ar"/>
        </w:rPr>
        <w:t>供应商提供的货物既有中小企业制造货物，也有大型企业制造货物的，不享受政府采购促进中小企业发展管理办法规定的中小企业扶持政策。</w:t>
      </w:r>
    </w:p>
    <w:p w14:paraId="551C8E45">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color w:val="auto"/>
          <w:sz w:val="21"/>
          <w:szCs w:val="21"/>
          <w:highlight w:val="none"/>
          <w:lang w:val="en-US" w:eastAsia="en-US"/>
        </w:rPr>
        <w:t>③</w:t>
      </w:r>
      <w:r>
        <w:rPr>
          <w:rFonts w:hint="eastAsia" w:ascii="宋体" w:hAnsi="宋体" w:eastAsia="宋体" w:cs="宋体"/>
          <w:color w:val="auto"/>
          <w:kern w:val="0"/>
          <w:sz w:val="21"/>
          <w:szCs w:val="21"/>
          <w:highlight w:val="none"/>
          <w:lang w:val="en-US" w:eastAsia="zh-CN" w:bidi="ar"/>
        </w:rPr>
        <w:t xml:space="preserve">以联合体形式参加政府采购活动，联合体各方均为中小企业的，联合体视同中小企业。其中，联合体各方均为小微企业的，联合体视同小微企业。 </w:t>
      </w:r>
    </w:p>
    <w:p w14:paraId="08585D03">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kern w:val="0"/>
          <w:sz w:val="21"/>
          <w:szCs w:val="21"/>
          <w:highlight w:val="none"/>
          <w:lang w:val="zh-TW" w:eastAsia="zh-TW" w:bidi="zh-TW"/>
        </w:rPr>
      </w:pPr>
      <w:r>
        <w:rPr>
          <w:rFonts w:hint="eastAsia"/>
          <w:color w:val="auto"/>
          <w:sz w:val="21"/>
          <w:szCs w:val="21"/>
          <w:highlight w:val="none"/>
          <w:lang w:val="en-US" w:eastAsia="en-US"/>
        </w:rPr>
        <w:t>④</w:t>
      </w:r>
      <w:r>
        <w:rPr>
          <w:rFonts w:hint="eastAsia" w:ascii="宋体" w:hAnsi="宋体" w:eastAsia="宋体" w:cs="宋体"/>
          <w:color w:val="auto"/>
          <w:kern w:val="0"/>
          <w:sz w:val="21"/>
          <w:szCs w:val="21"/>
          <w:highlight w:val="none"/>
          <w:lang w:val="en-US" w:eastAsia="zh-CN" w:bidi="ar"/>
        </w:rPr>
        <w:t>在政府采购活动中，供应商提供的货物由中小企业制造，即货物由中小企业生产且使用该中小企业商号或者注册商标</w:t>
      </w:r>
      <w:r>
        <w:rPr>
          <w:rFonts w:hint="eastAsia" w:ascii="宋体" w:hAnsi="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才能享受</w:t>
      </w:r>
      <w:r>
        <w:rPr>
          <w:rFonts w:hint="eastAsia" w:ascii="宋体" w:hAnsi="宋体" w:eastAsia="宋体" w:cs="宋体"/>
          <w:color w:val="auto"/>
          <w:kern w:val="0"/>
          <w:sz w:val="21"/>
          <w:szCs w:val="21"/>
          <w:highlight w:val="none"/>
          <w:lang w:val="en-US" w:eastAsia="zh-CN" w:bidi="ar"/>
        </w:rPr>
        <w:t>享受政府采购促进中小企业发展管理办法规定的中小企业扶持政策；供应商提供的货物由小微企业制造的需提供生产企业的财务审计报告等证明材料</w:t>
      </w:r>
      <w:r>
        <w:rPr>
          <w:rFonts w:hint="eastAsia" w:ascii="宋体" w:hAnsi="宋体" w:cs="宋体"/>
          <w:color w:val="auto"/>
          <w:kern w:val="0"/>
          <w:sz w:val="21"/>
          <w:szCs w:val="21"/>
          <w:highlight w:val="none"/>
          <w:lang w:val="en-US" w:eastAsia="zh-CN" w:bidi="ar"/>
        </w:rPr>
        <w:t>。</w:t>
      </w:r>
    </w:p>
    <w:p w14:paraId="63BD179B">
      <w:pPr>
        <w:pStyle w:val="38"/>
        <w:rPr>
          <w:rFonts w:hint="eastAsia"/>
          <w:color w:val="auto"/>
          <w:sz w:val="24"/>
          <w:highlight w:val="none"/>
        </w:rPr>
      </w:pPr>
      <w:r>
        <w:rPr>
          <w:rFonts w:hint="eastAsia"/>
          <w:color w:val="auto"/>
          <w:highlight w:val="none"/>
        </w:rPr>
        <w:br w:type="page"/>
      </w:r>
    </w:p>
    <w:p w14:paraId="7E04F02D">
      <w:pPr>
        <w:bidi w:val="0"/>
        <w:jc w:val="center"/>
        <w:rPr>
          <w:rFonts w:hint="eastAsia" w:ascii="宋体" w:hAnsi="宋体" w:eastAsia="宋体" w:cs="宋体"/>
          <w:b/>
          <w:bCs/>
          <w:color w:val="auto"/>
          <w:sz w:val="24"/>
          <w:szCs w:val="24"/>
          <w:highlight w:val="none"/>
          <w:lang w:val="en-US" w:eastAsia="zh-CN"/>
        </w:rPr>
      </w:pPr>
      <w:bookmarkStart w:id="34" w:name="_Toc30306"/>
      <w:bookmarkStart w:id="35" w:name="_Toc13222"/>
      <w:bookmarkStart w:id="36" w:name="OLE_LINK13"/>
      <w:bookmarkStart w:id="37" w:name="OLE_LINK14"/>
      <w:r>
        <w:rPr>
          <w:rFonts w:hint="eastAsia" w:ascii="宋体" w:hAnsi="宋体" w:cs="宋体"/>
          <w:b/>
          <w:bCs/>
          <w:color w:val="auto"/>
          <w:sz w:val="24"/>
          <w:szCs w:val="24"/>
          <w:highlight w:val="none"/>
          <w:lang w:val="en-US" w:eastAsia="zh-CN"/>
        </w:rPr>
        <w:t>10.6</w:t>
      </w:r>
      <w:r>
        <w:rPr>
          <w:rFonts w:hint="eastAsia" w:ascii="宋体" w:hAnsi="宋体" w:eastAsia="宋体" w:cs="宋体"/>
          <w:b/>
          <w:bCs/>
          <w:color w:val="auto"/>
          <w:sz w:val="24"/>
          <w:szCs w:val="24"/>
          <w:highlight w:val="none"/>
          <w:lang w:val="en-US" w:eastAsia="zh-CN"/>
        </w:rPr>
        <w:t xml:space="preserve"> 残疾人福利性单位声明函</w:t>
      </w:r>
      <w:bookmarkEnd w:id="34"/>
      <w:r>
        <w:rPr>
          <w:rFonts w:hint="eastAsia" w:ascii="宋体" w:hAnsi="宋体" w:eastAsia="宋体" w:cs="宋体"/>
          <w:b/>
          <w:bCs/>
          <w:color w:val="auto"/>
          <w:sz w:val="24"/>
          <w:szCs w:val="24"/>
          <w:highlight w:val="none"/>
          <w:lang w:val="en-US" w:eastAsia="zh-CN"/>
        </w:rPr>
        <w:t>（如有）</w:t>
      </w:r>
      <w:bookmarkEnd w:id="35"/>
    </w:p>
    <w:bookmarkEnd w:id="36"/>
    <w:bookmarkEnd w:id="37"/>
    <w:p w14:paraId="7040F69F">
      <w:pPr>
        <w:spacing w:line="360" w:lineRule="auto"/>
        <w:rPr>
          <w:rFonts w:hint="eastAsia" w:ascii="宋体" w:hAnsi="宋体" w:cs="宋体"/>
          <w:b/>
          <w:color w:val="auto"/>
          <w:spacing w:val="6"/>
          <w:szCs w:val="21"/>
          <w:highlight w:val="none"/>
        </w:rPr>
      </w:pPr>
    </w:p>
    <w:p w14:paraId="5B024E3B">
      <w:pPr>
        <w:keepNext w:val="0"/>
        <w:keepLines w:val="0"/>
        <w:pageBreakBefore w:val="0"/>
        <w:kinsoku/>
        <w:wordWrap/>
        <w:overflowPunct/>
        <w:topLinePunct w:val="0"/>
        <w:bidi w:val="0"/>
        <w:snapToGrid w:val="0"/>
        <w:spacing w:line="360" w:lineRule="auto"/>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 141</w:t>
      </w:r>
      <w:r>
        <w:rPr>
          <w:rFonts w:hint="eastAsia" w:ascii="宋体" w:hAnsi="宋体" w:eastAsia="宋体" w:cs="宋体"/>
          <w:color w:val="auto"/>
          <w:spacing w:val="6"/>
          <w:sz w:val="21"/>
          <w:szCs w:val="21"/>
          <w:highlight w:val="none"/>
        </w:rPr>
        <w:t>号）的规定，本单位为符合条件的残疾人福利性单位，且本单位参加</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单位的</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项目采购活动提供本单位制造的货物（由本单位承担工程/提供服务），或者提供其他残疾人福利性单位制造的货物（不包括使用非残疾人福利性单位注册商标的货物）。</w:t>
      </w:r>
    </w:p>
    <w:p w14:paraId="157FFEA1">
      <w:pPr>
        <w:keepNext w:val="0"/>
        <w:keepLines w:val="0"/>
        <w:pageBreakBefore w:val="0"/>
        <w:kinsoku/>
        <w:wordWrap/>
        <w:overflowPunct/>
        <w:topLinePunct w:val="0"/>
        <w:bidi w:val="0"/>
        <w:snapToGrid w:val="0"/>
        <w:spacing w:line="360" w:lineRule="auto"/>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6A323E32">
      <w:pPr>
        <w:keepNext w:val="0"/>
        <w:keepLines w:val="0"/>
        <w:pageBreakBefore w:val="0"/>
        <w:kinsoku/>
        <w:wordWrap/>
        <w:overflowPunct/>
        <w:topLinePunct w:val="0"/>
        <w:bidi w:val="0"/>
        <w:snapToGrid w:val="0"/>
        <w:spacing w:line="360" w:lineRule="auto"/>
        <w:ind w:firstLine="444" w:firstLineChars="200"/>
        <w:textAlignment w:val="auto"/>
        <w:rPr>
          <w:rFonts w:hint="eastAsia" w:ascii="宋体" w:hAnsi="宋体" w:eastAsia="宋体" w:cs="宋体"/>
          <w:color w:val="auto"/>
          <w:spacing w:val="6"/>
          <w:sz w:val="21"/>
          <w:szCs w:val="21"/>
          <w:highlight w:val="none"/>
        </w:rPr>
      </w:pPr>
    </w:p>
    <w:p w14:paraId="455984E7">
      <w:pPr>
        <w:keepNext w:val="0"/>
        <w:keepLines w:val="0"/>
        <w:pageBreakBefore w:val="0"/>
        <w:tabs>
          <w:tab w:val="left" w:pos="4860"/>
        </w:tabs>
        <w:kinsoku/>
        <w:wordWrap/>
        <w:overflowPunct/>
        <w:topLinePunct w:val="0"/>
        <w:bidi w:val="0"/>
        <w:snapToGrid w:val="0"/>
        <w:spacing w:line="360" w:lineRule="auto"/>
        <w:ind w:right="1560" w:firstLine="444" w:firstLineChars="20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单位名称（盖章）：</w:t>
      </w:r>
    </w:p>
    <w:p w14:paraId="1EDF6DB4">
      <w:pPr>
        <w:keepNext w:val="0"/>
        <w:keepLines w:val="0"/>
        <w:pageBreakBefore w:val="0"/>
        <w:tabs>
          <w:tab w:val="left" w:pos="4860"/>
        </w:tabs>
        <w:kinsoku/>
        <w:wordWrap/>
        <w:overflowPunct/>
        <w:topLinePunct w:val="0"/>
        <w:bidi w:val="0"/>
        <w:snapToGrid w:val="0"/>
        <w:spacing w:line="360" w:lineRule="auto"/>
        <w:ind w:right="1560" w:firstLine="444" w:firstLineChars="20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日  期：</w:t>
      </w:r>
    </w:p>
    <w:p w14:paraId="51C362EC">
      <w:pPr>
        <w:keepNext w:val="0"/>
        <w:keepLines w:val="0"/>
        <w:pageBreakBefore w:val="0"/>
        <w:tabs>
          <w:tab w:val="left" w:pos="84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color w:val="auto"/>
          <w:sz w:val="21"/>
          <w:szCs w:val="21"/>
          <w:highlight w:val="none"/>
        </w:rPr>
      </w:pPr>
    </w:p>
    <w:p w14:paraId="2F2DC2F7">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（提醒：如果</w:t>
      </w:r>
      <w:r>
        <w:rPr>
          <w:rFonts w:hint="eastAsia" w:ascii="宋体" w:hAnsi="宋体" w:eastAsia="宋体" w:cs="宋体"/>
          <w:b/>
          <w:color w:val="auto"/>
          <w:sz w:val="21"/>
          <w:szCs w:val="21"/>
          <w:highlight w:val="none"/>
          <w:lang w:eastAsia="zh-CN"/>
        </w:rPr>
        <w:t>响应人</w:t>
      </w:r>
      <w:r>
        <w:rPr>
          <w:rFonts w:hint="eastAsia" w:ascii="宋体" w:hAnsi="宋体" w:eastAsia="宋体" w:cs="宋体"/>
          <w:b/>
          <w:color w:val="auto"/>
          <w:spacing w:val="10"/>
          <w:kern w:val="0"/>
          <w:sz w:val="21"/>
          <w:szCs w:val="21"/>
          <w:highlight w:val="none"/>
        </w:rPr>
        <w:t>不是残疾人福利性单位</w:t>
      </w:r>
      <w:r>
        <w:rPr>
          <w:rFonts w:hint="eastAsia" w:ascii="宋体" w:hAnsi="宋体" w:eastAsia="宋体" w:cs="宋体"/>
          <w:b/>
          <w:color w:val="auto"/>
          <w:sz w:val="21"/>
          <w:szCs w:val="21"/>
          <w:highlight w:val="none"/>
        </w:rPr>
        <w:t>，则不需要提供《残疾人福利性单位声明函》。否则，因此导致虚假投标的后果由</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自行承担。）</w:t>
      </w:r>
    </w:p>
    <w:p w14:paraId="1E6A24C3">
      <w:pPr>
        <w:keepNext w:val="0"/>
        <w:keepLines w:val="0"/>
        <w:pageBreakBefore w:val="0"/>
        <w:tabs>
          <w:tab w:val="left" w:pos="840"/>
        </w:tabs>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color w:val="auto"/>
          <w:sz w:val="21"/>
          <w:szCs w:val="21"/>
          <w:highlight w:val="none"/>
        </w:rPr>
      </w:pPr>
    </w:p>
    <w:p w14:paraId="15CC3C2F">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《财政部民政部中国残疾人联合会关于促进残疾人就业政府采购政策的通知》（财库（2017〔141〕号）的规定：</w:t>
      </w:r>
    </w:p>
    <w:p w14:paraId="51772CE3">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享受政府采购支持政策的残疾人福利性单位应当同时满足以下条件：</w:t>
      </w:r>
    </w:p>
    <w:p w14:paraId="61CA417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（1）安置的残疾人占本单位在职职工人数的比例不低于25%（含25%），并且安置的残疾人人数不少于10人（含10人）；</w:t>
      </w:r>
    </w:p>
    <w:p w14:paraId="783B7AE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（2）依法与安置的每位残疾人签订了一年以上（含一年）的劳动合同或服务协议；</w:t>
      </w:r>
    </w:p>
    <w:p w14:paraId="62B78F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（3）为安置的每位残疾人按月足额缴纳了基本养老保险、基本医疗保险、失业保险、工伤保险和生育保险等社会保险费；</w:t>
      </w:r>
    </w:p>
    <w:p w14:paraId="0AAF809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（4）通过银行等金融机构向安置的每位残疾人，按月支付了不低于单位所在区县适用的经省级人民政府批准的月最低工资标准的工资；</w:t>
      </w:r>
    </w:p>
    <w:p w14:paraId="7723342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（5）提供本单位制造的货物、承担的工程或者服务（以下简称产品），或者提供其他残疾人福利性单位制造的货物（不包括使用非残疾人福利性单位注册商标的货物）。</w:t>
      </w:r>
    </w:p>
    <w:p w14:paraId="396D686A">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为残疾人福利性单位的，采购人或者其委托的采购代理机构应当随中标、成交结果同时公告其《残疾人福利性单位声明函》，接受社会监督。</w:t>
      </w:r>
    </w:p>
    <w:p w14:paraId="2DB02446">
      <w:pPr>
        <w:bidi w:val="0"/>
        <w:rPr>
          <w:rFonts w:hint="eastAsia"/>
          <w:color w:val="auto"/>
          <w:highlight w:val="none"/>
          <w:lang w:val="en-US" w:eastAsia="zh-CN"/>
        </w:rPr>
      </w:pPr>
      <w:bookmarkStart w:id="38" w:name="_Toc9282"/>
      <w:r>
        <w:rPr>
          <w:rFonts w:hint="eastAsia"/>
          <w:color w:val="auto"/>
          <w:highlight w:val="none"/>
          <w:lang w:val="en-US" w:eastAsia="zh-CN"/>
        </w:rPr>
        <w:br w:type="page"/>
      </w:r>
    </w:p>
    <w:p w14:paraId="35617597">
      <w:pPr>
        <w:bidi w:val="0"/>
        <w:jc w:val="center"/>
        <w:rPr>
          <w:rFonts w:hint="eastAsia" w:ascii="宋体" w:hAnsi="宋体" w:eastAsia="宋体" w:cs="宋体"/>
          <w:b/>
          <w:bCs/>
          <w:color w:val="auto"/>
          <w:sz w:val="24"/>
          <w:szCs w:val="24"/>
          <w:highlight w:val="none"/>
          <w:lang w:val="en-GB" w:eastAsia="zh-CN"/>
        </w:rPr>
      </w:pPr>
      <w:r>
        <w:rPr>
          <w:rFonts w:hint="eastAsia" w:ascii="宋体" w:hAnsi="宋体" w:eastAsia="宋体" w:cs="宋体"/>
          <w:b/>
          <w:bCs/>
          <w:color w:val="auto"/>
          <w:sz w:val="24"/>
          <w:szCs w:val="24"/>
          <w:highlight w:val="none"/>
          <w:lang w:val="en-US" w:eastAsia="zh-CN"/>
        </w:rPr>
        <w:t xml:space="preserve">10.7 </w:t>
      </w:r>
      <w:r>
        <w:rPr>
          <w:rFonts w:hint="eastAsia" w:ascii="宋体" w:hAnsi="宋体" w:eastAsia="宋体" w:cs="宋体"/>
          <w:b/>
          <w:bCs/>
          <w:color w:val="auto"/>
          <w:sz w:val="24"/>
          <w:szCs w:val="24"/>
          <w:highlight w:val="none"/>
          <w:lang w:val="en-GB" w:eastAsia="zh-CN"/>
        </w:rPr>
        <w:t>监狱企业证明材料</w:t>
      </w:r>
      <w:r>
        <w:rPr>
          <w:rFonts w:hint="eastAsia" w:ascii="宋体" w:hAnsi="宋体" w:eastAsia="宋体" w:cs="宋体"/>
          <w:b/>
          <w:bCs/>
          <w:color w:val="auto"/>
          <w:sz w:val="24"/>
          <w:szCs w:val="24"/>
          <w:highlight w:val="none"/>
          <w:lang w:val="en-US" w:eastAsia="zh-CN"/>
        </w:rPr>
        <w:t>（如有）</w:t>
      </w:r>
      <w:bookmarkEnd w:id="38"/>
    </w:p>
    <w:p w14:paraId="5F193D0A">
      <w:pPr>
        <w:bidi w:val="0"/>
        <w:rPr>
          <w:rFonts w:hint="eastAsia"/>
          <w:color w:val="auto"/>
          <w:highlight w:val="none"/>
          <w:lang w:val="en-GB" w:eastAsia="zh-CN"/>
        </w:rPr>
      </w:pPr>
    </w:p>
    <w:p w14:paraId="4F6D49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lang w:val="en-GB" w:eastAsia="zh-CN"/>
        </w:rPr>
      </w:pPr>
      <w:r>
        <w:rPr>
          <w:rFonts w:hint="eastAsia"/>
          <w:color w:val="auto"/>
          <w:sz w:val="21"/>
          <w:szCs w:val="21"/>
          <w:highlight w:val="none"/>
          <w:lang w:val="en-GB" w:eastAsia="zh-CN"/>
        </w:rPr>
        <w:t>监狱企业参加政府采购活动时，应当提供由省级以上监狱管理局、戒毒管理局（含新疆生产建设兵团）出具的属于监狱企业的证明文件。</w:t>
      </w:r>
    </w:p>
    <w:p w14:paraId="08EC64B9">
      <w:pPr>
        <w:widowControl/>
        <w:shd w:val="clear" w:color="auto" w:fill="FFFFFF"/>
        <w:spacing w:line="560" w:lineRule="exact"/>
        <w:ind w:firstLine="2400"/>
        <w:rPr>
          <w:rFonts w:hint="eastAsia" w:ascii="宋体" w:hAnsi="宋体" w:cs="宋体"/>
          <w:color w:val="auto"/>
          <w:kern w:val="0"/>
          <w:sz w:val="21"/>
          <w:szCs w:val="21"/>
          <w:highlight w:val="none"/>
        </w:rPr>
      </w:pPr>
    </w:p>
    <w:p w14:paraId="62ACB0D5">
      <w:pPr>
        <w:widowControl/>
        <w:shd w:val="clear" w:color="auto" w:fill="FFFFFF"/>
        <w:spacing w:line="560" w:lineRule="exact"/>
        <w:ind w:firstLine="3150" w:firstLineChars="1500"/>
        <w:rPr>
          <w:rFonts w:hint="eastAsia" w:ascii="宋体" w:hAnsi="宋体" w:cs="宋体"/>
          <w:b/>
          <w:bCs/>
          <w:color w:val="auto"/>
          <w:kern w:val="0"/>
          <w:sz w:val="24"/>
          <w:highlight w:val="none"/>
        </w:rPr>
      </w:pPr>
      <w:r>
        <w:rPr>
          <w:rFonts w:hint="eastAsia" w:ascii="宋体" w:hAnsi="宋体" w:cs="宋体"/>
          <w:color w:val="auto"/>
          <w:kern w:val="0"/>
          <w:sz w:val="21"/>
          <w:szCs w:val="21"/>
          <w:highlight w:val="none"/>
        </w:rPr>
        <w:t>              年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u w:val="none"/>
        </w:rPr>
        <w:t> </w:t>
      </w:r>
      <w:r>
        <w:rPr>
          <w:rFonts w:hint="eastAsia" w:ascii="宋体" w:hAnsi="宋体" w:cs="宋体"/>
          <w:color w:val="auto"/>
          <w:kern w:val="0"/>
          <w:sz w:val="21"/>
          <w:szCs w:val="21"/>
          <w:highlight w:val="none"/>
          <w:u w:val="none"/>
          <w:lang w:val="en-US" w:eastAsia="zh-CN"/>
        </w:rPr>
        <w:t xml:space="preserve"> </w:t>
      </w:r>
      <w:r>
        <w:rPr>
          <w:rFonts w:hint="eastAsia" w:ascii="宋体" w:hAnsi="宋体" w:cs="宋体"/>
          <w:color w:val="auto"/>
          <w:kern w:val="0"/>
          <w:sz w:val="21"/>
          <w:szCs w:val="21"/>
          <w:highlight w:val="none"/>
          <w:u w:val="none"/>
        </w:rPr>
        <w:t>日</w:t>
      </w:r>
    </w:p>
    <w:p w14:paraId="5B1415E5">
      <w:pPr>
        <w:rPr>
          <w:rFonts w:hint="eastAsia"/>
          <w:color w:val="auto"/>
          <w:highlight w:val="none"/>
        </w:rPr>
      </w:pPr>
    </w:p>
    <w:p w14:paraId="63D952E3">
      <w:pPr>
        <w:pStyle w:val="8"/>
        <w:rPr>
          <w:color w:val="auto"/>
          <w:highlight w:val="none"/>
        </w:rPr>
      </w:pPr>
    </w:p>
    <w:p w14:paraId="60A52DE0">
      <w:pPr>
        <w:rPr>
          <w:color w:val="auto"/>
          <w:highlight w:val="none"/>
        </w:rPr>
      </w:pPr>
    </w:p>
    <w:p w14:paraId="48EA90F7">
      <w:pPr>
        <w:rPr>
          <w:color w:val="auto"/>
          <w:highlight w:val="none"/>
        </w:rPr>
      </w:pPr>
    </w:p>
    <w:p w14:paraId="773A1909">
      <w:pPr>
        <w:pStyle w:val="38"/>
        <w:rPr>
          <w:color w:val="auto"/>
          <w:highlight w:val="none"/>
        </w:rPr>
      </w:pPr>
    </w:p>
    <w:p w14:paraId="15824E59">
      <w:pPr>
        <w:widowControl/>
        <w:spacing w:line="360" w:lineRule="auto"/>
        <w:ind w:firstLine="482" w:firstLineChars="200"/>
        <w:jc w:val="left"/>
        <w:rPr>
          <w:rFonts w:hint="eastAsia" w:eastAsia="‹ΟGB2312"/>
          <w:b/>
          <w:color w:val="auto"/>
          <w:kern w:val="0"/>
          <w:sz w:val="24"/>
          <w:highlight w:val="none"/>
        </w:rPr>
      </w:pPr>
      <w:r>
        <w:rPr>
          <w:rFonts w:hint="eastAsia" w:eastAsia="‹ΟGB2312"/>
          <w:b/>
          <w:color w:val="auto"/>
          <w:kern w:val="0"/>
          <w:sz w:val="24"/>
          <w:highlight w:val="none"/>
        </w:rPr>
        <w:t xml:space="preserve">  </w:t>
      </w:r>
    </w:p>
    <w:p w14:paraId="5D274AEE">
      <w:pPr>
        <w:rPr>
          <w:rFonts w:ascii="宋体" w:hAnsi="宋体"/>
          <w:b/>
          <w:color w:val="auto"/>
          <w:sz w:val="24"/>
          <w:highlight w:val="none"/>
        </w:rPr>
      </w:pPr>
      <w:r>
        <w:rPr>
          <w:rFonts w:hint="eastAsia" w:ascii="宋体" w:hAnsi="宋体" w:cs="宋体"/>
          <w:b/>
          <w:bCs/>
          <w:color w:val="auto"/>
          <w:kern w:val="0"/>
          <w:sz w:val="24"/>
          <w:highlight w:val="none"/>
        </w:rPr>
        <w:br w:type="page"/>
      </w:r>
    </w:p>
    <w:p w14:paraId="0082CEC1">
      <w:pPr>
        <w:widowControl/>
        <w:shd w:val="clear" w:color="auto" w:fill="FFFFFF"/>
        <w:spacing w:line="460" w:lineRule="atLeast"/>
        <w:jc w:val="left"/>
        <w:rPr>
          <w:rFonts w:hint="eastAsia" w:ascii="宋体" w:hAnsi="宋体" w:eastAsia="宋体" w:cs="Times New Roman"/>
          <w:b/>
          <w:bCs/>
          <w:color w:val="auto"/>
          <w:kern w:val="0"/>
          <w:sz w:val="24"/>
          <w:highlight w:val="none"/>
          <w:lang w:eastAsia="zh-CN"/>
        </w:rPr>
      </w:pPr>
      <w:r>
        <w:rPr>
          <w:rFonts w:hint="eastAsia" w:ascii="宋体" w:hAnsi="宋体"/>
          <w:b/>
          <w:bCs/>
          <w:color w:val="auto"/>
          <w:kern w:val="0"/>
          <w:sz w:val="24"/>
          <w:highlight w:val="none"/>
        </w:rPr>
        <w:t>附件</w:t>
      </w:r>
      <w:r>
        <w:rPr>
          <w:rFonts w:hint="eastAsia" w:ascii="宋体" w:hAnsi="宋体"/>
          <w:b/>
          <w:bCs/>
          <w:color w:val="auto"/>
          <w:kern w:val="0"/>
          <w:sz w:val="24"/>
          <w:highlight w:val="none"/>
          <w:lang w:val="en-US" w:eastAsia="zh-CN"/>
        </w:rPr>
        <w:t>11</w:t>
      </w:r>
      <w:r>
        <w:rPr>
          <w:rFonts w:hint="eastAsia" w:ascii="宋体" w:hAnsi="宋体"/>
          <w:b/>
          <w:bCs/>
          <w:color w:val="auto"/>
          <w:kern w:val="0"/>
          <w:sz w:val="24"/>
          <w:highlight w:val="none"/>
        </w:rPr>
        <w:t>    供应商自觉抵制政府采购领域商业贿赂行</w:t>
      </w:r>
      <w:r>
        <w:rPr>
          <w:rFonts w:hint="eastAsia" w:ascii="宋体" w:hAnsi="宋体" w:eastAsia="宋体" w:cs="Times New Roman"/>
          <w:b/>
          <w:bCs/>
          <w:color w:val="auto"/>
          <w:kern w:val="0"/>
          <w:sz w:val="24"/>
          <w:highlight w:val="none"/>
        </w:rPr>
        <w:t>为承诺书</w:t>
      </w:r>
      <w:r>
        <w:rPr>
          <w:rFonts w:hint="eastAsia" w:ascii="宋体" w:hAnsi="宋体" w:eastAsia="宋体" w:cs="Times New Roman"/>
          <w:b/>
          <w:bCs/>
          <w:color w:val="auto"/>
          <w:kern w:val="0"/>
          <w:sz w:val="24"/>
          <w:highlight w:val="none"/>
          <w:lang w:eastAsia="zh-CN"/>
        </w:rPr>
        <w:t>（</w:t>
      </w:r>
      <w:r>
        <w:rPr>
          <w:rFonts w:hint="eastAsia" w:ascii="宋体" w:hAnsi="宋体" w:eastAsia="宋体" w:cs="Times New Roman"/>
          <w:b/>
          <w:bCs/>
          <w:color w:val="auto"/>
          <w:kern w:val="0"/>
          <w:sz w:val="24"/>
          <w:highlight w:val="none"/>
          <w:lang w:val="en-US" w:eastAsia="zh-CN"/>
        </w:rPr>
        <w:t>格式</w:t>
      </w:r>
      <w:r>
        <w:rPr>
          <w:rFonts w:hint="eastAsia" w:ascii="宋体" w:hAnsi="宋体" w:eastAsia="宋体" w:cs="Times New Roman"/>
          <w:b/>
          <w:bCs/>
          <w:color w:val="auto"/>
          <w:kern w:val="0"/>
          <w:sz w:val="24"/>
          <w:highlight w:val="none"/>
          <w:lang w:eastAsia="zh-CN"/>
        </w:rPr>
        <w:t>）</w:t>
      </w:r>
    </w:p>
    <w:p w14:paraId="00DB4F79">
      <w:pPr>
        <w:keepNext w:val="0"/>
        <w:keepLines w:val="0"/>
        <w:pageBreakBefore w:val="0"/>
        <w:widowControl/>
        <w:shd w:val="clear" w:color="auto" w:fill="FFFFFF"/>
        <w:kinsoku/>
        <w:wordWrap/>
        <w:overflowPunct/>
        <w:topLinePunct w:val="0"/>
        <w:autoSpaceDE/>
        <w:autoSpaceDN/>
        <w:bidi w:val="0"/>
        <w:adjustRightInd/>
        <w:snapToGrid w:val="0"/>
        <w:spacing w:line="360" w:lineRule="auto"/>
        <w:textAlignment w:val="auto"/>
        <w:rPr>
          <w:rFonts w:hint="eastAsia" w:ascii="宋体" w:hAnsi="宋体"/>
          <w:color w:val="auto"/>
          <w:kern w:val="0"/>
          <w:sz w:val="21"/>
          <w:szCs w:val="21"/>
          <w:highlight w:val="none"/>
        </w:rPr>
      </w:pPr>
    </w:p>
    <w:p w14:paraId="0214080E">
      <w:pPr>
        <w:keepNext w:val="0"/>
        <w:keepLines w:val="0"/>
        <w:pageBreakBefore w:val="0"/>
        <w:widowControl/>
        <w:shd w:val="clear" w:color="auto" w:fill="FFFFFF"/>
        <w:kinsoku/>
        <w:wordWrap/>
        <w:overflowPunct/>
        <w:topLinePunct w:val="0"/>
        <w:autoSpaceDE/>
        <w:autoSpaceDN/>
        <w:bidi w:val="0"/>
        <w:adjustRightInd/>
        <w:snapToGrid w:val="0"/>
        <w:spacing w:line="360" w:lineRule="auto"/>
        <w:textAlignment w:val="auto"/>
        <w:rPr>
          <w:color w:val="auto"/>
          <w:kern w:val="0"/>
          <w:sz w:val="21"/>
          <w:szCs w:val="21"/>
          <w:highlight w:val="none"/>
        </w:rPr>
      </w:pPr>
      <w:r>
        <w:rPr>
          <w:rFonts w:hint="eastAsia" w:ascii="宋体" w:hAnsi="宋体"/>
          <w:color w:val="auto"/>
          <w:kern w:val="0"/>
          <w:sz w:val="21"/>
          <w:szCs w:val="21"/>
          <w:highlight w:val="none"/>
        </w:rPr>
        <w:t>致：</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u w:val="single"/>
          <w:lang w:val="en-US" w:eastAsia="zh-CN"/>
        </w:rPr>
        <w:t xml:space="preserve">        </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rPr>
        <w:t>（采购人名称）：</w:t>
      </w:r>
    </w:p>
    <w:p w14:paraId="6287C9B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为进一步规范政府采购行为，营造公平竞争的政府采购市场环境，维护政府采购制度良好声誉，在参与贵单位组织的竞争性</w:t>
      </w:r>
      <w:r>
        <w:rPr>
          <w:rFonts w:hint="eastAsia" w:ascii="宋体" w:hAnsi="宋体" w:cs="宋体"/>
          <w:color w:val="auto"/>
          <w:kern w:val="0"/>
          <w:sz w:val="21"/>
          <w:szCs w:val="21"/>
          <w:highlight w:val="none"/>
          <w:lang w:val="en-US" w:eastAsia="zh-CN"/>
        </w:rPr>
        <w:t>磋商</w:t>
      </w:r>
      <w:r>
        <w:rPr>
          <w:rFonts w:hint="eastAsia" w:ascii="宋体" w:hAnsi="宋体" w:cs="宋体"/>
          <w:color w:val="auto"/>
          <w:kern w:val="0"/>
          <w:sz w:val="21"/>
          <w:szCs w:val="21"/>
          <w:highlight w:val="none"/>
        </w:rPr>
        <w:t>活动中，我方庄重承诺：</w:t>
      </w:r>
    </w:p>
    <w:p w14:paraId="1B256A5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一、依法参与招标活动，遵纪守法，诚信经营，公平竞争。</w:t>
      </w:r>
    </w:p>
    <w:p w14:paraId="3FEA7B9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二、不向采购人、采购代理机构和评审专家提供任何形式的商业贿赂，对索取或接受商业贿赂的单位和个人，及时向财政部门和纪检监察机关举报。</w:t>
      </w:r>
    </w:p>
    <w:p w14:paraId="4397540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三、不以提供虚假资质文件等形式参与招标活动，不以虚假材料谋取中标。</w:t>
      </w:r>
    </w:p>
    <w:p w14:paraId="6958A61F">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四、不采取不正当手段诋毁、排挤其它</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，与其它参与招标活动的</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保持良性的竞争关系。</w:t>
      </w:r>
    </w:p>
    <w:p w14:paraId="7EB610D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五、不与采购人、采购代理机构和评审专家恶意串通，自觉维护政府采购公平竞争的市场秩序。</w:t>
      </w:r>
    </w:p>
    <w:p w14:paraId="01692DA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六、不与其它</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串通采取围标、陪标等商业欺诈手段谋取中标，积极维护国家利益、社会公共利益和采购人的合法权益。</w:t>
      </w:r>
    </w:p>
    <w:p w14:paraId="63AE3AC3">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七、严格履行政府采购合同约定义务，不在政府采购合同执行过程中采取降低质量或标准、减少数量、拖延交付时间等方式损害采购人的利益，并自觉承担违约责任。</w:t>
      </w:r>
    </w:p>
    <w:p w14:paraId="017DCD70">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八、自觉接受并积极配合相关监督部门实施的监督检查，如实反映情况，及时提供有关证明材料。</w:t>
      </w:r>
    </w:p>
    <w:p w14:paraId="466CF2DD">
      <w:pPr>
        <w:widowControl/>
        <w:shd w:val="clear" w:color="auto" w:fill="FFFFFF"/>
        <w:spacing w:line="460" w:lineRule="atLeast"/>
        <w:ind w:firstLine="2400"/>
        <w:rPr>
          <w:rFonts w:hint="eastAsia" w:ascii="宋体" w:hAnsi="宋体"/>
          <w:color w:val="auto"/>
          <w:kern w:val="0"/>
          <w:sz w:val="21"/>
          <w:szCs w:val="21"/>
          <w:highlight w:val="none"/>
        </w:rPr>
      </w:pPr>
    </w:p>
    <w:p w14:paraId="1880D8E2">
      <w:pPr>
        <w:widowControl/>
        <w:shd w:val="clear" w:color="auto" w:fill="FFFFFF"/>
        <w:spacing w:line="460" w:lineRule="atLeast"/>
        <w:ind w:firstLine="4200" w:firstLineChars="2000"/>
        <w:rPr>
          <w:color w:val="auto"/>
          <w:kern w:val="0"/>
          <w:sz w:val="21"/>
          <w:szCs w:val="21"/>
          <w:highlight w:val="none"/>
        </w:rPr>
      </w:pPr>
      <w:r>
        <w:rPr>
          <w:rFonts w:hint="eastAsia" w:ascii="宋体" w:hAnsi="宋体"/>
          <w:color w:val="auto"/>
          <w:kern w:val="0"/>
          <w:sz w:val="21"/>
          <w:szCs w:val="21"/>
          <w:highlight w:val="none"/>
        </w:rPr>
        <w:t>供应商代表签字： </w:t>
      </w:r>
      <w:r>
        <w:rPr>
          <w:rFonts w:hint="eastAsia" w:ascii="宋体" w:hAnsi="宋体"/>
          <w:color w:val="auto"/>
          <w:kern w:val="0"/>
          <w:sz w:val="21"/>
          <w:szCs w:val="21"/>
          <w:highlight w:val="none"/>
          <w:u w:val="single"/>
        </w:rPr>
        <w:t>          </w:t>
      </w:r>
    </w:p>
    <w:p w14:paraId="1762FA65">
      <w:pPr>
        <w:widowControl/>
        <w:shd w:val="clear" w:color="auto" w:fill="FFFFFF"/>
        <w:spacing w:line="460" w:lineRule="atLeast"/>
        <w:ind w:firstLine="480"/>
        <w:rPr>
          <w:color w:val="auto"/>
          <w:kern w:val="0"/>
          <w:sz w:val="21"/>
          <w:szCs w:val="21"/>
          <w:highlight w:val="none"/>
        </w:rPr>
      </w:pPr>
      <w:r>
        <w:rPr>
          <w:rFonts w:hint="eastAsia" w:ascii="宋体" w:hAnsi="宋体"/>
          <w:color w:val="auto"/>
          <w:kern w:val="0"/>
          <w:sz w:val="21"/>
          <w:szCs w:val="21"/>
          <w:highlight w:val="none"/>
        </w:rPr>
        <w:t>                           供应商</w:t>
      </w:r>
      <w:r>
        <w:rPr>
          <w:rFonts w:hint="eastAsia" w:ascii="宋体" w:hAnsi="宋体"/>
          <w:color w:val="auto"/>
          <w:kern w:val="0"/>
          <w:sz w:val="21"/>
          <w:szCs w:val="21"/>
          <w:highlight w:val="none"/>
          <w:lang w:val="en-US" w:eastAsia="zh-CN"/>
        </w:rPr>
        <w:t>名称</w:t>
      </w:r>
      <w:r>
        <w:rPr>
          <w:rFonts w:hint="eastAsia" w:ascii="宋体" w:hAnsi="宋体"/>
          <w:color w:val="auto"/>
          <w:kern w:val="0"/>
          <w:sz w:val="21"/>
          <w:szCs w:val="21"/>
          <w:highlight w:val="none"/>
        </w:rPr>
        <w:t>：</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rPr>
        <w:t>（全称并加盖公章）</w:t>
      </w:r>
    </w:p>
    <w:p w14:paraId="71226EA7">
      <w:pPr>
        <w:widowControl/>
        <w:shd w:val="clear" w:color="auto" w:fill="FFFFFF"/>
        <w:spacing w:line="460" w:lineRule="atLeast"/>
        <w:ind w:left="4164" w:hanging="3643" w:hangingChars="1735"/>
        <w:jc w:val="right"/>
        <w:rPr>
          <w:rFonts w:hint="eastAsia" w:ascii="宋体" w:hAnsi="宋体"/>
          <w:color w:val="auto"/>
          <w:kern w:val="0"/>
          <w:sz w:val="24"/>
          <w:highlight w:val="none"/>
        </w:rPr>
      </w:pP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年</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rPr>
        <w:t>月 </w:t>
      </w:r>
      <w:r>
        <w:rPr>
          <w:rFonts w:hint="eastAsia" w:ascii="宋体" w:hAnsi="宋体"/>
          <w:color w:val="auto"/>
          <w:kern w:val="0"/>
          <w:sz w:val="21"/>
          <w:szCs w:val="21"/>
          <w:highlight w:val="none"/>
          <w:u w:val="single"/>
        </w:rPr>
        <w:t>   </w:t>
      </w:r>
      <w:r>
        <w:rPr>
          <w:rFonts w:hint="eastAsia" w:ascii="宋体" w:hAnsi="宋体"/>
          <w:color w:val="auto"/>
          <w:kern w:val="0"/>
          <w:sz w:val="21"/>
          <w:szCs w:val="21"/>
          <w:highlight w:val="none"/>
        </w:rPr>
        <w:t>日</w:t>
      </w:r>
      <w:bookmarkStart w:id="39" w:name="_Toc289848529"/>
      <w:bookmarkStart w:id="40" w:name="_Toc289848444"/>
      <w:bookmarkStart w:id="41" w:name="_Toc276646864"/>
      <w:bookmarkStart w:id="42" w:name="_Toc289848555"/>
      <w:bookmarkStart w:id="43" w:name="_Toc289848371"/>
    </w:p>
    <w:p w14:paraId="353DEF7F">
      <w:pPr>
        <w:bidi w:val="0"/>
        <w:rPr>
          <w:rFonts w:hint="eastAsia"/>
          <w:color w:val="auto"/>
          <w:highlight w:val="none"/>
        </w:rPr>
      </w:pPr>
    </w:p>
    <w:p w14:paraId="11CF6CDD">
      <w:pPr>
        <w:widowControl/>
        <w:shd w:val="clear" w:color="auto" w:fill="FFFFFF"/>
        <w:snapToGrid w:val="0"/>
        <w:spacing w:line="360" w:lineRule="auto"/>
        <w:ind w:left="5205" w:hanging="3643" w:hangingChars="1735"/>
        <w:jc w:val="center"/>
        <w:rPr>
          <w:rFonts w:hint="eastAsia" w:ascii="宋体" w:hAnsi="宋体"/>
          <w:color w:val="auto"/>
          <w:highlight w:val="none"/>
        </w:rPr>
      </w:pPr>
    </w:p>
    <w:p w14:paraId="78524D07">
      <w:pPr>
        <w:widowControl/>
        <w:shd w:val="clear" w:color="auto" w:fill="FFFFFF"/>
        <w:spacing w:after="240" w:line="460" w:lineRule="atLeast"/>
        <w:jc w:val="center"/>
        <w:rPr>
          <w:rFonts w:ascii="宋体" w:hAnsi="宋体"/>
          <w:color w:val="auto"/>
          <w:highlight w:val="none"/>
        </w:rPr>
      </w:pPr>
      <w:r>
        <w:rPr>
          <w:rFonts w:ascii="宋体" w:hAnsi="宋体"/>
          <w:color w:val="auto"/>
          <w:highlight w:val="none"/>
        </w:rPr>
        <w:br w:type="page"/>
      </w:r>
      <w:bookmarkEnd w:id="39"/>
      <w:bookmarkEnd w:id="40"/>
      <w:bookmarkEnd w:id="41"/>
      <w:bookmarkEnd w:id="42"/>
      <w:bookmarkEnd w:id="43"/>
    </w:p>
    <w:p w14:paraId="62586395">
      <w:pPr>
        <w:bidi w:val="0"/>
        <w:rPr>
          <w:color w:val="auto"/>
          <w:highlight w:val="none"/>
        </w:rPr>
      </w:pPr>
    </w:p>
    <w:p w14:paraId="4214D043">
      <w:pPr>
        <w:widowControl/>
        <w:snapToGrid w:val="0"/>
        <w:spacing w:line="46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驻马店市政府采购合同融资金融机构联系方式</w:t>
      </w:r>
    </w:p>
    <w:p w14:paraId="2936F609">
      <w:pPr>
        <w:widowControl/>
        <w:wordWrap w:val="0"/>
        <w:snapToGrid w:val="0"/>
        <w:spacing w:line="460" w:lineRule="exact"/>
        <w:rPr>
          <w:rFonts w:ascii="宋体" w:hAnsi="宋体" w:cs="宋体"/>
          <w:b/>
          <w:color w:val="auto"/>
          <w:kern w:val="0"/>
          <w:sz w:val="24"/>
          <w:highlight w:val="none"/>
        </w:rPr>
      </w:pPr>
    </w:p>
    <w:p w14:paraId="6E50D509">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1、上海浦东发展银行信阳分行</w:t>
      </w:r>
    </w:p>
    <w:p w14:paraId="7E6C95F8">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联系人：陈安达18538266767 </w:t>
      </w:r>
    </w:p>
    <w:p w14:paraId="04DFF54F">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李鹤松18638169788  </w:t>
      </w:r>
    </w:p>
    <w:p w14:paraId="1A317825">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地址：信阳市羊山新区新六大街北段九阳大厦一号楼</w:t>
      </w:r>
    </w:p>
    <w:p w14:paraId="434F6DD0">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2、中原银行驻马店分行公司业务七部</w:t>
      </w:r>
    </w:p>
    <w:p w14:paraId="31D48C48">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联系人：王磊</w:t>
      </w:r>
    </w:p>
    <w:p w14:paraId="43E727DF">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联系电话：13783327708</w:t>
      </w:r>
    </w:p>
    <w:p w14:paraId="1C8B001F">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地址：驻马店市驿城区文明路168号（天龙大酒店对面）</w:t>
      </w:r>
    </w:p>
    <w:p w14:paraId="681B736E">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3、郑州银行驻马店分行 </w:t>
      </w:r>
    </w:p>
    <w:p w14:paraId="27C0EEFC">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联系人：禹阳</w:t>
      </w:r>
    </w:p>
    <w:p w14:paraId="0C6AF26E">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联系电话：15103825000</w:t>
      </w:r>
    </w:p>
    <w:p w14:paraId="6EEBB581">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地址：河南省驻马店市置地大道与天中山大道交叉口西南角</w:t>
      </w:r>
    </w:p>
    <w:p w14:paraId="3A46DC4D">
      <w:pPr>
        <w:widowControl/>
        <w:wordWrap w:val="0"/>
        <w:spacing w:line="460" w:lineRule="exact"/>
        <w:ind w:firstLine="420" w:firstLineChars="200"/>
        <w:jc w:val="left"/>
        <w:rPr>
          <w:rFonts w:ascii="宋体" w:hAnsi="宋体" w:cs="宋体"/>
          <w:color w:val="auto"/>
          <w:kern w:val="0"/>
          <w:sz w:val="21"/>
          <w:szCs w:val="21"/>
          <w:highlight w:val="none"/>
        </w:rPr>
      </w:pPr>
      <w:r>
        <w:rPr>
          <w:rFonts w:ascii="宋体" w:hAnsi="宋体" w:cs="宋体"/>
          <w:color w:val="auto"/>
          <w:kern w:val="0"/>
          <w:sz w:val="21"/>
          <w:szCs w:val="21"/>
          <w:highlight w:val="none"/>
        </w:rPr>
        <w:t>4</w:t>
      </w:r>
      <w:r>
        <w:rPr>
          <w:rFonts w:hint="eastAsia" w:ascii="宋体" w:hAnsi="宋体" w:cs="宋体"/>
          <w:color w:val="auto"/>
          <w:kern w:val="0"/>
          <w:sz w:val="21"/>
          <w:szCs w:val="21"/>
          <w:highlight w:val="none"/>
        </w:rPr>
        <w:t>、驻马店农村商业银行股份有限公司</w:t>
      </w:r>
    </w:p>
    <w:p w14:paraId="03E7AB52">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联系人：鄢川源</w:t>
      </w:r>
      <w:r>
        <w:rPr>
          <w:rFonts w:ascii="宋体" w:hAnsi="宋体" w:cs="宋体"/>
          <w:color w:val="auto"/>
          <w:kern w:val="0"/>
          <w:sz w:val="21"/>
          <w:szCs w:val="21"/>
          <w:highlight w:val="none"/>
        </w:rPr>
        <w:t xml:space="preserve">  15136590288   3699502</w:t>
      </w:r>
    </w:p>
    <w:p w14:paraId="56ECA12D">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周莉娟</w:t>
      </w:r>
      <w:r>
        <w:rPr>
          <w:rFonts w:ascii="宋体" w:hAnsi="宋体" w:cs="宋体"/>
          <w:color w:val="auto"/>
          <w:kern w:val="0"/>
          <w:sz w:val="21"/>
          <w:szCs w:val="21"/>
          <w:highlight w:val="none"/>
        </w:rPr>
        <w:t xml:space="preserve">  15290172878  3618869</w:t>
      </w:r>
    </w:p>
    <w:p w14:paraId="7358E62D">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地址：驻马店市驿城区文化路</w:t>
      </w:r>
      <w:r>
        <w:rPr>
          <w:rFonts w:ascii="宋体" w:hAnsi="宋体" w:cs="宋体"/>
          <w:color w:val="auto"/>
          <w:kern w:val="0"/>
          <w:sz w:val="21"/>
          <w:szCs w:val="21"/>
          <w:highlight w:val="none"/>
        </w:rPr>
        <w:t>360</w:t>
      </w:r>
      <w:r>
        <w:rPr>
          <w:rFonts w:hint="eastAsia" w:ascii="宋体" w:hAnsi="宋体" w:cs="宋体"/>
          <w:color w:val="auto"/>
          <w:kern w:val="0"/>
          <w:sz w:val="21"/>
          <w:szCs w:val="21"/>
          <w:highlight w:val="none"/>
        </w:rPr>
        <w:t>号</w:t>
      </w:r>
    </w:p>
    <w:p w14:paraId="41061A11">
      <w:pPr>
        <w:widowControl/>
        <w:wordWrap w:val="0"/>
        <w:spacing w:line="460" w:lineRule="exact"/>
        <w:ind w:firstLine="420" w:firstLineChars="200"/>
        <w:jc w:val="left"/>
        <w:rPr>
          <w:rFonts w:ascii="宋体" w:hAnsi="宋体" w:cs="宋体"/>
          <w:color w:val="auto"/>
          <w:kern w:val="0"/>
          <w:sz w:val="21"/>
          <w:szCs w:val="21"/>
          <w:highlight w:val="none"/>
        </w:rPr>
      </w:pPr>
      <w:r>
        <w:rPr>
          <w:rFonts w:ascii="宋体" w:hAnsi="宋体" w:cs="宋体"/>
          <w:color w:val="auto"/>
          <w:kern w:val="0"/>
          <w:sz w:val="21"/>
          <w:szCs w:val="21"/>
          <w:highlight w:val="none"/>
        </w:rPr>
        <w:t>5</w:t>
      </w:r>
      <w:r>
        <w:rPr>
          <w:rFonts w:hint="eastAsia" w:ascii="宋体" w:hAnsi="宋体" w:cs="宋体"/>
          <w:color w:val="auto"/>
          <w:kern w:val="0"/>
          <w:sz w:val="21"/>
          <w:szCs w:val="21"/>
          <w:highlight w:val="none"/>
        </w:rPr>
        <w:t>、中国银行股份有限公司驻马店分行营业部</w:t>
      </w:r>
    </w:p>
    <w:p w14:paraId="796FD8AF">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联系人：罗浩</w:t>
      </w:r>
      <w:r>
        <w:rPr>
          <w:rFonts w:ascii="宋体" w:hAnsi="宋体" w:cs="宋体"/>
          <w:color w:val="auto"/>
          <w:kern w:val="0"/>
          <w:sz w:val="21"/>
          <w:szCs w:val="21"/>
          <w:highlight w:val="none"/>
        </w:rPr>
        <w:t> </w:t>
      </w:r>
      <w:r>
        <w:rPr>
          <w:rFonts w:hint="eastAsia" w:ascii="宋体" w:hAnsi="宋体" w:cs="宋体"/>
          <w:color w:val="auto"/>
          <w:kern w:val="0"/>
          <w:sz w:val="21"/>
          <w:szCs w:val="21"/>
          <w:highlight w:val="none"/>
        </w:rPr>
        <w:t>手机号</w:t>
      </w:r>
      <w:r>
        <w:rPr>
          <w:rFonts w:ascii="宋体" w:hAnsi="宋体" w:cs="宋体"/>
          <w:color w:val="auto"/>
          <w:kern w:val="0"/>
          <w:sz w:val="21"/>
          <w:szCs w:val="21"/>
          <w:highlight w:val="none"/>
        </w:rPr>
        <w:t>15239620736</w:t>
      </w:r>
    </w:p>
    <w:p w14:paraId="5FCCF920">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刘杰</w:t>
      </w:r>
      <w:r>
        <w:rPr>
          <w:rFonts w:ascii="宋体" w:hAnsi="宋体" w:cs="宋体"/>
          <w:color w:val="auto"/>
          <w:kern w:val="0"/>
          <w:sz w:val="21"/>
          <w:szCs w:val="21"/>
          <w:highlight w:val="none"/>
        </w:rPr>
        <w:t> </w:t>
      </w:r>
      <w:r>
        <w:rPr>
          <w:rFonts w:hint="eastAsia" w:ascii="宋体" w:hAnsi="宋体" w:cs="宋体"/>
          <w:color w:val="auto"/>
          <w:kern w:val="0"/>
          <w:sz w:val="21"/>
          <w:szCs w:val="21"/>
          <w:highlight w:val="none"/>
        </w:rPr>
        <w:t>手机号</w:t>
      </w:r>
      <w:r>
        <w:rPr>
          <w:rFonts w:ascii="宋体" w:hAnsi="宋体" w:cs="宋体"/>
          <w:color w:val="auto"/>
          <w:kern w:val="0"/>
          <w:sz w:val="21"/>
          <w:szCs w:val="21"/>
          <w:highlight w:val="none"/>
        </w:rPr>
        <w:t>16639631991</w:t>
      </w:r>
    </w:p>
    <w:p w14:paraId="56B05697">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地址：驻马店市文明路</w:t>
      </w:r>
      <w:r>
        <w:rPr>
          <w:rFonts w:ascii="宋体" w:hAnsi="宋体" w:cs="宋体"/>
          <w:color w:val="auto"/>
          <w:kern w:val="0"/>
          <w:sz w:val="21"/>
          <w:szCs w:val="21"/>
          <w:highlight w:val="none"/>
        </w:rPr>
        <w:t>188</w:t>
      </w:r>
      <w:r>
        <w:rPr>
          <w:rFonts w:hint="eastAsia" w:ascii="宋体" w:hAnsi="宋体" w:cs="宋体"/>
          <w:color w:val="auto"/>
          <w:kern w:val="0"/>
          <w:sz w:val="21"/>
          <w:szCs w:val="21"/>
          <w:highlight w:val="none"/>
        </w:rPr>
        <w:t>号</w:t>
      </w:r>
    </w:p>
    <w:p w14:paraId="3B9275ED">
      <w:pPr>
        <w:widowControl/>
        <w:wordWrap w:val="0"/>
        <w:spacing w:line="460" w:lineRule="exact"/>
        <w:ind w:firstLine="420" w:firstLineChars="200"/>
        <w:jc w:val="left"/>
        <w:rPr>
          <w:rFonts w:ascii="宋体" w:hAnsi="宋体" w:cs="宋体"/>
          <w:color w:val="auto"/>
          <w:kern w:val="0"/>
          <w:sz w:val="21"/>
          <w:szCs w:val="21"/>
          <w:highlight w:val="none"/>
        </w:rPr>
      </w:pPr>
      <w:r>
        <w:rPr>
          <w:rFonts w:ascii="宋体" w:hAnsi="宋体" w:cs="宋体"/>
          <w:color w:val="auto"/>
          <w:kern w:val="0"/>
          <w:sz w:val="21"/>
          <w:szCs w:val="21"/>
          <w:highlight w:val="none"/>
        </w:rPr>
        <w:t>6</w:t>
      </w:r>
      <w:r>
        <w:rPr>
          <w:rFonts w:hint="eastAsia" w:ascii="宋体" w:hAnsi="宋体" w:cs="宋体"/>
          <w:color w:val="auto"/>
          <w:kern w:val="0"/>
          <w:sz w:val="21"/>
          <w:szCs w:val="21"/>
          <w:highlight w:val="none"/>
        </w:rPr>
        <w:t>、中信银行股份有限公司郑州东明路支行</w:t>
      </w:r>
    </w:p>
    <w:p w14:paraId="47F5A7A4">
      <w:pPr>
        <w:widowControl/>
        <w:wordWrap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联系人：李阿萃</w:t>
      </w:r>
      <w:r>
        <w:rPr>
          <w:rFonts w:ascii="宋体" w:hAnsi="宋体" w:cs="宋体"/>
          <w:color w:val="auto"/>
          <w:kern w:val="0"/>
          <w:sz w:val="21"/>
          <w:szCs w:val="21"/>
          <w:highlight w:val="none"/>
        </w:rPr>
        <w:t xml:space="preserve">  18638139933</w:t>
      </w:r>
    </w:p>
    <w:p w14:paraId="4A7B0834">
      <w:pPr>
        <w:widowControl/>
        <w:wordWrap w:val="0"/>
        <w:spacing w:line="46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地址：郑州市东明路与东风路交叉口</w:t>
      </w:r>
    </w:p>
    <w:p w14:paraId="53141E24">
      <w:pPr>
        <w:pStyle w:val="38"/>
        <w:rPr>
          <w:rFonts w:hint="eastAsia" w:ascii="宋体" w:hAnsi="宋体" w:cs="宋体"/>
          <w:color w:val="auto"/>
          <w:kern w:val="0"/>
          <w:sz w:val="21"/>
          <w:szCs w:val="21"/>
          <w:highlight w:val="none"/>
        </w:rPr>
      </w:pPr>
    </w:p>
    <w:p w14:paraId="3AA381C6">
      <w:pPr>
        <w:rPr>
          <w:color w:val="auto"/>
          <w:highlight w:val="none"/>
        </w:rPr>
      </w:pPr>
      <w:r>
        <w:rPr>
          <w:rFonts w:hint="eastAsia" w:ascii="宋体" w:hAnsi="宋体" w:eastAsia="宋体" w:cs="宋体"/>
          <w:b/>
          <w:bCs/>
          <w:color w:val="auto"/>
          <w:sz w:val="21"/>
          <w:szCs w:val="21"/>
          <w:highlight w:val="none"/>
          <w:lang w:val="en-US" w:eastAsia="zh-CN" w:bidi="ar"/>
        </w:rPr>
        <w:t>注：此项仅作为向</w:t>
      </w:r>
      <w:r>
        <w:rPr>
          <w:rFonts w:hint="eastAsia" w:ascii="宋体" w:hAnsi="宋体" w:cs="宋体"/>
          <w:b/>
          <w:bCs/>
          <w:color w:val="auto"/>
          <w:sz w:val="21"/>
          <w:szCs w:val="21"/>
          <w:highlight w:val="none"/>
          <w:lang w:val="en-US" w:eastAsia="zh-CN" w:bidi="ar"/>
        </w:rPr>
        <w:t>供应商</w:t>
      </w:r>
      <w:r>
        <w:rPr>
          <w:rFonts w:hint="eastAsia" w:ascii="宋体" w:hAnsi="宋体" w:eastAsia="宋体" w:cs="宋体"/>
          <w:b/>
          <w:bCs/>
          <w:color w:val="auto"/>
          <w:sz w:val="21"/>
          <w:szCs w:val="21"/>
          <w:highlight w:val="none"/>
          <w:lang w:val="en-US" w:eastAsia="zh-CN" w:bidi="ar"/>
        </w:rPr>
        <w:t>提供的驻马店市政府采购合同融资金融机构联系方式，不作为响应文件格式，可自行保留或删除。</w:t>
      </w:r>
    </w:p>
    <w:sectPr>
      <w:pgSz w:w="11906" w:h="16838"/>
      <w:pgMar w:top="1247" w:right="1474" w:bottom="1417" w:left="1474" w:header="851" w:footer="85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Lucida Sans Unicode"/>
    <w:panose1 w:val="00000000000000000000"/>
    <w:charset w:val="00"/>
    <w:family w:val="auto"/>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swiss"/>
    <w:pitch w:val="default"/>
    <w:sig w:usb0="A00006FF" w:usb1="4000205B" w:usb2="00000010" w:usb3="00000000" w:csb0="2000019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ISOCTEUR">
    <w:altName w:val="Segoe Print"/>
    <w:panose1 w:val="00000000000000000000"/>
    <w:charset w:val="00"/>
    <w:family w:val="auto"/>
    <w:pitch w:val="default"/>
    <w:sig w:usb0="00000000" w:usb1="00000000" w:usb2="00000000" w:usb3="00000000" w:csb0="4000009F" w:csb1="DFD70000"/>
  </w:font>
  <w:font w:name="Segoe Print">
    <w:panose1 w:val="02000600000000000000"/>
    <w:charset w:val="00"/>
    <w:family w:val="auto"/>
    <w:pitch w:val="default"/>
    <w:sig w:usb0="0000028F" w:usb1="00000000" w:usb2="00000000" w:usb3="00000000" w:csb0="2000009F" w:csb1="47010000"/>
  </w:font>
  <w:font w:name="‹ΟGB2312">
    <w:altName w:val="宋体"/>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256AD">
    <w:pPr>
      <w:pStyle w:val="23"/>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2797B">
    <w:pPr>
      <w:pStyle w:val="23"/>
      <w:framePr w:wrap="around" w:vAnchor="text" w:hAnchor="margin" w:xAlign="center" w:y="1"/>
      <w:rPr>
        <w:rStyle w:val="44"/>
      </w:rPr>
    </w:pPr>
    <w:r>
      <w:fldChar w:fldCharType="begin"/>
    </w:r>
    <w:r>
      <w:rPr>
        <w:rStyle w:val="44"/>
      </w:rPr>
      <w:instrText xml:space="preserve">PAGE  </w:instrText>
    </w:r>
    <w:r>
      <w:fldChar w:fldCharType="end"/>
    </w:r>
  </w:p>
  <w:p w14:paraId="30EA3101">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A9F7">
    <w:pPr>
      <w:pStyle w:val="23"/>
    </w:pPr>
    <w:r>
      <w:rPr>
        <w:rFonts w:hint="eastAsia" w:ascii="宋体" w:hAnsi="宋体" w:cs="宋体"/>
        <w:lang w:eastAsia="zh-CN"/>
      </w:rPr>
      <w:t>恒信咨询管理有限公司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0BDE1">
    <w:pPr>
      <w:pStyle w:val="23"/>
      <w:pBdr>
        <w:top w:val="single" w:color="auto" w:sz="4" w:space="1"/>
      </w:pBdr>
      <w:ind w:right="360"/>
      <w:rPr>
        <w:rStyle w:val="44"/>
        <w:rFonts w:hint="eastAsia" w:ascii="宋体" w:hAnsi="宋体"/>
        <w:b w:val="0"/>
        <w:bCs w:val="0"/>
        <w:sz w:val="24"/>
        <w:szCs w:val="24"/>
      </w:rPr>
    </w:pPr>
    <w:r>
      <w:rPr>
        <w:rFonts w:hint="eastAsia"/>
      </w:rPr>
      <w:drawing>
        <wp:anchor distT="0" distB="0" distL="114300" distR="114300" simplePos="0" relativeHeight="251660288" behindDoc="0" locked="0" layoutInCell="1" allowOverlap="1">
          <wp:simplePos x="0" y="0"/>
          <wp:positionH relativeFrom="column">
            <wp:posOffset>-347345</wp:posOffset>
          </wp:positionH>
          <wp:positionV relativeFrom="paragraph">
            <wp:posOffset>-84455</wp:posOffset>
          </wp:positionV>
          <wp:extent cx="339725" cy="254635"/>
          <wp:effectExtent l="0" t="0" r="3175" b="12065"/>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 r:link="rId2"/>
                  <a:stretch>
                    <a:fillRect/>
                  </a:stretch>
                </pic:blipFill>
                <pic:spPr>
                  <a:xfrm>
                    <a:off x="0" y="0"/>
                    <a:ext cx="339725" cy="254635"/>
                  </a:xfrm>
                  <a:prstGeom prst="rect">
                    <a:avLst/>
                  </a:prstGeom>
                  <a:noFill/>
                  <a:ln>
                    <a:noFill/>
                  </a:ln>
                </pic:spPr>
              </pic:pic>
            </a:graphicData>
          </a:graphic>
        </wp:anchor>
      </w:drawing>
    </w:r>
    <w:r>
      <w:rPr>
        <w:b w:val="0"/>
        <w:bCs w:val="0"/>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425BD0">
                          <w:pPr>
                            <w:pStyle w:val="2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07425BD0">
                    <w:pPr>
                      <w:pStyle w:val="2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cs="宋体"/>
        <w:b w:val="0"/>
        <w:bCs w:val="0"/>
        <w:lang w:eastAsia="zh-CN"/>
      </w:rPr>
      <w:t>恒信咨询管理有限公司</w:t>
    </w:r>
    <w:r>
      <w:rPr>
        <w:rFonts w:hint="eastAsia" w:ascii="宋体" w:hAnsi="宋体"/>
        <w:b w:val="0"/>
        <w:bCs w:val="0"/>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37D6">
    <w:pPr>
      <w:pStyle w:val="25"/>
      <w:pBdr>
        <w:bottom w:val="none" w:color="auto" w:sz="0" w:space="1"/>
      </w:pBdr>
      <w:jc w:val="right"/>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A7F1D">
    <w:pPr>
      <w:pStyle w:val="25"/>
      <w:pBdr>
        <w:bottom w:val="single" w:color="auto" w:sz="4" w:space="1"/>
      </w:pBdr>
      <w:jc w:val="right"/>
      <w:rPr>
        <w:rFonts w:hint="default" w:eastAsia="宋体"/>
        <w:lang w:val="en-US" w:eastAsia="zh-CN"/>
      </w:rPr>
    </w:pPr>
    <w:r>
      <w:rPr>
        <w:rFonts w:hint="eastAsia"/>
        <w:lang w:eastAsia="zh-CN"/>
      </w:rPr>
      <w:t>驻马店市中心医院模拟定位机采购项目（</w:t>
    </w:r>
    <w:r>
      <w:rPr>
        <w:rFonts w:hint="eastAsia"/>
        <w:lang w:val="en-US" w:eastAsia="zh-CN"/>
      </w:rPr>
      <w:t>四次</w:t>
    </w:r>
    <w:r>
      <w:rPr>
        <w:rFonts w:hint="eastAsia"/>
        <w:lang w:eastAsia="zh-CN"/>
      </w:rPr>
      <w:t>）</w:t>
    </w:r>
    <w:r>
      <w:rPr>
        <w:rFonts w:hint="eastAsia"/>
        <w:lang w:val="en-US"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5"/>
      <w:lvlText w:val="（%1）"/>
      <w:lvlJc w:val="left"/>
      <w:pPr>
        <w:ind w:left="420" w:hanging="420"/>
      </w:pPr>
      <w:rPr>
        <w:b w:val="0"/>
        <w:bCs w:val="0"/>
        <w:i w:val="0"/>
        <w:iCs w:val="0"/>
        <w:caps w:val="0"/>
        <w:smallCaps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D126CE"/>
    <w:multiLevelType w:val="multilevel"/>
    <w:tmpl w:val="33D126CE"/>
    <w:lvl w:ilvl="0" w:tentative="0">
      <w:start w:val="1"/>
      <w:numFmt w:val="japaneseCounting"/>
      <w:lvlText w:val="第%1章"/>
      <w:lvlJc w:val="left"/>
      <w:pPr>
        <w:ind w:left="3758" w:hanging="975"/>
      </w:pPr>
      <w:rPr>
        <w:rFonts w:hint="default"/>
      </w:rPr>
    </w:lvl>
    <w:lvl w:ilvl="1" w:tentative="0">
      <w:start w:val="1"/>
      <w:numFmt w:val="lowerLetter"/>
      <w:lvlText w:val="%2)"/>
      <w:lvlJc w:val="left"/>
      <w:pPr>
        <w:ind w:left="3623" w:hanging="420"/>
      </w:pPr>
    </w:lvl>
    <w:lvl w:ilvl="2" w:tentative="0">
      <w:start w:val="1"/>
      <w:numFmt w:val="lowerRoman"/>
      <w:lvlText w:val="%3."/>
      <w:lvlJc w:val="right"/>
      <w:pPr>
        <w:ind w:left="4043" w:hanging="420"/>
      </w:pPr>
    </w:lvl>
    <w:lvl w:ilvl="3" w:tentative="0">
      <w:start w:val="1"/>
      <w:numFmt w:val="decimal"/>
      <w:lvlText w:val="%4."/>
      <w:lvlJc w:val="left"/>
      <w:pPr>
        <w:ind w:left="4463" w:hanging="420"/>
      </w:pPr>
    </w:lvl>
    <w:lvl w:ilvl="4" w:tentative="0">
      <w:start w:val="1"/>
      <w:numFmt w:val="lowerLetter"/>
      <w:lvlText w:val="%5)"/>
      <w:lvlJc w:val="left"/>
      <w:pPr>
        <w:ind w:left="4883" w:hanging="420"/>
      </w:pPr>
    </w:lvl>
    <w:lvl w:ilvl="5" w:tentative="0">
      <w:start w:val="1"/>
      <w:numFmt w:val="lowerRoman"/>
      <w:lvlText w:val="%6."/>
      <w:lvlJc w:val="right"/>
      <w:pPr>
        <w:ind w:left="5303" w:hanging="420"/>
      </w:pPr>
    </w:lvl>
    <w:lvl w:ilvl="6" w:tentative="0">
      <w:start w:val="1"/>
      <w:numFmt w:val="decimal"/>
      <w:lvlText w:val="%7."/>
      <w:lvlJc w:val="left"/>
      <w:pPr>
        <w:ind w:left="5723" w:hanging="420"/>
      </w:pPr>
    </w:lvl>
    <w:lvl w:ilvl="7" w:tentative="0">
      <w:start w:val="1"/>
      <w:numFmt w:val="lowerLetter"/>
      <w:lvlText w:val="%8)"/>
      <w:lvlJc w:val="left"/>
      <w:pPr>
        <w:ind w:left="6143" w:hanging="420"/>
      </w:pPr>
    </w:lvl>
    <w:lvl w:ilvl="8" w:tentative="0">
      <w:start w:val="1"/>
      <w:numFmt w:val="lowerRoman"/>
      <w:lvlText w:val="%9."/>
      <w:lvlJc w:val="right"/>
      <w:pPr>
        <w:ind w:left="6563" w:hanging="420"/>
      </w:pPr>
    </w:lvl>
  </w:abstractNum>
  <w:abstractNum w:abstractNumId="2">
    <w:nsid w:val="72354A7F"/>
    <w:multiLevelType w:val="singleLevel"/>
    <w:tmpl w:val="72354A7F"/>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A37F61"/>
    <w:rsid w:val="00000B50"/>
    <w:rsid w:val="00000FF5"/>
    <w:rsid w:val="00001501"/>
    <w:rsid w:val="00001F83"/>
    <w:rsid w:val="00002D6E"/>
    <w:rsid w:val="00003272"/>
    <w:rsid w:val="000032C4"/>
    <w:rsid w:val="0000356E"/>
    <w:rsid w:val="0000444D"/>
    <w:rsid w:val="000046FC"/>
    <w:rsid w:val="00004D76"/>
    <w:rsid w:val="0000506F"/>
    <w:rsid w:val="000055D7"/>
    <w:rsid w:val="0000566C"/>
    <w:rsid w:val="000060D1"/>
    <w:rsid w:val="0000621E"/>
    <w:rsid w:val="00006668"/>
    <w:rsid w:val="0000793B"/>
    <w:rsid w:val="00007CE3"/>
    <w:rsid w:val="0001013D"/>
    <w:rsid w:val="00010631"/>
    <w:rsid w:val="00010AC5"/>
    <w:rsid w:val="00010E84"/>
    <w:rsid w:val="0001140C"/>
    <w:rsid w:val="00012355"/>
    <w:rsid w:val="0001273B"/>
    <w:rsid w:val="0001313B"/>
    <w:rsid w:val="00015866"/>
    <w:rsid w:val="0001721E"/>
    <w:rsid w:val="00017952"/>
    <w:rsid w:val="0002205B"/>
    <w:rsid w:val="00022A5F"/>
    <w:rsid w:val="00022CE1"/>
    <w:rsid w:val="00022D86"/>
    <w:rsid w:val="00023148"/>
    <w:rsid w:val="000235C3"/>
    <w:rsid w:val="0002472B"/>
    <w:rsid w:val="00024FAA"/>
    <w:rsid w:val="00025E8C"/>
    <w:rsid w:val="00026014"/>
    <w:rsid w:val="0002644D"/>
    <w:rsid w:val="000268C1"/>
    <w:rsid w:val="00026E91"/>
    <w:rsid w:val="000279BD"/>
    <w:rsid w:val="000303CD"/>
    <w:rsid w:val="00030474"/>
    <w:rsid w:val="0003066F"/>
    <w:rsid w:val="00030BD6"/>
    <w:rsid w:val="0003133A"/>
    <w:rsid w:val="00033186"/>
    <w:rsid w:val="00033C2C"/>
    <w:rsid w:val="00034D0D"/>
    <w:rsid w:val="00034F45"/>
    <w:rsid w:val="00035A15"/>
    <w:rsid w:val="00035BDD"/>
    <w:rsid w:val="000365C6"/>
    <w:rsid w:val="00036B7C"/>
    <w:rsid w:val="000377EE"/>
    <w:rsid w:val="00037C2C"/>
    <w:rsid w:val="00037E9C"/>
    <w:rsid w:val="000409F0"/>
    <w:rsid w:val="0004124A"/>
    <w:rsid w:val="000422B5"/>
    <w:rsid w:val="0004280F"/>
    <w:rsid w:val="00043B62"/>
    <w:rsid w:val="00043C01"/>
    <w:rsid w:val="0004624D"/>
    <w:rsid w:val="0004633A"/>
    <w:rsid w:val="000472AE"/>
    <w:rsid w:val="00050100"/>
    <w:rsid w:val="000507A3"/>
    <w:rsid w:val="00050D82"/>
    <w:rsid w:val="000527CC"/>
    <w:rsid w:val="00053052"/>
    <w:rsid w:val="000534D1"/>
    <w:rsid w:val="00053585"/>
    <w:rsid w:val="00054290"/>
    <w:rsid w:val="00054B9F"/>
    <w:rsid w:val="00055388"/>
    <w:rsid w:val="00055A9C"/>
    <w:rsid w:val="000560F7"/>
    <w:rsid w:val="0005635D"/>
    <w:rsid w:val="000567DA"/>
    <w:rsid w:val="00056886"/>
    <w:rsid w:val="00056C81"/>
    <w:rsid w:val="00057687"/>
    <w:rsid w:val="00057B7E"/>
    <w:rsid w:val="00057BBB"/>
    <w:rsid w:val="00057F1D"/>
    <w:rsid w:val="000600F3"/>
    <w:rsid w:val="0006017F"/>
    <w:rsid w:val="00060BC9"/>
    <w:rsid w:val="00060EF8"/>
    <w:rsid w:val="000615CD"/>
    <w:rsid w:val="000616F4"/>
    <w:rsid w:val="00061BE2"/>
    <w:rsid w:val="0006227A"/>
    <w:rsid w:val="000623C5"/>
    <w:rsid w:val="0006258E"/>
    <w:rsid w:val="0006381B"/>
    <w:rsid w:val="000653D5"/>
    <w:rsid w:val="000656E0"/>
    <w:rsid w:val="00065AA9"/>
    <w:rsid w:val="00065AF0"/>
    <w:rsid w:val="00066019"/>
    <w:rsid w:val="00066DB8"/>
    <w:rsid w:val="00067285"/>
    <w:rsid w:val="00067D8E"/>
    <w:rsid w:val="00070183"/>
    <w:rsid w:val="00070895"/>
    <w:rsid w:val="000709D0"/>
    <w:rsid w:val="00071079"/>
    <w:rsid w:val="00071429"/>
    <w:rsid w:val="00071DCB"/>
    <w:rsid w:val="00072022"/>
    <w:rsid w:val="000721B9"/>
    <w:rsid w:val="000725AF"/>
    <w:rsid w:val="00072E0B"/>
    <w:rsid w:val="00074069"/>
    <w:rsid w:val="00074401"/>
    <w:rsid w:val="0007465F"/>
    <w:rsid w:val="000761DF"/>
    <w:rsid w:val="000778AD"/>
    <w:rsid w:val="000805FC"/>
    <w:rsid w:val="00080860"/>
    <w:rsid w:val="00081089"/>
    <w:rsid w:val="0008159C"/>
    <w:rsid w:val="00082DE5"/>
    <w:rsid w:val="000830D4"/>
    <w:rsid w:val="00083492"/>
    <w:rsid w:val="000836BA"/>
    <w:rsid w:val="00084281"/>
    <w:rsid w:val="00084D4E"/>
    <w:rsid w:val="000860D8"/>
    <w:rsid w:val="00086C91"/>
    <w:rsid w:val="000900EA"/>
    <w:rsid w:val="00090484"/>
    <w:rsid w:val="00091495"/>
    <w:rsid w:val="00091909"/>
    <w:rsid w:val="00092B82"/>
    <w:rsid w:val="00093150"/>
    <w:rsid w:val="000938B9"/>
    <w:rsid w:val="00093A82"/>
    <w:rsid w:val="00093DBD"/>
    <w:rsid w:val="00094656"/>
    <w:rsid w:val="00094755"/>
    <w:rsid w:val="000955ED"/>
    <w:rsid w:val="00095E9E"/>
    <w:rsid w:val="000964BA"/>
    <w:rsid w:val="00096B2E"/>
    <w:rsid w:val="00097812"/>
    <w:rsid w:val="00097AEA"/>
    <w:rsid w:val="000A0464"/>
    <w:rsid w:val="000A1A08"/>
    <w:rsid w:val="000A24A2"/>
    <w:rsid w:val="000A2905"/>
    <w:rsid w:val="000A2D06"/>
    <w:rsid w:val="000A3131"/>
    <w:rsid w:val="000A3494"/>
    <w:rsid w:val="000A3A2B"/>
    <w:rsid w:val="000A4521"/>
    <w:rsid w:val="000A4606"/>
    <w:rsid w:val="000A4E9C"/>
    <w:rsid w:val="000A5B8E"/>
    <w:rsid w:val="000A5E33"/>
    <w:rsid w:val="000A7423"/>
    <w:rsid w:val="000A7D94"/>
    <w:rsid w:val="000B0AC7"/>
    <w:rsid w:val="000B3548"/>
    <w:rsid w:val="000B4243"/>
    <w:rsid w:val="000B48D6"/>
    <w:rsid w:val="000B4AEC"/>
    <w:rsid w:val="000B6756"/>
    <w:rsid w:val="000B74F1"/>
    <w:rsid w:val="000C1EFB"/>
    <w:rsid w:val="000C48D9"/>
    <w:rsid w:val="000C4A06"/>
    <w:rsid w:val="000C4B98"/>
    <w:rsid w:val="000C4D1F"/>
    <w:rsid w:val="000C5D4A"/>
    <w:rsid w:val="000C5E1B"/>
    <w:rsid w:val="000C6009"/>
    <w:rsid w:val="000C606D"/>
    <w:rsid w:val="000C6489"/>
    <w:rsid w:val="000C7575"/>
    <w:rsid w:val="000C7993"/>
    <w:rsid w:val="000C7C8C"/>
    <w:rsid w:val="000D0296"/>
    <w:rsid w:val="000D02DB"/>
    <w:rsid w:val="000D1553"/>
    <w:rsid w:val="000D15F7"/>
    <w:rsid w:val="000D1CF1"/>
    <w:rsid w:val="000D2744"/>
    <w:rsid w:val="000D275D"/>
    <w:rsid w:val="000D3375"/>
    <w:rsid w:val="000D38EB"/>
    <w:rsid w:val="000D4B54"/>
    <w:rsid w:val="000D4BA0"/>
    <w:rsid w:val="000D52EC"/>
    <w:rsid w:val="000E0488"/>
    <w:rsid w:val="000E0D38"/>
    <w:rsid w:val="000E19C9"/>
    <w:rsid w:val="000E1AA8"/>
    <w:rsid w:val="000E2200"/>
    <w:rsid w:val="000E23C6"/>
    <w:rsid w:val="000E2EE0"/>
    <w:rsid w:val="000E3B72"/>
    <w:rsid w:val="000E403E"/>
    <w:rsid w:val="000E430C"/>
    <w:rsid w:val="000E45F7"/>
    <w:rsid w:val="000E46AA"/>
    <w:rsid w:val="000E4881"/>
    <w:rsid w:val="000E62BC"/>
    <w:rsid w:val="000E68D1"/>
    <w:rsid w:val="000E6A7F"/>
    <w:rsid w:val="000E79D5"/>
    <w:rsid w:val="000F04FF"/>
    <w:rsid w:val="000F0CAD"/>
    <w:rsid w:val="000F2378"/>
    <w:rsid w:val="000F24AE"/>
    <w:rsid w:val="000F327F"/>
    <w:rsid w:val="000F340B"/>
    <w:rsid w:val="000F3CC9"/>
    <w:rsid w:val="000F3F3F"/>
    <w:rsid w:val="000F4394"/>
    <w:rsid w:val="000F4719"/>
    <w:rsid w:val="000F4A40"/>
    <w:rsid w:val="000F50C1"/>
    <w:rsid w:val="000F55FB"/>
    <w:rsid w:val="000F5A90"/>
    <w:rsid w:val="000F5F97"/>
    <w:rsid w:val="000F629B"/>
    <w:rsid w:val="000F648E"/>
    <w:rsid w:val="000F66D7"/>
    <w:rsid w:val="000F69FD"/>
    <w:rsid w:val="001001AC"/>
    <w:rsid w:val="001002CC"/>
    <w:rsid w:val="001008D1"/>
    <w:rsid w:val="00100DEA"/>
    <w:rsid w:val="00101385"/>
    <w:rsid w:val="00102414"/>
    <w:rsid w:val="001025CD"/>
    <w:rsid w:val="00102A29"/>
    <w:rsid w:val="00102C81"/>
    <w:rsid w:val="00103582"/>
    <w:rsid w:val="001039C4"/>
    <w:rsid w:val="001041E6"/>
    <w:rsid w:val="0010453D"/>
    <w:rsid w:val="00104B64"/>
    <w:rsid w:val="0010501A"/>
    <w:rsid w:val="00105AF8"/>
    <w:rsid w:val="00105C0B"/>
    <w:rsid w:val="00106488"/>
    <w:rsid w:val="001064F6"/>
    <w:rsid w:val="001066C3"/>
    <w:rsid w:val="001072F4"/>
    <w:rsid w:val="00110A03"/>
    <w:rsid w:val="00110C69"/>
    <w:rsid w:val="00110DEF"/>
    <w:rsid w:val="001129D1"/>
    <w:rsid w:val="0011373E"/>
    <w:rsid w:val="00113FB2"/>
    <w:rsid w:val="00114BDE"/>
    <w:rsid w:val="0011508B"/>
    <w:rsid w:val="00115862"/>
    <w:rsid w:val="00115A5D"/>
    <w:rsid w:val="0011673E"/>
    <w:rsid w:val="00116DB9"/>
    <w:rsid w:val="00116F37"/>
    <w:rsid w:val="00117247"/>
    <w:rsid w:val="001207C6"/>
    <w:rsid w:val="0012087C"/>
    <w:rsid w:val="00120C4D"/>
    <w:rsid w:val="001222F6"/>
    <w:rsid w:val="00123377"/>
    <w:rsid w:val="001234A5"/>
    <w:rsid w:val="001238ED"/>
    <w:rsid w:val="0012403D"/>
    <w:rsid w:val="0012439C"/>
    <w:rsid w:val="00124727"/>
    <w:rsid w:val="001247C9"/>
    <w:rsid w:val="001249C5"/>
    <w:rsid w:val="00125190"/>
    <w:rsid w:val="00125626"/>
    <w:rsid w:val="001269A0"/>
    <w:rsid w:val="00127A56"/>
    <w:rsid w:val="00127C20"/>
    <w:rsid w:val="00131147"/>
    <w:rsid w:val="001311EF"/>
    <w:rsid w:val="001312AC"/>
    <w:rsid w:val="00131336"/>
    <w:rsid w:val="0013181A"/>
    <w:rsid w:val="001324D0"/>
    <w:rsid w:val="00132D2C"/>
    <w:rsid w:val="00133B3A"/>
    <w:rsid w:val="00134022"/>
    <w:rsid w:val="001342AC"/>
    <w:rsid w:val="00134D2E"/>
    <w:rsid w:val="00134E2F"/>
    <w:rsid w:val="0013579B"/>
    <w:rsid w:val="00135AC7"/>
    <w:rsid w:val="00136137"/>
    <w:rsid w:val="00136353"/>
    <w:rsid w:val="00137840"/>
    <w:rsid w:val="00137BEF"/>
    <w:rsid w:val="00137C55"/>
    <w:rsid w:val="00140792"/>
    <w:rsid w:val="0014178A"/>
    <w:rsid w:val="00141BA5"/>
    <w:rsid w:val="00141DCF"/>
    <w:rsid w:val="00142080"/>
    <w:rsid w:val="00143895"/>
    <w:rsid w:val="00143B05"/>
    <w:rsid w:val="00143BBE"/>
    <w:rsid w:val="00143CF1"/>
    <w:rsid w:val="001458B5"/>
    <w:rsid w:val="00145A8B"/>
    <w:rsid w:val="0014611D"/>
    <w:rsid w:val="00146310"/>
    <w:rsid w:val="001469CA"/>
    <w:rsid w:val="00147BAB"/>
    <w:rsid w:val="0015041D"/>
    <w:rsid w:val="001512FA"/>
    <w:rsid w:val="00151C1F"/>
    <w:rsid w:val="00151D3A"/>
    <w:rsid w:val="001543EE"/>
    <w:rsid w:val="00154496"/>
    <w:rsid w:val="00154821"/>
    <w:rsid w:val="001548E8"/>
    <w:rsid w:val="0015527F"/>
    <w:rsid w:val="00155E8D"/>
    <w:rsid w:val="0015663B"/>
    <w:rsid w:val="001572A3"/>
    <w:rsid w:val="001577AE"/>
    <w:rsid w:val="001602D1"/>
    <w:rsid w:val="001609B4"/>
    <w:rsid w:val="00160E0E"/>
    <w:rsid w:val="0016265D"/>
    <w:rsid w:val="00162A70"/>
    <w:rsid w:val="00162AE6"/>
    <w:rsid w:val="00163128"/>
    <w:rsid w:val="001632CC"/>
    <w:rsid w:val="00163577"/>
    <w:rsid w:val="0016365A"/>
    <w:rsid w:val="001643BB"/>
    <w:rsid w:val="001644E5"/>
    <w:rsid w:val="001656B3"/>
    <w:rsid w:val="00165841"/>
    <w:rsid w:val="0016659F"/>
    <w:rsid w:val="00167426"/>
    <w:rsid w:val="0017125C"/>
    <w:rsid w:val="0017147A"/>
    <w:rsid w:val="00171544"/>
    <w:rsid w:val="00173497"/>
    <w:rsid w:val="00173EC4"/>
    <w:rsid w:val="001748D6"/>
    <w:rsid w:val="00174A70"/>
    <w:rsid w:val="00176455"/>
    <w:rsid w:val="00176C13"/>
    <w:rsid w:val="00176CE6"/>
    <w:rsid w:val="00176EAD"/>
    <w:rsid w:val="001779E7"/>
    <w:rsid w:val="001813C8"/>
    <w:rsid w:val="0018230E"/>
    <w:rsid w:val="00182505"/>
    <w:rsid w:val="00182625"/>
    <w:rsid w:val="00182956"/>
    <w:rsid w:val="00184998"/>
    <w:rsid w:val="00184C13"/>
    <w:rsid w:val="00185847"/>
    <w:rsid w:val="00185C1D"/>
    <w:rsid w:val="00185F16"/>
    <w:rsid w:val="00186687"/>
    <w:rsid w:val="00186A39"/>
    <w:rsid w:val="00186BDE"/>
    <w:rsid w:val="001878CA"/>
    <w:rsid w:val="001906A7"/>
    <w:rsid w:val="001912C5"/>
    <w:rsid w:val="00191344"/>
    <w:rsid w:val="00192CC4"/>
    <w:rsid w:val="001941C2"/>
    <w:rsid w:val="00194C28"/>
    <w:rsid w:val="0019603A"/>
    <w:rsid w:val="0019661D"/>
    <w:rsid w:val="00196DE8"/>
    <w:rsid w:val="0019717B"/>
    <w:rsid w:val="001A0469"/>
    <w:rsid w:val="001A1BC2"/>
    <w:rsid w:val="001A1DF2"/>
    <w:rsid w:val="001A2F40"/>
    <w:rsid w:val="001A3539"/>
    <w:rsid w:val="001A48D7"/>
    <w:rsid w:val="001A4DAE"/>
    <w:rsid w:val="001A5786"/>
    <w:rsid w:val="001A61E8"/>
    <w:rsid w:val="001A6246"/>
    <w:rsid w:val="001A7C68"/>
    <w:rsid w:val="001B0430"/>
    <w:rsid w:val="001B06CB"/>
    <w:rsid w:val="001B2474"/>
    <w:rsid w:val="001B376F"/>
    <w:rsid w:val="001B3CD7"/>
    <w:rsid w:val="001B4F36"/>
    <w:rsid w:val="001B6004"/>
    <w:rsid w:val="001B63C9"/>
    <w:rsid w:val="001B6F18"/>
    <w:rsid w:val="001B745F"/>
    <w:rsid w:val="001B7AD0"/>
    <w:rsid w:val="001C02C9"/>
    <w:rsid w:val="001C0823"/>
    <w:rsid w:val="001C116C"/>
    <w:rsid w:val="001C12F6"/>
    <w:rsid w:val="001C15EA"/>
    <w:rsid w:val="001C1ABE"/>
    <w:rsid w:val="001C1B5A"/>
    <w:rsid w:val="001C1E81"/>
    <w:rsid w:val="001C201B"/>
    <w:rsid w:val="001C204B"/>
    <w:rsid w:val="001C416D"/>
    <w:rsid w:val="001C48A3"/>
    <w:rsid w:val="001C55DB"/>
    <w:rsid w:val="001C620E"/>
    <w:rsid w:val="001C6631"/>
    <w:rsid w:val="001C687D"/>
    <w:rsid w:val="001C6C1C"/>
    <w:rsid w:val="001D0465"/>
    <w:rsid w:val="001D098F"/>
    <w:rsid w:val="001D0AFD"/>
    <w:rsid w:val="001D184A"/>
    <w:rsid w:val="001D1A93"/>
    <w:rsid w:val="001D1B2B"/>
    <w:rsid w:val="001D2BB4"/>
    <w:rsid w:val="001D4D60"/>
    <w:rsid w:val="001D5425"/>
    <w:rsid w:val="001D6D14"/>
    <w:rsid w:val="001D6F2E"/>
    <w:rsid w:val="001D7C92"/>
    <w:rsid w:val="001E0857"/>
    <w:rsid w:val="001E0D82"/>
    <w:rsid w:val="001E1CD0"/>
    <w:rsid w:val="001E214A"/>
    <w:rsid w:val="001E2920"/>
    <w:rsid w:val="001E3668"/>
    <w:rsid w:val="001E3BF6"/>
    <w:rsid w:val="001E3CB2"/>
    <w:rsid w:val="001E40D0"/>
    <w:rsid w:val="001E43F7"/>
    <w:rsid w:val="001E45F1"/>
    <w:rsid w:val="001E639E"/>
    <w:rsid w:val="001E69CC"/>
    <w:rsid w:val="001E6B36"/>
    <w:rsid w:val="001E77B4"/>
    <w:rsid w:val="001E7EBE"/>
    <w:rsid w:val="001E7F97"/>
    <w:rsid w:val="001F0839"/>
    <w:rsid w:val="001F2023"/>
    <w:rsid w:val="001F2327"/>
    <w:rsid w:val="001F32FF"/>
    <w:rsid w:val="001F380A"/>
    <w:rsid w:val="001F3F6D"/>
    <w:rsid w:val="001F438B"/>
    <w:rsid w:val="001F6271"/>
    <w:rsid w:val="001F65E4"/>
    <w:rsid w:val="001F6636"/>
    <w:rsid w:val="001F7B70"/>
    <w:rsid w:val="00200261"/>
    <w:rsid w:val="002003BA"/>
    <w:rsid w:val="002007A8"/>
    <w:rsid w:val="00200D28"/>
    <w:rsid w:val="0020168C"/>
    <w:rsid w:val="00202328"/>
    <w:rsid w:val="0020253C"/>
    <w:rsid w:val="00203D75"/>
    <w:rsid w:val="00203E64"/>
    <w:rsid w:val="002043C6"/>
    <w:rsid w:val="002046C1"/>
    <w:rsid w:val="00205828"/>
    <w:rsid w:val="00206A8F"/>
    <w:rsid w:val="00206F29"/>
    <w:rsid w:val="002073C6"/>
    <w:rsid w:val="00207B28"/>
    <w:rsid w:val="0021146A"/>
    <w:rsid w:val="00211762"/>
    <w:rsid w:val="00213609"/>
    <w:rsid w:val="00215BC5"/>
    <w:rsid w:val="0021758B"/>
    <w:rsid w:val="00217DE6"/>
    <w:rsid w:val="00220F64"/>
    <w:rsid w:val="002211DF"/>
    <w:rsid w:val="0022161A"/>
    <w:rsid w:val="002226B4"/>
    <w:rsid w:val="00222C5E"/>
    <w:rsid w:val="00222DDC"/>
    <w:rsid w:val="002230D1"/>
    <w:rsid w:val="00223F72"/>
    <w:rsid w:val="00224A04"/>
    <w:rsid w:val="00224DD5"/>
    <w:rsid w:val="00225298"/>
    <w:rsid w:val="00226DB9"/>
    <w:rsid w:val="0022722D"/>
    <w:rsid w:val="00227534"/>
    <w:rsid w:val="00227C82"/>
    <w:rsid w:val="00227E82"/>
    <w:rsid w:val="00230083"/>
    <w:rsid w:val="0023073B"/>
    <w:rsid w:val="00230BE9"/>
    <w:rsid w:val="00230C50"/>
    <w:rsid w:val="00231327"/>
    <w:rsid w:val="00232434"/>
    <w:rsid w:val="00232A2A"/>
    <w:rsid w:val="00232EE6"/>
    <w:rsid w:val="0023373D"/>
    <w:rsid w:val="00233923"/>
    <w:rsid w:val="0023491A"/>
    <w:rsid w:val="002355F1"/>
    <w:rsid w:val="00235D95"/>
    <w:rsid w:val="00236517"/>
    <w:rsid w:val="00236B6D"/>
    <w:rsid w:val="00236F08"/>
    <w:rsid w:val="0023750F"/>
    <w:rsid w:val="00237E0C"/>
    <w:rsid w:val="002400AA"/>
    <w:rsid w:val="002412B9"/>
    <w:rsid w:val="0024172B"/>
    <w:rsid w:val="00241980"/>
    <w:rsid w:val="00242965"/>
    <w:rsid w:val="00242B7B"/>
    <w:rsid w:val="002431BC"/>
    <w:rsid w:val="00245C14"/>
    <w:rsid w:val="00245F34"/>
    <w:rsid w:val="00245F67"/>
    <w:rsid w:val="00246727"/>
    <w:rsid w:val="00246846"/>
    <w:rsid w:val="0024772E"/>
    <w:rsid w:val="00247E55"/>
    <w:rsid w:val="00250229"/>
    <w:rsid w:val="00250457"/>
    <w:rsid w:val="00250C8E"/>
    <w:rsid w:val="00250D58"/>
    <w:rsid w:val="0025140B"/>
    <w:rsid w:val="00251461"/>
    <w:rsid w:val="0025193B"/>
    <w:rsid w:val="0025206F"/>
    <w:rsid w:val="0025247F"/>
    <w:rsid w:val="00253372"/>
    <w:rsid w:val="0025539E"/>
    <w:rsid w:val="002553BB"/>
    <w:rsid w:val="00256527"/>
    <w:rsid w:val="00256982"/>
    <w:rsid w:val="00256FA9"/>
    <w:rsid w:val="00257BDF"/>
    <w:rsid w:val="0026019E"/>
    <w:rsid w:val="00260369"/>
    <w:rsid w:val="0026075A"/>
    <w:rsid w:val="00260B0F"/>
    <w:rsid w:val="00260E0C"/>
    <w:rsid w:val="00260F4A"/>
    <w:rsid w:val="002618B6"/>
    <w:rsid w:val="00262481"/>
    <w:rsid w:val="002624A8"/>
    <w:rsid w:val="00262A61"/>
    <w:rsid w:val="00264126"/>
    <w:rsid w:val="00264680"/>
    <w:rsid w:val="002653E0"/>
    <w:rsid w:val="0026600D"/>
    <w:rsid w:val="0026652B"/>
    <w:rsid w:val="0026778A"/>
    <w:rsid w:val="00267A08"/>
    <w:rsid w:val="00270A88"/>
    <w:rsid w:val="00270E2C"/>
    <w:rsid w:val="00271635"/>
    <w:rsid w:val="00271C75"/>
    <w:rsid w:val="0027234D"/>
    <w:rsid w:val="00272739"/>
    <w:rsid w:val="002739DA"/>
    <w:rsid w:val="00274774"/>
    <w:rsid w:val="002748C1"/>
    <w:rsid w:val="00274CA6"/>
    <w:rsid w:val="0027506A"/>
    <w:rsid w:val="002757C2"/>
    <w:rsid w:val="00275E61"/>
    <w:rsid w:val="00277870"/>
    <w:rsid w:val="00281416"/>
    <w:rsid w:val="00281BA4"/>
    <w:rsid w:val="0028644D"/>
    <w:rsid w:val="00286CA8"/>
    <w:rsid w:val="002871D2"/>
    <w:rsid w:val="00287802"/>
    <w:rsid w:val="002902AE"/>
    <w:rsid w:val="002908CF"/>
    <w:rsid w:val="00290A05"/>
    <w:rsid w:val="00291C01"/>
    <w:rsid w:val="00292237"/>
    <w:rsid w:val="00293822"/>
    <w:rsid w:val="00293CEC"/>
    <w:rsid w:val="00295693"/>
    <w:rsid w:val="002956DC"/>
    <w:rsid w:val="002960CF"/>
    <w:rsid w:val="002965BF"/>
    <w:rsid w:val="002966A9"/>
    <w:rsid w:val="002969BD"/>
    <w:rsid w:val="00296B7B"/>
    <w:rsid w:val="002974A9"/>
    <w:rsid w:val="00297E3A"/>
    <w:rsid w:val="002A078E"/>
    <w:rsid w:val="002A0A95"/>
    <w:rsid w:val="002A0EA9"/>
    <w:rsid w:val="002A157E"/>
    <w:rsid w:val="002A1C38"/>
    <w:rsid w:val="002A2F19"/>
    <w:rsid w:val="002A30D6"/>
    <w:rsid w:val="002A3103"/>
    <w:rsid w:val="002A36C1"/>
    <w:rsid w:val="002A3D2E"/>
    <w:rsid w:val="002A4A51"/>
    <w:rsid w:val="002A664E"/>
    <w:rsid w:val="002A7A32"/>
    <w:rsid w:val="002B027E"/>
    <w:rsid w:val="002B0FFF"/>
    <w:rsid w:val="002B1016"/>
    <w:rsid w:val="002B1093"/>
    <w:rsid w:val="002B22BC"/>
    <w:rsid w:val="002B2814"/>
    <w:rsid w:val="002B284A"/>
    <w:rsid w:val="002B299B"/>
    <w:rsid w:val="002B2AB4"/>
    <w:rsid w:val="002B3C25"/>
    <w:rsid w:val="002B6A2B"/>
    <w:rsid w:val="002B7965"/>
    <w:rsid w:val="002C0108"/>
    <w:rsid w:val="002C15B9"/>
    <w:rsid w:val="002C3F43"/>
    <w:rsid w:val="002C53ED"/>
    <w:rsid w:val="002C6409"/>
    <w:rsid w:val="002C6590"/>
    <w:rsid w:val="002C6985"/>
    <w:rsid w:val="002C6B42"/>
    <w:rsid w:val="002C6CC6"/>
    <w:rsid w:val="002D1955"/>
    <w:rsid w:val="002D1B46"/>
    <w:rsid w:val="002D2251"/>
    <w:rsid w:val="002D30D7"/>
    <w:rsid w:val="002D320C"/>
    <w:rsid w:val="002D4A84"/>
    <w:rsid w:val="002D52D7"/>
    <w:rsid w:val="002D5691"/>
    <w:rsid w:val="002D5A81"/>
    <w:rsid w:val="002D748E"/>
    <w:rsid w:val="002D7793"/>
    <w:rsid w:val="002D7EFA"/>
    <w:rsid w:val="002E056D"/>
    <w:rsid w:val="002E07A6"/>
    <w:rsid w:val="002E0A53"/>
    <w:rsid w:val="002E0E13"/>
    <w:rsid w:val="002E112A"/>
    <w:rsid w:val="002E2477"/>
    <w:rsid w:val="002E2DE3"/>
    <w:rsid w:val="002E3B1D"/>
    <w:rsid w:val="002E4C19"/>
    <w:rsid w:val="002E5330"/>
    <w:rsid w:val="002E597E"/>
    <w:rsid w:val="002E6167"/>
    <w:rsid w:val="002E6322"/>
    <w:rsid w:val="002F04C6"/>
    <w:rsid w:val="002F087B"/>
    <w:rsid w:val="002F0C66"/>
    <w:rsid w:val="002F1323"/>
    <w:rsid w:val="002F221B"/>
    <w:rsid w:val="002F34BD"/>
    <w:rsid w:val="002F3F00"/>
    <w:rsid w:val="002F4C15"/>
    <w:rsid w:val="002F5693"/>
    <w:rsid w:val="002F5893"/>
    <w:rsid w:val="002F640E"/>
    <w:rsid w:val="002F650A"/>
    <w:rsid w:val="002F6602"/>
    <w:rsid w:val="002F6CA5"/>
    <w:rsid w:val="002F6ED9"/>
    <w:rsid w:val="00300D5E"/>
    <w:rsid w:val="00301445"/>
    <w:rsid w:val="003014CA"/>
    <w:rsid w:val="00303382"/>
    <w:rsid w:val="00303588"/>
    <w:rsid w:val="00303626"/>
    <w:rsid w:val="00303B94"/>
    <w:rsid w:val="003042B9"/>
    <w:rsid w:val="00304693"/>
    <w:rsid w:val="003062DB"/>
    <w:rsid w:val="003074F3"/>
    <w:rsid w:val="00307765"/>
    <w:rsid w:val="003077BE"/>
    <w:rsid w:val="003113F2"/>
    <w:rsid w:val="0031229F"/>
    <w:rsid w:val="00313767"/>
    <w:rsid w:val="00313901"/>
    <w:rsid w:val="00315B3E"/>
    <w:rsid w:val="00316AAF"/>
    <w:rsid w:val="00316D7E"/>
    <w:rsid w:val="00317076"/>
    <w:rsid w:val="003200DC"/>
    <w:rsid w:val="00320412"/>
    <w:rsid w:val="003205C9"/>
    <w:rsid w:val="003217C2"/>
    <w:rsid w:val="003225F2"/>
    <w:rsid w:val="0032285C"/>
    <w:rsid w:val="00325AB0"/>
    <w:rsid w:val="00325C1E"/>
    <w:rsid w:val="00326B9E"/>
    <w:rsid w:val="00327343"/>
    <w:rsid w:val="00327DE3"/>
    <w:rsid w:val="003306E3"/>
    <w:rsid w:val="003308C3"/>
    <w:rsid w:val="00330A42"/>
    <w:rsid w:val="0033113C"/>
    <w:rsid w:val="00332AA8"/>
    <w:rsid w:val="003333B6"/>
    <w:rsid w:val="00333458"/>
    <w:rsid w:val="0033369F"/>
    <w:rsid w:val="003348F3"/>
    <w:rsid w:val="0033610C"/>
    <w:rsid w:val="003371ED"/>
    <w:rsid w:val="00337212"/>
    <w:rsid w:val="00337832"/>
    <w:rsid w:val="00337E66"/>
    <w:rsid w:val="00340E49"/>
    <w:rsid w:val="00341015"/>
    <w:rsid w:val="00341713"/>
    <w:rsid w:val="00343304"/>
    <w:rsid w:val="00343EEC"/>
    <w:rsid w:val="00343F55"/>
    <w:rsid w:val="0034408A"/>
    <w:rsid w:val="00345474"/>
    <w:rsid w:val="00345A35"/>
    <w:rsid w:val="003461D6"/>
    <w:rsid w:val="00346507"/>
    <w:rsid w:val="00346754"/>
    <w:rsid w:val="003469A8"/>
    <w:rsid w:val="00346BE0"/>
    <w:rsid w:val="00347BDE"/>
    <w:rsid w:val="00347E49"/>
    <w:rsid w:val="00350821"/>
    <w:rsid w:val="00352323"/>
    <w:rsid w:val="00352357"/>
    <w:rsid w:val="0035244C"/>
    <w:rsid w:val="00352780"/>
    <w:rsid w:val="00354249"/>
    <w:rsid w:val="00355047"/>
    <w:rsid w:val="003564F8"/>
    <w:rsid w:val="00356539"/>
    <w:rsid w:val="003569C5"/>
    <w:rsid w:val="00356C50"/>
    <w:rsid w:val="003570B4"/>
    <w:rsid w:val="003571F7"/>
    <w:rsid w:val="0035770A"/>
    <w:rsid w:val="003606DD"/>
    <w:rsid w:val="00360DEF"/>
    <w:rsid w:val="00361DF0"/>
    <w:rsid w:val="0036249D"/>
    <w:rsid w:val="00363370"/>
    <w:rsid w:val="00363581"/>
    <w:rsid w:val="003640EF"/>
    <w:rsid w:val="00365C0C"/>
    <w:rsid w:val="003671E7"/>
    <w:rsid w:val="00367520"/>
    <w:rsid w:val="00367D7A"/>
    <w:rsid w:val="0037285C"/>
    <w:rsid w:val="00373FF5"/>
    <w:rsid w:val="00374604"/>
    <w:rsid w:val="00374B36"/>
    <w:rsid w:val="00376853"/>
    <w:rsid w:val="0037709C"/>
    <w:rsid w:val="003774C4"/>
    <w:rsid w:val="00377529"/>
    <w:rsid w:val="00377889"/>
    <w:rsid w:val="0038045F"/>
    <w:rsid w:val="00380B4D"/>
    <w:rsid w:val="00382234"/>
    <w:rsid w:val="00382F5A"/>
    <w:rsid w:val="0038375B"/>
    <w:rsid w:val="00383CD3"/>
    <w:rsid w:val="00384C12"/>
    <w:rsid w:val="00385595"/>
    <w:rsid w:val="0038576C"/>
    <w:rsid w:val="00385E04"/>
    <w:rsid w:val="0038618A"/>
    <w:rsid w:val="00386848"/>
    <w:rsid w:val="00387121"/>
    <w:rsid w:val="003872D3"/>
    <w:rsid w:val="00387D89"/>
    <w:rsid w:val="003905F1"/>
    <w:rsid w:val="00392741"/>
    <w:rsid w:val="0039307A"/>
    <w:rsid w:val="00393446"/>
    <w:rsid w:val="003944B8"/>
    <w:rsid w:val="00395525"/>
    <w:rsid w:val="003957FE"/>
    <w:rsid w:val="00395DD8"/>
    <w:rsid w:val="00396505"/>
    <w:rsid w:val="00396C24"/>
    <w:rsid w:val="00397A1A"/>
    <w:rsid w:val="003A0332"/>
    <w:rsid w:val="003A0446"/>
    <w:rsid w:val="003A049A"/>
    <w:rsid w:val="003A0E87"/>
    <w:rsid w:val="003A0F3D"/>
    <w:rsid w:val="003A156A"/>
    <w:rsid w:val="003A17B1"/>
    <w:rsid w:val="003A1DC5"/>
    <w:rsid w:val="003A2541"/>
    <w:rsid w:val="003A2A02"/>
    <w:rsid w:val="003A367B"/>
    <w:rsid w:val="003A38B9"/>
    <w:rsid w:val="003A4A41"/>
    <w:rsid w:val="003A593A"/>
    <w:rsid w:val="003A6133"/>
    <w:rsid w:val="003A6B10"/>
    <w:rsid w:val="003B21F3"/>
    <w:rsid w:val="003B25A3"/>
    <w:rsid w:val="003B27C3"/>
    <w:rsid w:val="003B2FAF"/>
    <w:rsid w:val="003B38DA"/>
    <w:rsid w:val="003B4C6A"/>
    <w:rsid w:val="003B4D18"/>
    <w:rsid w:val="003B523F"/>
    <w:rsid w:val="003B538F"/>
    <w:rsid w:val="003B53B9"/>
    <w:rsid w:val="003B566F"/>
    <w:rsid w:val="003B61BE"/>
    <w:rsid w:val="003B6BC9"/>
    <w:rsid w:val="003C08EF"/>
    <w:rsid w:val="003C2120"/>
    <w:rsid w:val="003C2620"/>
    <w:rsid w:val="003C31EA"/>
    <w:rsid w:val="003C3AFB"/>
    <w:rsid w:val="003C3FEF"/>
    <w:rsid w:val="003C44EC"/>
    <w:rsid w:val="003C47A1"/>
    <w:rsid w:val="003C4A44"/>
    <w:rsid w:val="003C4D77"/>
    <w:rsid w:val="003C58C3"/>
    <w:rsid w:val="003C5973"/>
    <w:rsid w:val="003C5E41"/>
    <w:rsid w:val="003C6103"/>
    <w:rsid w:val="003C6621"/>
    <w:rsid w:val="003C67B5"/>
    <w:rsid w:val="003C6C11"/>
    <w:rsid w:val="003C6F45"/>
    <w:rsid w:val="003C7068"/>
    <w:rsid w:val="003C7736"/>
    <w:rsid w:val="003D01CB"/>
    <w:rsid w:val="003D18F0"/>
    <w:rsid w:val="003D21BB"/>
    <w:rsid w:val="003D3AAD"/>
    <w:rsid w:val="003D41E6"/>
    <w:rsid w:val="003D5278"/>
    <w:rsid w:val="003D586A"/>
    <w:rsid w:val="003D67EF"/>
    <w:rsid w:val="003D76E7"/>
    <w:rsid w:val="003E03D2"/>
    <w:rsid w:val="003E12CE"/>
    <w:rsid w:val="003E1514"/>
    <w:rsid w:val="003E182A"/>
    <w:rsid w:val="003E2468"/>
    <w:rsid w:val="003E3A0A"/>
    <w:rsid w:val="003E4A8F"/>
    <w:rsid w:val="003E53CF"/>
    <w:rsid w:val="003E5FB2"/>
    <w:rsid w:val="003E7015"/>
    <w:rsid w:val="003F1373"/>
    <w:rsid w:val="003F146B"/>
    <w:rsid w:val="003F1E5C"/>
    <w:rsid w:val="003F247D"/>
    <w:rsid w:val="003F486E"/>
    <w:rsid w:val="003F4D36"/>
    <w:rsid w:val="003F5B10"/>
    <w:rsid w:val="003F61D8"/>
    <w:rsid w:val="003F668F"/>
    <w:rsid w:val="003F67E9"/>
    <w:rsid w:val="003F6875"/>
    <w:rsid w:val="003F7065"/>
    <w:rsid w:val="003F7DAF"/>
    <w:rsid w:val="00400456"/>
    <w:rsid w:val="004007E8"/>
    <w:rsid w:val="00400BDC"/>
    <w:rsid w:val="00400D07"/>
    <w:rsid w:val="00401CBE"/>
    <w:rsid w:val="00401CD6"/>
    <w:rsid w:val="0040208B"/>
    <w:rsid w:val="0040287C"/>
    <w:rsid w:val="00402928"/>
    <w:rsid w:val="00402C04"/>
    <w:rsid w:val="00402DBE"/>
    <w:rsid w:val="004037A1"/>
    <w:rsid w:val="0040433D"/>
    <w:rsid w:val="00405B88"/>
    <w:rsid w:val="00406724"/>
    <w:rsid w:val="004073C5"/>
    <w:rsid w:val="004106D6"/>
    <w:rsid w:val="00410B3A"/>
    <w:rsid w:val="00415441"/>
    <w:rsid w:val="00415AC0"/>
    <w:rsid w:val="00416550"/>
    <w:rsid w:val="00416572"/>
    <w:rsid w:val="0041662D"/>
    <w:rsid w:val="00416BBB"/>
    <w:rsid w:val="00420340"/>
    <w:rsid w:val="00420805"/>
    <w:rsid w:val="00420874"/>
    <w:rsid w:val="004218C7"/>
    <w:rsid w:val="00421FB9"/>
    <w:rsid w:val="004225BF"/>
    <w:rsid w:val="00423164"/>
    <w:rsid w:val="004231B9"/>
    <w:rsid w:val="004234DB"/>
    <w:rsid w:val="00424284"/>
    <w:rsid w:val="0042497E"/>
    <w:rsid w:val="00424CE7"/>
    <w:rsid w:val="0042583A"/>
    <w:rsid w:val="00425B84"/>
    <w:rsid w:val="0042794B"/>
    <w:rsid w:val="00427D8B"/>
    <w:rsid w:val="00427EA0"/>
    <w:rsid w:val="0043058A"/>
    <w:rsid w:val="00430ACB"/>
    <w:rsid w:val="00430DCC"/>
    <w:rsid w:val="0043147C"/>
    <w:rsid w:val="00431B10"/>
    <w:rsid w:val="00432305"/>
    <w:rsid w:val="00432FF9"/>
    <w:rsid w:val="00433251"/>
    <w:rsid w:val="00434963"/>
    <w:rsid w:val="00434BF5"/>
    <w:rsid w:val="004354D9"/>
    <w:rsid w:val="004359F7"/>
    <w:rsid w:val="0043676E"/>
    <w:rsid w:val="00436C2D"/>
    <w:rsid w:val="004370C4"/>
    <w:rsid w:val="004372AB"/>
    <w:rsid w:val="004374AA"/>
    <w:rsid w:val="00440157"/>
    <w:rsid w:val="00440E0E"/>
    <w:rsid w:val="004420D3"/>
    <w:rsid w:val="0044222D"/>
    <w:rsid w:val="00442D8B"/>
    <w:rsid w:val="00442DA4"/>
    <w:rsid w:val="00443FE4"/>
    <w:rsid w:val="00444CB2"/>
    <w:rsid w:val="00445CBD"/>
    <w:rsid w:val="00447E62"/>
    <w:rsid w:val="004506D5"/>
    <w:rsid w:val="00451E72"/>
    <w:rsid w:val="004527C4"/>
    <w:rsid w:val="00452917"/>
    <w:rsid w:val="00453788"/>
    <w:rsid w:val="0045491C"/>
    <w:rsid w:val="0045555F"/>
    <w:rsid w:val="004561F0"/>
    <w:rsid w:val="0045678E"/>
    <w:rsid w:val="00456C12"/>
    <w:rsid w:val="00456F12"/>
    <w:rsid w:val="004571B0"/>
    <w:rsid w:val="0045731B"/>
    <w:rsid w:val="0045749F"/>
    <w:rsid w:val="00457F3B"/>
    <w:rsid w:val="00460126"/>
    <w:rsid w:val="00460D83"/>
    <w:rsid w:val="00460F69"/>
    <w:rsid w:val="0046194D"/>
    <w:rsid w:val="00462226"/>
    <w:rsid w:val="0046278C"/>
    <w:rsid w:val="00462910"/>
    <w:rsid w:val="00462AFD"/>
    <w:rsid w:val="00462BF0"/>
    <w:rsid w:val="004647B8"/>
    <w:rsid w:val="0046621B"/>
    <w:rsid w:val="004667A1"/>
    <w:rsid w:val="00467216"/>
    <w:rsid w:val="00467538"/>
    <w:rsid w:val="004678D2"/>
    <w:rsid w:val="00470838"/>
    <w:rsid w:val="00470F04"/>
    <w:rsid w:val="0047121E"/>
    <w:rsid w:val="00471477"/>
    <w:rsid w:val="004727F2"/>
    <w:rsid w:val="0047288D"/>
    <w:rsid w:val="00472DE5"/>
    <w:rsid w:val="004731F5"/>
    <w:rsid w:val="004743F5"/>
    <w:rsid w:val="00475284"/>
    <w:rsid w:val="004752C4"/>
    <w:rsid w:val="0047755D"/>
    <w:rsid w:val="00477640"/>
    <w:rsid w:val="00477A67"/>
    <w:rsid w:val="0048044E"/>
    <w:rsid w:val="004805E0"/>
    <w:rsid w:val="00480D65"/>
    <w:rsid w:val="00480F9B"/>
    <w:rsid w:val="00481E8F"/>
    <w:rsid w:val="00482291"/>
    <w:rsid w:val="004828EF"/>
    <w:rsid w:val="00482927"/>
    <w:rsid w:val="00482C18"/>
    <w:rsid w:val="00483974"/>
    <w:rsid w:val="0048460D"/>
    <w:rsid w:val="0048492B"/>
    <w:rsid w:val="00484ACD"/>
    <w:rsid w:val="00485637"/>
    <w:rsid w:val="00485BB3"/>
    <w:rsid w:val="004872B8"/>
    <w:rsid w:val="00487BA3"/>
    <w:rsid w:val="004909F2"/>
    <w:rsid w:val="00490AD4"/>
    <w:rsid w:val="00491285"/>
    <w:rsid w:val="0049134F"/>
    <w:rsid w:val="00491E85"/>
    <w:rsid w:val="00492918"/>
    <w:rsid w:val="00492AD4"/>
    <w:rsid w:val="00492B37"/>
    <w:rsid w:val="0049335E"/>
    <w:rsid w:val="0049344C"/>
    <w:rsid w:val="00493BE0"/>
    <w:rsid w:val="00493EE4"/>
    <w:rsid w:val="00494244"/>
    <w:rsid w:val="00495133"/>
    <w:rsid w:val="00495234"/>
    <w:rsid w:val="0049585E"/>
    <w:rsid w:val="004960A0"/>
    <w:rsid w:val="004A0924"/>
    <w:rsid w:val="004A1148"/>
    <w:rsid w:val="004A1394"/>
    <w:rsid w:val="004A305A"/>
    <w:rsid w:val="004A3186"/>
    <w:rsid w:val="004A3A33"/>
    <w:rsid w:val="004A3C2C"/>
    <w:rsid w:val="004A4D8A"/>
    <w:rsid w:val="004A5246"/>
    <w:rsid w:val="004A544A"/>
    <w:rsid w:val="004A5F84"/>
    <w:rsid w:val="004A6830"/>
    <w:rsid w:val="004A706B"/>
    <w:rsid w:val="004A755B"/>
    <w:rsid w:val="004A77D6"/>
    <w:rsid w:val="004A7A0C"/>
    <w:rsid w:val="004B0AFF"/>
    <w:rsid w:val="004B0FAC"/>
    <w:rsid w:val="004B2B57"/>
    <w:rsid w:val="004B302B"/>
    <w:rsid w:val="004B319B"/>
    <w:rsid w:val="004B31E7"/>
    <w:rsid w:val="004B3466"/>
    <w:rsid w:val="004B358E"/>
    <w:rsid w:val="004B3E96"/>
    <w:rsid w:val="004B4584"/>
    <w:rsid w:val="004B5471"/>
    <w:rsid w:val="004B5D82"/>
    <w:rsid w:val="004B63BB"/>
    <w:rsid w:val="004B64CC"/>
    <w:rsid w:val="004B7090"/>
    <w:rsid w:val="004B7F0B"/>
    <w:rsid w:val="004C009B"/>
    <w:rsid w:val="004C1628"/>
    <w:rsid w:val="004C19CB"/>
    <w:rsid w:val="004C3674"/>
    <w:rsid w:val="004C601F"/>
    <w:rsid w:val="004C694A"/>
    <w:rsid w:val="004C72A4"/>
    <w:rsid w:val="004C7EE5"/>
    <w:rsid w:val="004D0ECE"/>
    <w:rsid w:val="004D29A3"/>
    <w:rsid w:val="004D2D80"/>
    <w:rsid w:val="004D3094"/>
    <w:rsid w:val="004D395E"/>
    <w:rsid w:val="004D430B"/>
    <w:rsid w:val="004D43E6"/>
    <w:rsid w:val="004D4616"/>
    <w:rsid w:val="004D4620"/>
    <w:rsid w:val="004D47C7"/>
    <w:rsid w:val="004D4ED2"/>
    <w:rsid w:val="004D4F02"/>
    <w:rsid w:val="004D4F89"/>
    <w:rsid w:val="004D5BD9"/>
    <w:rsid w:val="004D6B6B"/>
    <w:rsid w:val="004D7B67"/>
    <w:rsid w:val="004E133C"/>
    <w:rsid w:val="004E1DA4"/>
    <w:rsid w:val="004E1DF6"/>
    <w:rsid w:val="004E2379"/>
    <w:rsid w:val="004E2A3E"/>
    <w:rsid w:val="004E2F7C"/>
    <w:rsid w:val="004E483D"/>
    <w:rsid w:val="004E5616"/>
    <w:rsid w:val="004E6A50"/>
    <w:rsid w:val="004E6B59"/>
    <w:rsid w:val="004E764A"/>
    <w:rsid w:val="004E792F"/>
    <w:rsid w:val="004F0122"/>
    <w:rsid w:val="004F0F9B"/>
    <w:rsid w:val="004F22F2"/>
    <w:rsid w:val="004F258D"/>
    <w:rsid w:val="004F4961"/>
    <w:rsid w:val="004F536B"/>
    <w:rsid w:val="004F6091"/>
    <w:rsid w:val="004F7E64"/>
    <w:rsid w:val="00501122"/>
    <w:rsid w:val="005023F8"/>
    <w:rsid w:val="005045FB"/>
    <w:rsid w:val="0050708E"/>
    <w:rsid w:val="005076CF"/>
    <w:rsid w:val="00510F65"/>
    <w:rsid w:val="00511A2E"/>
    <w:rsid w:val="00511F41"/>
    <w:rsid w:val="00512291"/>
    <w:rsid w:val="00513029"/>
    <w:rsid w:val="0051325B"/>
    <w:rsid w:val="0051453E"/>
    <w:rsid w:val="005145E1"/>
    <w:rsid w:val="0051763F"/>
    <w:rsid w:val="0052007C"/>
    <w:rsid w:val="00520DF5"/>
    <w:rsid w:val="00521BC8"/>
    <w:rsid w:val="00522BF8"/>
    <w:rsid w:val="00523625"/>
    <w:rsid w:val="0052457D"/>
    <w:rsid w:val="00524B52"/>
    <w:rsid w:val="00530346"/>
    <w:rsid w:val="00530A32"/>
    <w:rsid w:val="005317AC"/>
    <w:rsid w:val="00531BF3"/>
    <w:rsid w:val="00531FEA"/>
    <w:rsid w:val="0053252D"/>
    <w:rsid w:val="00534933"/>
    <w:rsid w:val="005349E5"/>
    <w:rsid w:val="00534D0B"/>
    <w:rsid w:val="00536513"/>
    <w:rsid w:val="00537BA2"/>
    <w:rsid w:val="00537DB0"/>
    <w:rsid w:val="00537DD7"/>
    <w:rsid w:val="005416ED"/>
    <w:rsid w:val="00542619"/>
    <w:rsid w:val="00543315"/>
    <w:rsid w:val="00543CA0"/>
    <w:rsid w:val="00543D74"/>
    <w:rsid w:val="00543EB0"/>
    <w:rsid w:val="00544D19"/>
    <w:rsid w:val="005450F2"/>
    <w:rsid w:val="005453A3"/>
    <w:rsid w:val="00545F51"/>
    <w:rsid w:val="0054614F"/>
    <w:rsid w:val="00546C71"/>
    <w:rsid w:val="0054701F"/>
    <w:rsid w:val="0054751C"/>
    <w:rsid w:val="00547737"/>
    <w:rsid w:val="00547889"/>
    <w:rsid w:val="00547BB7"/>
    <w:rsid w:val="00550307"/>
    <w:rsid w:val="00550A39"/>
    <w:rsid w:val="00551479"/>
    <w:rsid w:val="00551FE9"/>
    <w:rsid w:val="0055307A"/>
    <w:rsid w:val="005541F7"/>
    <w:rsid w:val="005548A0"/>
    <w:rsid w:val="00554C63"/>
    <w:rsid w:val="00555017"/>
    <w:rsid w:val="00555723"/>
    <w:rsid w:val="00556139"/>
    <w:rsid w:val="005561E7"/>
    <w:rsid w:val="005562DC"/>
    <w:rsid w:val="0055695B"/>
    <w:rsid w:val="00556A20"/>
    <w:rsid w:val="00556AE0"/>
    <w:rsid w:val="0055700B"/>
    <w:rsid w:val="0055757A"/>
    <w:rsid w:val="005577C4"/>
    <w:rsid w:val="005579A9"/>
    <w:rsid w:val="00560831"/>
    <w:rsid w:val="00560D59"/>
    <w:rsid w:val="00561E45"/>
    <w:rsid w:val="00562B34"/>
    <w:rsid w:val="005650AF"/>
    <w:rsid w:val="00565CF2"/>
    <w:rsid w:val="00565FA9"/>
    <w:rsid w:val="00566122"/>
    <w:rsid w:val="00566881"/>
    <w:rsid w:val="005669F5"/>
    <w:rsid w:val="00570468"/>
    <w:rsid w:val="0057084A"/>
    <w:rsid w:val="0057229D"/>
    <w:rsid w:val="00573128"/>
    <w:rsid w:val="0057326B"/>
    <w:rsid w:val="005733D7"/>
    <w:rsid w:val="00573594"/>
    <w:rsid w:val="005738FD"/>
    <w:rsid w:val="00573F92"/>
    <w:rsid w:val="00575EA2"/>
    <w:rsid w:val="00576410"/>
    <w:rsid w:val="00576D8E"/>
    <w:rsid w:val="00577186"/>
    <w:rsid w:val="005774E5"/>
    <w:rsid w:val="005779D1"/>
    <w:rsid w:val="00577CC6"/>
    <w:rsid w:val="00580F9B"/>
    <w:rsid w:val="005811A1"/>
    <w:rsid w:val="0058151D"/>
    <w:rsid w:val="0058275A"/>
    <w:rsid w:val="005838CB"/>
    <w:rsid w:val="00583D34"/>
    <w:rsid w:val="00583D5E"/>
    <w:rsid w:val="00583F0D"/>
    <w:rsid w:val="00584316"/>
    <w:rsid w:val="00584535"/>
    <w:rsid w:val="00584772"/>
    <w:rsid w:val="00585AA8"/>
    <w:rsid w:val="00587AEA"/>
    <w:rsid w:val="00590687"/>
    <w:rsid w:val="00591435"/>
    <w:rsid w:val="005914A2"/>
    <w:rsid w:val="00591A96"/>
    <w:rsid w:val="005927CD"/>
    <w:rsid w:val="00593B3C"/>
    <w:rsid w:val="00594037"/>
    <w:rsid w:val="005949CE"/>
    <w:rsid w:val="00595BBB"/>
    <w:rsid w:val="00595D3A"/>
    <w:rsid w:val="00595F4D"/>
    <w:rsid w:val="005A04E6"/>
    <w:rsid w:val="005A1DA7"/>
    <w:rsid w:val="005A1F15"/>
    <w:rsid w:val="005A230C"/>
    <w:rsid w:val="005A4210"/>
    <w:rsid w:val="005A42A3"/>
    <w:rsid w:val="005A443D"/>
    <w:rsid w:val="005A650A"/>
    <w:rsid w:val="005A7FF4"/>
    <w:rsid w:val="005B008E"/>
    <w:rsid w:val="005B0566"/>
    <w:rsid w:val="005B2224"/>
    <w:rsid w:val="005B3D56"/>
    <w:rsid w:val="005B45F2"/>
    <w:rsid w:val="005B4BFF"/>
    <w:rsid w:val="005B5438"/>
    <w:rsid w:val="005B5C5A"/>
    <w:rsid w:val="005B5D84"/>
    <w:rsid w:val="005B6DF9"/>
    <w:rsid w:val="005B7C96"/>
    <w:rsid w:val="005C00A4"/>
    <w:rsid w:val="005C0A2F"/>
    <w:rsid w:val="005C198F"/>
    <w:rsid w:val="005C1E7C"/>
    <w:rsid w:val="005C213A"/>
    <w:rsid w:val="005C2E60"/>
    <w:rsid w:val="005C4464"/>
    <w:rsid w:val="005C45C6"/>
    <w:rsid w:val="005C51C3"/>
    <w:rsid w:val="005C59D9"/>
    <w:rsid w:val="005C7353"/>
    <w:rsid w:val="005C735B"/>
    <w:rsid w:val="005D008F"/>
    <w:rsid w:val="005D0F0A"/>
    <w:rsid w:val="005D0FC9"/>
    <w:rsid w:val="005D19B8"/>
    <w:rsid w:val="005D1A01"/>
    <w:rsid w:val="005D30B3"/>
    <w:rsid w:val="005D3396"/>
    <w:rsid w:val="005D3591"/>
    <w:rsid w:val="005D417D"/>
    <w:rsid w:val="005D4F4E"/>
    <w:rsid w:val="005D58C4"/>
    <w:rsid w:val="005D5E49"/>
    <w:rsid w:val="005D6697"/>
    <w:rsid w:val="005D7137"/>
    <w:rsid w:val="005D75B8"/>
    <w:rsid w:val="005D7BA1"/>
    <w:rsid w:val="005D7E0A"/>
    <w:rsid w:val="005D7F60"/>
    <w:rsid w:val="005E173A"/>
    <w:rsid w:val="005E1C37"/>
    <w:rsid w:val="005E2495"/>
    <w:rsid w:val="005E2B37"/>
    <w:rsid w:val="005E3A1A"/>
    <w:rsid w:val="005E3DF9"/>
    <w:rsid w:val="005E4F23"/>
    <w:rsid w:val="005E51CB"/>
    <w:rsid w:val="005E5878"/>
    <w:rsid w:val="005E646F"/>
    <w:rsid w:val="005E6AF1"/>
    <w:rsid w:val="005E6BFA"/>
    <w:rsid w:val="005E70C2"/>
    <w:rsid w:val="005F08EB"/>
    <w:rsid w:val="005F1C25"/>
    <w:rsid w:val="005F27A1"/>
    <w:rsid w:val="005F29AA"/>
    <w:rsid w:val="005F41CB"/>
    <w:rsid w:val="005F4CC9"/>
    <w:rsid w:val="005F50AA"/>
    <w:rsid w:val="005F6541"/>
    <w:rsid w:val="005F682C"/>
    <w:rsid w:val="005F6FB7"/>
    <w:rsid w:val="00600630"/>
    <w:rsid w:val="00600CB1"/>
    <w:rsid w:val="00601638"/>
    <w:rsid w:val="0060265F"/>
    <w:rsid w:val="00602A6B"/>
    <w:rsid w:val="00603A83"/>
    <w:rsid w:val="006040C9"/>
    <w:rsid w:val="0060430E"/>
    <w:rsid w:val="006046E9"/>
    <w:rsid w:val="00605183"/>
    <w:rsid w:val="006056AE"/>
    <w:rsid w:val="006057E2"/>
    <w:rsid w:val="00607CD2"/>
    <w:rsid w:val="006107B1"/>
    <w:rsid w:val="00610D0E"/>
    <w:rsid w:val="00611706"/>
    <w:rsid w:val="0061255E"/>
    <w:rsid w:val="006126CF"/>
    <w:rsid w:val="00613051"/>
    <w:rsid w:val="00613715"/>
    <w:rsid w:val="00613B31"/>
    <w:rsid w:val="00614423"/>
    <w:rsid w:val="00614AEF"/>
    <w:rsid w:val="00614CDD"/>
    <w:rsid w:val="00614CDF"/>
    <w:rsid w:val="00615EAB"/>
    <w:rsid w:val="00616A28"/>
    <w:rsid w:val="00616D5D"/>
    <w:rsid w:val="00617CAB"/>
    <w:rsid w:val="0062067B"/>
    <w:rsid w:val="00620D63"/>
    <w:rsid w:val="0062289E"/>
    <w:rsid w:val="006234D9"/>
    <w:rsid w:val="00623DA3"/>
    <w:rsid w:val="0062410A"/>
    <w:rsid w:val="00624673"/>
    <w:rsid w:val="00624E77"/>
    <w:rsid w:val="00625A64"/>
    <w:rsid w:val="006260D4"/>
    <w:rsid w:val="00626620"/>
    <w:rsid w:val="00631506"/>
    <w:rsid w:val="0063191B"/>
    <w:rsid w:val="0063222A"/>
    <w:rsid w:val="006337B8"/>
    <w:rsid w:val="00634419"/>
    <w:rsid w:val="006348B0"/>
    <w:rsid w:val="00634BFA"/>
    <w:rsid w:val="00636869"/>
    <w:rsid w:val="006369A0"/>
    <w:rsid w:val="00641250"/>
    <w:rsid w:val="00641BE7"/>
    <w:rsid w:val="00641DFB"/>
    <w:rsid w:val="006420FD"/>
    <w:rsid w:val="0064399B"/>
    <w:rsid w:val="00644F11"/>
    <w:rsid w:val="006459F8"/>
    <w:rsid w:val="00645FF7"/>
    <w:rsid w:val="006467AA"/>
    <w:rsid w:val="00646B05"/>
    <w:rsid w:val="00646FEC"/>
    <w:rsid w:val="00647F88"/>
    <w:rsid w:val="00650685"/>
    <w:rsid w:val="00650A92"/>
    <w:rsid w:val="00650ACA"/>
    <w:rsid w:val="00651372"/>
    <w:rsid w:val="0065144A"/>
    <w:rsid w:val="00652AD5"/>
    <w:rsid w:val="006537CF"/>
    <w:rsid w:val="00653E05"/>
    <w:rsid w:val="0065426A"/>
    <w:rsid w:val="00654464"/>
    <w:rsid w:val="00654483"/>
    <w:rsid w:val="006567A3"/>
    <w:rsid w:val="006576D2"/>
    <w:rsid w:val="0066080C"/>
    <w:rsid w:val="0066254F"/>
    <w:rsid w:val="0066379E"/>
    <w:rsid w:val="006639C8"/>
    <w:rsid w:val="006642D1"/>
    <w:rsid w:val="00664350"/>
    <w:rsid w:val="00664DEC"/>
    <w:rsid w:val="00665A71"/>
    <w:rsid w:val="00665F04"/>
    <w:rsid w:val="006667AD"/>
    <w:rsid w:val="00670D77"/>
    <w:rsid w:val="00670FD4"/>
    <w:rsid w:val="0067122B"/>
    <w:rsid w:val="006720CF"/>
    <w:rsid w:val="00672C42"/>
    <w:rsid w:val="00673150"/>
    <w:rsid w:val="006738E5"/>
    <w:rsid w:val="006768AA"/>
    <w:rsid w:val="00676AF2"/>
    <w:rsid w:val="00677416"/>
    <w:rsid w:val="0068021F"/>
    <w:rsid w:val="00680E16"/>
    <w:rsid w:val="00680ED9"/>
    <w:rsid w:val="006817A1"/>
    <w:rsid w:val="00682AE2"/>
    <w:rsid w:val="00682F56"/>
    <w:rsid w:val="00682FC0"/>
    <w:rsid w:val="00682FCE"/>
    <w:rsid w:val="00683665"/>
    <w:rsid w:val="00683E4C"/>
    <w:rsid w:val="00685A1F"/>
    <w:rsid w:val="00685DC0"/>
    <w:rsid w:val="006864D4"/>
    <w:rsid w:val="00686A05"/>
    <w:rsid w:val="00687334"/>
    <w:rsid w:val="0068747F"/>
    <w:rsid w:val="00687C63"/>
    <w:rsid w:val="0069006F"/>
    <w:rsid w:val="006907FD"/>
    <w:rsid w:val="00690FE4"/>
    <w:rsid w:val="006912DD"/>
    <w:rsid w:val="00691419"/>
    <w:rsid w:val="0069152A"/>
    <w:rsid w:val="0069161E"/>
    <w:rsid w:val="0069235B"/>
    <w:rsid w:val="0069278C"/>
    <w:rsid w:val="00692BFF"/>
    <w:rsid w:val="006932B6"/>
    <w:rsid w:val="0069330C"/>
    <w:rsid w:val="0069420A"/>
    <w:rsid w:val="006956FB"/>
    <w:rsid w:val="00695B5B"/>
    <w:rsid w:val="00695F67"/>
    <w:rsid w:val="006966FE"/>
    <w:rsid w:val="00696B70"/>
    <w:rsid w:val="00697426"/>
    <w:rsid w:val="0069744B"/>
    <w:rsid w:val="006976D6"/>
    <w:rsid w:val="00697C7E"/>
    <w:rsid w:val="006A0CA7"/>
    <w:rsid w:val="006A1501"/>
    <w:rsid w:val="006A52E3"/>
    <w:rsid w:val="006A5C0E"/>
    <w:rsid w:val="006A5E92"/>
    <w:rsid w:val="006A6A6A"/>
    <w:rsid w:val="006A7397"/>
    <w:rsid w:val="006A759B"/>
    <w:rsid w:val="006A788C"/>
    <w:rsid w:val="006B0E73"/>
    <w:rsid w:val="006B1008"/>
    <w:rsid w:val="006B1509"/>
    <w:rsid w:val="006B2428"/>
    <w:rsid w:val="006B2706"/>
    <w:rsid w:val="006B34AE"/>
    <w:rsid w:val="006B3713"/>
    <w:rsid w:val="006B44C9"/>
    <w:rsid w:val="006B4988"/>
    <w:rsid w:val="006B4A85"/>
    <w:rsid w:val="006B51FA"/>
    <w:rsid w:val="006B55CE"/>
    <w:rsid w:val="006B5E8B"/>
    <w:rsid w:val="006B5FB2"/>
    <w:rsid w:val="006C0A50"/>
    <w:rsid w:val="006C1BC4"/>
    <w:rsid w:val="006C3BA8"/>
    <w:rsid w:val="006C46AF"/>
    <w:rsid w:val="006C51F7"/>
    <w:rsid w:val="006C5621"/>
    <w:rsid w:val="006C615E"/>
    <w:rsid w:val="006C6D64"/>
    <w:rsid w:val="006C6FE2"/>
    <w:rsid w:val="006C73DA"/>
    <w:rsid w:val="006C747A"/>
    <w:rsid w:val="006D0C2A"/>
    <w:rsid w:val="006D0C68"/>
    <w:rsid w:val="006D10EC"/>
    <w:rsid w:val="006D11AB"/>
    <w:rsid w:val="006D1428"/>
    <w:rsid w:val="006D1C28"/>
    <w:rsid w:val="006D232E"/>
    <w:rsid w:val="006D2647"/>
    <w:rsid w:val="006D2A69"/>
    <w:rsid w:val="006D399C"/>
    <w:rsid w:val="006D4169"/>
    <w:rsid w:val="006D42F6"/>
    <w:rsid w:val="006D43B6"/>
    <w:rsid w:val="006D445D"/>
    <w:rsid w:val="006D4665"/>
    <w:rsid w:val="006D5401"/>
    <w:rsid w:val="006D6166"/>
    <w:rsid w:val="006D67AE"/>
    <w:rsid w:val="006D6C5C"/>
    <w:rsid w:val="006E24B6"/>
    <w:rsid w:val="006E2789"/>
    <w:rsid w:val="006E4719"/>
    <w:rsid w:val="006E5BCB"/>
    <w:rsid w:val="006E5D99"/>
    <w:rsid w:val="006E604E"/>
    <w:rsid w:val="006E6103"/>
    <w:rsid w:val="006E6605"/>
    <w:rsid w:val="006E73D7"/>
    <w:rsid w:val="006E743E"/>
    <w:rsid w:val="006E7E6F"/>
    <w:rsid w:val="006F0CBE"/>
    <w:rsid w:val="006F1143"/>
    <w:rsid w:val="006F18E9"/>
    <w:rsid w:val="006F19C5"/>
    <w:rsid w:val="006F252F"/>
    <w:rsid w:val="006F2A77"/>
    <w:rsid w:val="006F2A82"/>
    <w:rsid w:val="006F2C7D"/>
    <w:rsid w:val="006F307E"/>
    <w:rsid w:val="006F3314"/>
    <w:rsid w:val="006F3706"/>
    <w:rsid w:val="006F38E2"/>
    <w:rsid w:val="006F3910"/>
    <w:rsid w:val="006F44D8"/>
    <w:rsid w:val="006F4B4E"/>
    <w:rsid w:val="006F5F95"/>
    <w:rsid w:val="006F697B"/>
    <w:rsid w:val="006F7C00"/>
    <w:rsid w:val="00700B5E"/>
    <w:rsid w:val="00700E23"/>
    <w:rsid w:val="00701167"/>
    <w:rsid w:val="00701785"/>
    <w:rsid w:val="0070194A"/>
    <w:rsid w:val="00702995"/>
    <w:rsid w:val="00702F37"/>
    <w:rsid w:val="007035D4"/>
    <w:rsid w:val="007037C9"/>
    <w:rsid w:val="0070423E"/>
    <w:rsid w:val="00704942"/>
    <w:rsid w:val="0070516B"/>
    <w:rsid w:val="0070580B"/>
    <w:rsid w:val="00707524"/>
    <w:rsid w:val="00707587"/>
    <w:rsid w:val="007105C6"/>
    <w:rsid w:val="00710D5D"/>
    <w:rsid w:val="00710DD2"/>
    <w:rsid w:val="00711113"/>
    <w:rsid w:val="0071197C"/>
    <w:rsid w:val="00711D40"/>
    <w:rsid w:val="00712E72"/>
    <w:rsid w:val="007143AA"/>
    <w:rsid w:val="007155E6"/>
    <w:rsid w:val="00715A87"/>
    <w:rsid w:val="00715D7A"/>
    <w:rsid w:val="00716048"/>
    <w:rsid w:val="00716159"/>
    <w:rsid w:val="00716CB6"/>
    <w:rsid w:val="007175DD"/>
    <w:rsid w:val="00717946"/>
    <w:rsid w:val="00717E75"/>
    <w:rsid w:val="00720568"/>
    <w:rsid w:val="00720D78"/>
    <w:rsid w:val="00721745"/>
    <w:rsid w:val="00721EFA"/>
    <w:rsid w:val="00722704"/>
    <w:rsid w:val="007227DA"/>
    <w:rsid w:val="007230DA"/>
    <w:rsid w:val="00724084"/>
    <w:rsid w:val="00724367"/>
    <w:rsid w:val="0072507A"/>
    <w:rsid w:val="00725B53"/>
    <w:rsid w:val="00725BC5"/>
    <w:rsid w:val="00725F17"/>
    <w:rsid w:val="007307B5"/>
    <w:rsid w:val="00730925"/>
    <w:rsid w:val="00730D54"/>
    <w:rsid w:val="00731466"/>
    <w:rsid w:val="00731E8A"/>
    <w:rsid w:val="00732A6E"/>
    <w:rsid w:val="00733D03"/>
    <w:rsid w:val="00733FD9"/>
    <w:rsid w:val="007341F7"/>
    <w:rsid w:val="00735482"/>
    <w:rsid w:val="00735AB0"/>
    <w:rsid w:val="00735B32"/>
    <w:rsid w:val="00736059"/>
    <w:rsid w:val="0073605E"/>
    <w:rsid w:val="00736970"/>
    <w:rsid w:val="00736A41"/>
    <w:rsid w:val="00736F5F"/>
    <w:rsid w:val="007376A0"/>
    <w:rsid w:val="00737F6F"/>
    <w:rsid w:val="00740007"/>
    <w:rsid w:val="007405B1"/>
    <w:rsid w:val="007409E2"/>
    <w:rsid w:val="00740F37"/>
    <w:rsid w:val="00741313"/>
    <w:rsid w:val="00741492"/>
    <w:rsid w:val="007416E4"/>
    <w:rsid w:val="00743929"/>
    <w:rsid w:val="00743EF0"/>
    <w:rsid w:val="00744873"/>
    <w:rsid w:val="00744CD7"/>
    <w:rsid w:val="00744D55"/>
    <w:rsid w:val="00744DE6"/>
    <w:rsid w:val="00745413"/>
    <w:rsid w:val="0074607C"/>
    <w:rsid w:val="0075112C"/>
    <w:rsid w:val="00752EAD"/>
    <w:rsid w:val="00753800"/>
    <w:rsid w:val="00753CF8"/>
    <w:rsid w:val="007557BF"/>
    <w:rsid w:val="007559A1"/>
    <w:rsid w:val="00755A32"/>
    <w:rsid w:val="00756060"/>
    <w:rsid w:val="00756705"/>
    <w:rsid w:val="00757A08"/>
    <w:rsid w:val="00760251"/>
    <w:rsid w:val="00760E31"/>
    <w:rsid w:val="007623B4"/>
    <w:rsid w:val="007629F5"/>
    <w:rsid w:val="00764928"/>
    <w:rsid w:val="0076561B"/>
    <w:rsid w:val="00765A72"/>
    <w:rsid w:val="00766514"/>
    <w:rsid w:val="00766826"/>
    <w:rsid w:val="00766AE3"/>
    <w:rsid w:val="0077009A"/>
    <w:rsid w:val="00771269"/>
    <w:rsid w:val="007726A7"/>
    <w:rsid w:val="00772BEC"/>
    <w:rsid w:val="00772FCA"/>
    <w:rsid w:val="0077345F"/>
    <w:rsid w:val="007735DF"/>
    <w:rsid w:val="00773896"/>
    <w:rsid w:val="007738C5"/>
    <w:rsid w:val="00773950"/>
    <w:rsid w:val="007746FF"/>
    <w:rsid w:val="007751BE"/>
    <w:rsid w:val="0077600D"/>
    <w:rsid w:val="00776A79"/>
    <w:rsid w:val="00777801"/>
    <w:rsid w:val="00777B4C"/>
    <w:rsid w:val="00777F6C"/>
    <w:rsid w:val="00780364"/>
    <w:rsid w:val="0078156E"/>
    <w:rsid w:val="00781B80"/>
    <w:rsid w:val="0078236E"/>
    <w:rsid w:val="00783332"/>
    <w:rsid w:val="007849AC"/>
    <w:rsid w:val="007851A8"/>
    <w:rsid w:val="00785554"/>
    <w:rsid w:val="00785D12"/>
    <w:rsid w:val="007867A8"/>
    <w:rsid w:val="00786D39"/>
    <w:rsid w:val="0079184B"/>
    <w:rsid w:val="00791892"/>
    <w:rsid w:val="007923A7"/>
    <w:rsid w:val="0079369D"/>
    <w:rsid w:val="00793D96"/>
    <w:rsid w:val="0079471E"/>
    <w:rsid w:val="00794CAA"/>
    <w:rsid w:val="007974D7"/>
    <w:rsid w:val="007A2AAD"/>
    <w:rsid w:val="007A3726"/>
    <w:rsid w:val="007A3743"/>
    <w:rsid w:val="007A46D9"/>
    <w:rsid w:val="007A4B9C"/>
    <w:rsid w:val="007A6312"/>
    <w:rsid w:val="007A6E78"/>
    <w:rsid w:val="007A7C2F"/>
    <w:rsid w:val="007A7D55"/>
    <w:rsid w:val="007A7E0E"/>
    <w:rsid w:val="007B0B2D"/>
    <w:rsid w:val="007B22BA"/>
    <w:rsid w:val="007B261C"/>
    <w:rsid w:val="007B30EE"/>
    <w:rsid w:val="007B4708"/>
    <w:rsid w:val="007B4B4C"/>
    <w:rsid w:val="007C008A"/>
    <w:rsid w:val="007C1F0A"/>
    <w:rsid w:val="007C29BF"/>
    <w:rsid w:val="007C30D7"/>
    <w:rsid w:val="007C33F9"/>
    <w:rsid w:val="007C3F95"/>
    <w:rsid w:val="007C4CCD"/>
    <w:rsid w:val="007C5436"/>
    <w:rsid w:val="007C54EB"/>
    <w:rsid w:val="007C69A6"/>
    <w:rsid w:val="007C6A84"/>
    <w:rsid w:val="007C6AF7"/>
    <w:rsid w:val="007C6C1E"/>
    <w:rsid w:val="007C7224"/>
    <w:rsid w:val="007C7977"/>
    <w:rsid w:val="007D11DC"/>
    <w:rsid w:val="007D14B8"/>
    <w:rsid w:val="007D2240"/>
    <w:rsid w:val="007D2BE4"/>
    <w:rsid w:val="007D3C10"/>
    <w:rsid w:val="007D4767"/>
    <w:rsid w:val="007D4A39"/>
    <w:rsid w:val="007D4B9A"/>
    <w:rsid w:val="007D4DD1"/>
    <w:rsid w:val="007D4ECC"/>
    <w:rsid w:val="007D4F5E"/>
    <w:rsid w:val="007D5D4D"/>
    <w:rsid w:val="007D62D9"/>
    <w:rsid w:val="007D6C06"/>
    <w:rsid w:val="007D6E48"/>
    <w:rsid w:val="007D75BD"/>
    <w:rsid w:val="007E047B"/>
    <w:rsid w:val="007E1390"/>
    <w:rsid w:val="007E1742"/>
    <w:rsid w:val="007E1EC7"/>
    <w:rsid w:val="007E32FC"/>
    <w:rsid w:val="007E3333"/>
    <w:rsid w:val="007E3630"/>
    <w:rsid w:val="007E3806"/>
    <w:rsid w:val="007E3B73"/>
    <w:rsid w:val="007E4D75"/>
    <w:rsid w:val="007E6A14"/>
    <w:rsid w:val="007E7172"/>
    <w:rsid w:val="007E776E"/>
    <w:rsid w:val="007E7F11"/>
    <w:rsid w:val="007F1AD5"/>
    <w:rsid w:val="007F1D54"/>
    <w:rsid w:val="007F27CB"/>
    <w:rsid w:val="007F3032"/>
    <w:rsid w:val="007F3DB7"/>
    <w:rsid w:val="007F3E46"/>
    <w:rsid w:val="007F4207"/>
    <w:rsid w:val="007F4524"/>
    <w:rsid w:val="007F4575"/>
    <w:rsid w:val="007F4E9C"/>
    <w:rsid w:val="007F678B"/>
    <w:rsid w:val="007F697A"/>
    <w:rsid w:val="007F7777"/>
    <w:rsid w:val="007F7C8E"/>
    <w:rsid w:val="00800FED"/>
    <w:rsid w:val="00801174"/>
    <w:rsid w:val="00801FAC"/>
    <w:rsid w:val="00802000"/>
    <w:rsid w:val="00802016"/>
    <w:rsid w:val="00803318"/>
    <w:rsid w:val="00803D35"/>
    <w:rsid w:val="008045F4"/>
    <w:rsid w:val="00804B2C"/>
    <w:rsid w:val="00805360"/>
    <w:rsid w:val="00805AEE"/>
    <w:rsid w:val="008061FB"/>
    <w:rsid w:val="00806559"/>
    <w:rsid w:val="008066D2"/>
    <w:rsid w:val="0080681A"/>
    <w:rsid w:val="008079FC"/>
    <w:rsid w:val="00807BF4"/>
    <w:rsid w:val="0081072F"/>
    <w:rsid w:val="00811771"/>
    <w:rsid w:val="0081255F"/>
    <w:rsid w:val="008128F2"/>
    <w:rsid w:val="008135C1"/>
    <w:rsid w:val="00813AD7"/>
    <w:rsid w:val="00813DAD"/>
    <w:rsid w:val="008146C6"/>
    <w:rsid w:val="00814AE1"/>
    <w:rsid w:val="00814F12"/>
    <w:rsid w:val="0081514F"/>
    <w:rsid w:val="00815FC4"/>
    <w:rsid w:val="008162F4"/>
    <w:rsid w:val="008166EB"/>
    <w:rsid w:val="00816A80"/>
    <w:rsid w:val="00817845"/>
    <w:rsid w:val="00820329"/>
    <w:rsid w:val="00820955"/>
    <w:rsid w:val="0082096F"/>
    <w:rsid w:val="00821611"/>
    <w:rsid w:val="00822583"/>
    <w:rsid w:val="008233BA"/>
    <w:rsid w:val="0082363B"/>
    <w:rsid w:val="00823BA7"/>
    <w:rsid w:val="0082544B"/>
    <w:rsid w:val="00825758"/>
    <w:rsid w:val="00826125"/>
    <w:rsid w:val="00826B06"/>
    <w:rsid w:val="0082718D"/>
    <w:rsid w:val="00827240"/>
    <w:rsid w:val="00827F4A"/>
    <w:rsid w:val="00830935"/>
    <w:rsid w:val="00830AED"/>
    <w:rsid w:val="00831C59"/>
    <w:rsid w:val="0083292F"/>
    <w:rsid w:val="00832A70"/>
    <w:rsid w:val="008338E6"/>
    <w:rsid w:val="00833BE0"/>
    <w:rsid w:val="00834258"/>
    <w:rsid w:val="00834991"/>
    <w:rsid w:val="008350F9"/>
    <w:rsid w:val="00837A3B"/>
    <w:rsid w:val="00840380"/>
    <w:rsid w:val="00843C22"/>
    <w:rsid w:val="00844CFE"/>
    <w:rsid w:val="008457FE"/>
    <w:rsid w:val="0084593E"/>
    <w:rsid w:val="008459A2"/>
    <w:rsid w:val="008461A2"/>
    <w:rsid w:val="008465EB"/>
    <w:rsid w:val="00846E92"/>
    <w:rsid w:val="00847179"/>
    <w:rsid w:val="008500C1"/>
    <w:rsid w:val="00850CA2"/>
    <w:rsid w:val="00851165"/>
    <w:rsid w:val="008517ED"/>
    <w:rsid w:val="00852D92"/>
    <w:rsid w:val="0085470A"/>
    <w:rsid w:val="00854B03"/>
    <w:rsid w:val="00855C19"/>
    <w:rsid w:val="00856BD5"/>
    <w:rsid w:val="00861FF8"/>
    <w:rsid w:val="008632E5"/>
    <w:rsid w:val="00863938"/>
    <w:rsid w:val="008641AF"/>
    <w:rsid w:val="008641CF"/>
    <w:rsid w:val="00864E26"/>
    <w:rsid w:val="00865E2F"/>
    <w:rsid w:val="00865EA7"/>
    <w:rsid w:val="008672C5"/>
    <w:rsid w:val="00867B93"/>
    <w:rsid w:val="00870AD8"/>
    <w:rsid w:val="00870EAE"/>
    <w:rsid w:val="008725B8"/>
    <w:rsid w:val="00872F15"/>
    <w:rsid w:val="00873449"/>
    <w:rsid w:val="00873683"/>
    <w:rsid w:val="00873A46"/>
    <w:rsid w:val="00873D6B"/>
    <w:rsid w:val="00874232"/>
    <w:rsid w:val="00874804"/>
    <w:rsid w:val="00875587"/>
    <w:rsid w:val="00875C10"/>
    <w:rsid w:val="008764A2"/>
    <w:rsid w:val="008775D1"/>
    <w:rsid w:val="00877754"/>
    <w:rsid w:val="00880572"/>
    <w:rsid w:val="00882473"/>
    <w:rsid w:val="008827CF"/>
    <w:rsid w:val="00882A6D"/>
    <w:rsid w:val="00883126"/>
    <w:rsid w:val="00884C46"/>
    <w:rsid w:val="008865EB"/>
    <w:rsid w:val="00887805"/>
    <w:rsid w:val="008903A7"/>
    <w:rsid w:val="00891E7D"/>
    <w:rsid w:val="0089213C"/>
    <w:rsid w:val="00892E8F"/>
    <w:rsid w:val="00893F14"/>
    <w:rsid w:val="00894C99"/>
    <w:rsid w:val="00894E56"/>
    <w:rsid w:val="00894F22"/>
    <w:rsid w:val="00894FB8"/>
    <w:rsid w:val="00895137"/>
    <w:rsid w:val="00895AC9"/>
    <w:rsid w:val="008966C1"/>
    <w:rsid w:val="008A0D07"/>
    <w:rsid w:val="008A279A"/>
    <w:rsid w:val="008A28B7"/>
    <w:rsid w:val="008A307B"/>
    <w:rsid w:val="008A3AE6"/>
    <w:rsid w:val="008A3DE2"/>
    <w:rsid w:val="008A4782"/>
    <w:rsid w:val="008A50C8"/>
    <w:rsid w:val="008A5608"/>
    <w:rsid w:val="008A587C"/>
    <w:rsid w:val="008A67EF"/>
    <w:rsid w:val="008A7977"/>
    <w:rsid w:val="008A7D97"/>
    <w:rsid w:val="008B0B48"/>
    <w:rsid w:val="008B2366"/>
    <w:rsid w:val="008B25CE"/>
    <w:rsid w:val="008B2D05"/>
    <w:rsid w:val="008B31A1"/>
    <w:rsid w:val="008B35FB"/>
    <w:rsid w:val="008B3C0F"/>
    <w:rsid w:val="008B3E95"/>
    <w:rsid w:val="008B4831"/>
    <w:rsid w:val="008B549C"/>
    <w:rsid w:val="008B7617"/>
    <w:rsid w:val="008B7D1C"/>
    <w:rsid w:val="008B7D22"/>
    <w:rsid w:val="008C0748"/>
    <w:rsid w:val="008C2038"/>
    <w:rsid w:val="008C2602"/>
    <w:rsid w:val="008C2ECD"/>
    <w:rsid w:val="008C49C0"/>
    <w:rsid w:val="008C5195"/>
    <w:rsid w:val="008C6046"/>
    <w:rsid w:val="008C6316"/>
    <w:rsid w:val="008C6375"/>
    <w:rsid w:val="008C735E"/>
    <w:rsid w:val="008C76F0"/>
    <w:rsid w:val="008C7A2C"/>
    <w:rsid w:val="008D17CA"/>
    <w:rsid w:val="008D20BD"/>
    <w:rsid w:val="008D298F"/>
    <w:rsid w:val="008D38CF"/>
    <w:rsid w:val="008D3CA9"/>
    <w:rsid w:val="008D42FC"/>
    <w:rsid w:val="008D4886"/>
    <w:rsid w:val="008D4B03"/>
    <w:rsid w:val="008D4B1A"/>
    <w:rsid w:val="008D69A9"/>
    <w:rsid w:val="008D6DBA"/>
    <w:rsid w:val="008D75BC"/>
    <w:rsid w:val="008D7C72"/>
    <w:rsid w:val="008E045D"/>
    <w:rsid w:val="008E1195"/>
    <w:rsid w:val="008E15C3"/>
    <w:rsid w:val="008E1D16"/>
    <w:rsid w:val="008E24E2"/>
    <w:rsid w:val="008E2FE6"/>
    <w:rsid w:val="008E32CD"/>
    <w:rsid w:val="008E34F8"/>
    <w:rsid w:val="008E4046"/>
    <w:rsid w:val="008E50E4"/>
    <w:rsid w:val="008E5338"/>
    <w:rsid w:val="008E61FC"/>
    <w:rsid w:val="008E62C1"/>
    <w:rsid w:val="008E6AB6"/>
    <w:rsid w:val="008E7A0A"/>
    <w:rsid w:val="008F03B1"/>
    <w:rsid w:val="008F151B"/>
    <w:rsid w:val="008F1923"/>
    <w:rsid w:val="008F21CA"/>
    <w:rsid w:val="008F24B1"/>
    <w:rsid w:val="008F276B"/>
    <w:rsid w:val="008F319D"/>
    <w:rsid w:val="008F3B21"/>
    <w:rsid w:val="008F4492"/>
    <w:rsid w:val="008F475F"/>
    <w:rsid w:val="008F4DB1"/>
    <w:rsid w:val="008F6409"/>
    <w:rsid w:val="008F6D92"/>
    <w:rsid w:val="008F7A5E"/>
    <w:rsid w:val="00900341"/>
    <w:rsid w:val="009017CE"/>
    <w:rsid w:val="00901E6E"/>
    <w:rsid w:val="00902454"/>
    <w:rsid w:val="0090520F"/>
    <w:rsid w:val="00906681"/>
    <w:rsid w:val="009069C2"/>
    <w:rsid w:val="00907BA7"/>
    <w:rsid w:val="0091032E"/>
    <w:rsid w:val="00910EAF"/>
    <w:rsid w:val="009129A4"/>
    <w:rsid w:val="0091336A"/>
    <w:rsid w:val="009136CB"/>
    <w:rsid w:val="00913B33"/>
    <w:rsid w:val="00913DE3"/>
    <w:rsid w:val="00914196"/>
    <w:rsid w:val="00914421"/>
    <w:rsid w:val="009148AA"/>
    <w:rsid w:val="00914AFF"/>
    <w:rsid w:val="00914BFF"/>
    <w:rsid w:val="00915FB6"/>
    <w:rsid w:val="009163B1"/>
    <w:rsid w:val="009170DC"/>
    <w:rsid w:val="0091751A"/>
    <w:rsid w:val="00917C25"/>
    <w:rsid w:val="009203CD"/>
    <w:rsid w:val="00920AFE"/>
    <w:rsid w:val="009213E2"/>
    <w:rsid w:val="00921753"/>
    <w:rsid w:val="009219CB"/>
    <w:rsid w:val="009225BF"/>
    <w:rsid w:val="00923982"/>
    <w:rsid w:val="00925BBD"/>
    <w:rsid w:val="009272D2"/>
    <w:rsid w:val="00932B8F"/>
    <w:rsid w:val="009339D4"/>
    <w:rsid w:val="00933E06"/>
    <w:rsid w:val="00934879"/>
    <w:rsid w:val="00935DB2"/>
    <w:rsid w:val="0093756E"/>
    <w:rsid w:val="0094128D"/>
    <w:rsid w:val="009434C6"/>
    <w:rsid w:val="00943C80"/>
    <w:rsid w:val="00943D87"/>
    <w:rsid w:val="0094452C"/>
    <w:rsid w:val="00944853"/>
    <w:rsid w:val="00944AEF"/>
    <w:rsid w:val="00945B9F"/>
    <w:rsid w:val="00945D65"/>
    <w:rsid w:val="00946544"/>
    <w:rsid w:val="0095080D"/>
    <w:rsid w:val="00950CE5"/>
    <w:rsid w:val="0095131E"/>
    <w:rsid w:val="009517E5"/>
    <w:rsid w:val="00951F54"/>
    <w:rsid w:val="009524C7"/>
    <w:rsid w:val="00952657"/>
    <w:rsid w:val="009531D1"/>
    <w:rsid w:val="00953712"/>
    <w:rsid w:val="00954002"/>
    <w:rsid w:val="00954918"/>
    <w:rsid w:val="00955144"/>
    <w:rsid w:val="00955188"/>
    <w:rsid w:val="009575CD"/>
    <w:rsid w:val="009601B5"/>
    <w:rsid w:val="0096084A"/>
    <w:rsid w:val="00960A4E"/>
    <w:rsid w:val="00960DF6"/>
    <w:rsid w:val="0096248F"/>
    <w:rsid w:val="00962CDF"/>
    <w:rsid w:val="0096329F"/>
    <w:rsid w:val="00963CAE"/>
    <w:rsid w:val="00965014"/>
    <w:rsid w:val="009661BF"/>
    <w:rsid w:val="00966AFB"/>
    <w:rsid w:val="0096744B"/>
    <w:rsid w:val="00967EF8"/>
    <w:rsid w:val="00970D54"/>
    <w:rsid w:val="00972334"/>
    <w:rsid w:val="00972534"/>
    <w:rsid w:val="00972BFF"/>
    <w:rsid w:val="0097493C"/>
    <w:rsid w:val="009750AB"/>
    <w:rsid w:val="009751CC"/>
    <w:rsid w:val="00975507"/>
    <w:rsid w:val="00977F56"/>
    <w:rsid w:val="00977FF4"/>
    <w:rsid w:val="00981743"/>
    <w:rsid w:val="00987965"/>
    <w:rsid w:val="0099052D"/>
    <w:rsid w:val="00991888"/>
    <w:rsid w:val="0099272E"/>
    <w:rsid w:val="009927EF"/>
    <w:rsid w:val="00992F5E"/>
    <w:rsid w:val="009934ED"/>
    <w:rsid w:val="00993A08"/>
    <w:rsid w:val="00993CEA"/>
    <w:rsid w:val="00993E9C"/>
    <w:rsid w:val="009945E5"/>
    <w:rsid w:val="0099512A"/>
    <w:rsid w:val="009963B5"/>
    <w:rsid w:val="00996905"/>
    <w:rsid w:val="00996CE6"/>
    <w:rsid w:val="009A000D"/>
    <w:rsid w:val="009A0269"/>
    <w:rsid w:val="009A03E0"/>
    <w:rsid w:val="009A0788"/>
    <w:rsid w:val="009A0D92"/>
    <w:rsid w:val="009A173D"/>
    <w:rsid w:val="009A1D46"/>
    <w:rsid w:val="009A33A4"/>
    <w:rsid w:val="009A4A00"/>
    <w:rsid w:val="009A579C"/>
    <w:rsid w:val="009A5A3A"/>
    <w:rsid w:val="009A720F"/>
    <w:rsid w:val="009A7ACF"/>
    <w:rsid w:val="009B0039"/>
    <w:rsid w:val="009B07B0"/>
    <w:rsid w:val="009B0BCA"/>
    <w:rsid w:val="009B10B7"/>
    <w:rsid w:val="009B248B"/>
    <w:rsid w:val="009B28F5"/>
    <w:rsid w:val="009B2E1B"/>
    <w:rsid w:val="009B35C3"/>
    <w:rsid w:val="009B3AAE"/>
    <w:rsid w:val="009B3FB0"/>
    <w:rsid w:val="009B3FC8"/>
    <w:rsid w:val="009B4627"/>
    <w:rsid w:val="009B4711"/>
    <w:rsid w:val="009B4CFA"/>
    <w:rsid w:val="009B52F1"/>
    <w:rsid w:val="009B57FF"/>
    <w:rsid w:val="009B7B3F"/>
    <w:rsid w:val="009C0277"/>
    <w:rsid w:val="009C0F7B"/>
    <w:rsid w:val="009C1623"/>
    <w:rsid w:val="009C1E3A"/>
    <w:rsid w:val="009C29D3"/>
    <w:rsid w:val="009C3643"/>
    <w:rsid w:val="009C3FB3"/>
    <w:rsid w:val="009C4357"/>
    <w:rsid w:val="009C57A9"/>
    <w:rsid w:val="009C5A45"/>
    <w:rsid w:val="009C61A9"/>
    <w:rsid w:val="009C69C0"/>
    <w:rsid w:val="009C72C8"/>
    <w:rsid w:val="009C7B5C"/>
    <w:rsid w:val="009D06C0"/>
    <w:rsid w:val="009D1C34"/>
    <w:rsid w:val="009D24DD"/>
    <w:rsid w:val="009D2BA1"/>
    <w:rsid w:val="009D38AB"/>
    <w:rsid w:val="009D3AF4"/>
    <w:rsid w:val="009D4756"/>
    <w:rsid w:val="009D667F"/>
    <w:rsid w:val="009D7A4D"/>
    <w:rsid w:val="009D7E24"/>
    <w:rsid w:val="009E07B5"/>
    <w:rsid w:val="009E0960"/>
    <w:rsid w:val="009E0978"/>
    <w:rsid w:val="009E0DD7"/>
    <w:rsid w:val="009E1093"/>
    <w:rsid w:val="009E292C"/>
    <w:rsid w:val="009E3861"/>
    <w:rsid w:val="009E42EB"/>
    <w:rsid w:val="009E4B96"/>
    <w:rsid w:val="009E63E0"/>
    <w:rsid w:val="009E76A2"/>
    <w:rsid w:val="009E7945"/>
    <w:rsid w:val="009F1463"/>
    <w:rsid w:val="009F1A89"/>
    <w:rsid w:val="009F1D8A"/>
    <w:rsid w:val="009F1F59"/>
    <w:rsid w:val="009F31E6"/>
    <w:rsid w:val="009F38AA"/>
    <w:rsid w:val="009F4733"/>
    <w:rsid w:val="009F4DDD"/>
    <w:rsid w:val="009F555C"/>
    <w:rsid w:val="009F5784"/>
    <w:rsid w:val="009F5826"/>
    <w:rsid w:val="009F5C75"/>
    <w:rsid w:val="009F5FCF"/>
    <w:rsid w:val="009F6EB9"/>
    <w:rsid w:val="009F7050"/>
    <w:rsid w:val="009F7A4F"/>
    <w:rsid w:val="00A0024E"/>
    <w:rsid w:val="00A02290"/>
    <w:rsid w:val="00A023AC"/>
    <w:rsid w:val="00A03D31"/>
    <w:rsid w:val="00A0401A"/>
    <w:rsid w:val="00A05308"/>
    <w:rsid w:val="00A0535E"/>
    <w:rsid w:val="00A06A46"/>
    <w:rsid w:val="00A06ADE"/>
    <w:rsid w:val="00A06C18"/>
    <w:rsid w:val="00A07628"/>
    <w:rsid w:val="00A07DCD"/>
    <w:rsid w:val="00A100CD"/>
    <w:rsid w:val="00A102A2"/>
    <w:rsid w:val="00A10BBC"/>
    <w:rsid w:val="00A11315"/>
    <w:rsid w:val="00A12A2A"/>
    <w:rsid w:val="00A13DC1"/>
    <w:rsid w:val="00A14AA5"/>
    <w:rsid w:val="00A14BF1"/>
    <w:rsid w:val="00A15027"/>
    <w:rsid w:val="00A15A95"/>
    <w:rsid w:val="00A16B94"/>
    <w:rsid w:val="00A17A6B"/>
    <w:rsid w:val="00A17B49"/>
    <w:rsid w:val="00A20232"/>
    <w:rsid w:val="00A21CB8"/>
    <w:rsid w:val="00A21EA8"/>
    <w:rsid w:val="00A227CA"/>
    <w:rsid w:val="00A22C6D"/>
    <w:rsid w:val="00A2316A"/>
    <w:rsid w:val="00A24689"/>
    <w:rsid w:val="00A2483D"/>
    <w:rsid w:val="00A24C83"/>
    <w:rsid w:val="00A25B66"/>
    <w:rsid w:val="00A266C5"/>
    <w:rsid w:val="00A268FF"/>
    <w:rsid w:val="00A26C5C"/>
    <w:rsid w:val="00A27007"/>
    <w:rsid w:val="00A27211"/>
    <w:rsid w:val="00A272C5"/>
    <w:rsid w:val="00A2774F"/>
    <w:rsid w:val="00A27AD8"/>
    <w:rsid w:val="00A309FE"/>
    <w:rsid w:val="00A30ABF"/>
    <w:rsid w:val="00A30B31"/>
    <w:rsid w:val="00A31315"/>
    <w:rsid w:val="00A324C8"/>
    <w:rsid w:val="00A32A19"/>
    <w:rsid w:val="00A330D0"/>
    <w:rsid w:val="00A33483"/>
    <w:rsid w:val="00A33936"/>
    <w:rsid w:val="00A34676"/>
    <w:rsid w:val="00A34B56"/>
    <w:rsid w:val="00A355E6"/>
    <w:rsid w:val="00A35816"/>
    <w:rsid w:val="00A359E9"/>
    <w:rsid w:val="00A36B6B"/>
    <w:rsid w:val="00A370CA"/>
    <w:rsid w:val="00A371C6"/>
    <w:rsid w:val="00A37234"/>
    <w:rsid w:val="00A37E59"/>
    <w:rsid w:val="00A37F61"/>
    <w:rsid w:val="00A42F0E"/>
    <w:rsid w:val="00A44C71"/>
    <w:rsid w:val="00A44EBD"/>
    <w:rsid w:val="00A5032D"/>
    <w:rsid w:val="00A50FF5"/>
    <w:rsid w:val="00A518BE"/>
    <w:rsid w:val="00A52F83"/>
    <w:rsid w:val="00A54497"/>
    <w:rsid w:val="00A54FD9"/>
    <w:rsid w:val="00A559F5"/>
    <w:rsid w:val="00A55E74"/>
    <w:rsid w:val="00A56850"/>
    <w:rsid w:val="00A57EBD"/>
    <w:rsid w:val="00A57F64"/>
    <w:rsid w:val="00A609DC"/>
    <w:rsid w:val="00A623D6"/>
    <w:rsid w:val="00A62B7B"/>
    <w:rsid w:val="00A633C8"/>
    <w:rsid w:val="00A641B4"/>
    <w:rsid w:val="00A6457B"/>
    <w:rsid w:val="00A649DB"/>
    <w:rsid w:val="00A65967"/>
    <w:rsid w:val="00A663F4"/>
    <w:rsid w:val="00A6715D"/>
    <w:rsid w:val="00A6775B"/>
    <w:rsid w:val="00A679AF"/>
    <w:rsid w:val="00A70BC6"/>
    <w:rsid w:val="00A7131A"/>
    <w:rsid w:val="00A71942"/>
    <w:rsid w:val="00A71CB9"/>
    <w:rsid w:val="00A72B72"/>
    <w:rsid w:val="00A737FC"/>
    <w:rsid w:val="00A73AFF"/>
    <w:rsid w:val="00A7668D"/>
    <w:rsid w:val="00A7676F"/>
    <w:rsid w:val="00A76CCB"/>
    <w:rsid w:val="00A76F8E"/>
    <w:rsid w:val="00A77140"/>
    <w:rsid w:val="00A773D1"/>
    <w:rsid w:val="00A77506"/>
    <w:rsid w:val="00A775DE"/>
    <w:rsid w:val="00A80ADB"/>
    <w:rsid w:val="00A80D52"/>
    <w:rsid w:val="00A80E23"/>
    <w:rsid w:val="00A80EAD"/>
    <w:rsid w:val="00A81116"/>
    <w:rsid w:val="00A81175"/>
    <w:rsid w:val="00A81B41"/>
    <w:rsid w:val="00A87033"/>
    <w:rsid w:val="00A8762C"/>
    <w:rsid w:val="00A87B55"/>
    <w:rsid w:val="00A9110B"/>
    <w:rsid w:val="00A91332"/>
    <w:rsid w:val="00A9159E"/>
    <w:rsid w:val="00A925C8"/>
    <w:rsid w:val="00A9275D"/>
    <w:rsid w:val="00A929B0"/>
    <w:rsid w:val="00A943A5"/>
    <w:rsid w:val="00A944A1"/>
    <w:rsid w:val="00A9470E"/>
    <w:rsid w:val="00A9580B"/>
    <w:rsid w:val="00A969FD"/>
    <w:rsid w:val="00A96AD7"/>
    <w:rsid w:val="00A9708A"/>
    <w:rsid w:val="00A97409"/>
    <w:rsid w:val="00A97894"/>
    <w:rsid w:val="00AA08A0"/>
    <w:rsid w:val="00AA0C2E"/>
    <w:rsid w:val="00AA29D3"/>
    <w:rsid w:val="00AA2E8C"/>
    <w:rsid w:val="00AA3A56"/>
    <w:rsid w:val="00AA4B5A"/>
    <w:rsid w:val="00AA4F8F"/>
    <w:rsid w:val="00AA5733"/>
    <w:rsid w:val="00AA5C22"/>
    <w:rsid w:val="00AA68C4"/>
    <w:rsid w:val="00AA6DB8"/>
    <w:rsid w:val="00AA703B"/>
    <w:rsid w:val="00AA71B9"/>
    <w:rsid w:val="00AA78F8"/>
    <w:rsid w:val="00AA7E62"/>
    <w:rsid w:val="00AB05B1"/>
    <w:rsid w:val="00AB0BEA"/>
    <w:rsid w:val="00AB24C0"/>
    <w:rsid w:val="00AB26C2"/>
    <w:rsid w:val="00AB27BD"/>
    <w:rsid w:val="00AB2DFA"/>
    <w:rsid w:val="00AB34D1"/>
    <w:rsid w:val="00AB4728"/>
    <w:rsid w:val="00AB4A60"/>
    <w:rsid w:val="00AB5C8B"/>
    <w:rsid w:val="00AB5DC8"/>
    <w:rsid w:val="00AB605F"/>
    <w:rsid w:val="00AB68F0"/>
    <w:rsid w:val="00AB6DE8"/>
    <w:rsid w:val="00AC043F"/>
    <w:rsid w:val="00AC130D"/>
    <w:rsid w:val="00AC26CD"/>
    <w:rsid w:val="00AC2783"/>
    <w:rsid w:val="00AC3252"/>
    <w:rsid w:val="00AC3911"/>
    <w:rsid w:val="00AC50ED"/>
    <w:rsid w:val="00AC5F2D"/>
    <w:rsid w:val="00AC6A6E"/>
    <w:rsid w:val="00AC6DD3"/>
    <w:rsid w:val="00AC6F3B"/>
    <w:rsid w:val="00AC7114"/>
    <w:rsid w:val="00AC7FE7"/>
    <w:rsid w:val="00AD091E"/>
    <w:rsid w:val="00AD1706"/>
    <w:rsid w:val="00AD1866"/>
    <w:rsid w:val="00AD1E0B"/>
    <w:rsid w:val="00AD1E76"/>
    <w:rsid w:val="00AD23EA"/>
    <w:rsid w:val="00AD2A0C"/>
    <w:rsid w:val="00AD2BF4"/>
    <w:rsid w:val="00AD4A3C"/>
    <w:rsid w:val="00AD52C6"/>
    <w:rsid w:val="00AD542D"/>
    <w:rsid w:val="00AD5809"/>
    <w:rsid w:val="00AD5FE8"/>
    <w:rsid w:val="00AD67E4"/>
    <w:rsid w:val="00AD694E"/>
    <w:rsid w:val="00AD6F4F"/>
    <w:rsid w:val="00AE0388"/>
    <w:rsid w:val="00AE15E4"/>
    <w:rsid w:val="00AE1D54"/>
    <w:rsid w:val="00AE246A"/>
    <w:rsid w:val="00AE2F2C"/>
    <w:rsid w:val="00AE5638"/>
    <w:rsid w:val="00AE5AB0"/>
    <w:rsid w:val="00AE5FC2"/>
    <w:rsid w:val="00AE6741"/>
    <w:rsid w:val="00AE6997"/>
    <w:rsid w:val="00AE6A62"/>
    <w:rsid w:val="00AE7942"/>
    <w:rsid w:val="00AE79B3"/>
    <w:rsid w:val="00AF0283"/>
    <w:rsid w:val="00AF0AC6"/>
    <w:rsid w:val="00AF1138"/>
    <w:rsid w:val="00AF11B8"/>
    <w:rsid w:val="00AF1B72"/>
    <w:rsid w:val="00AF1E28"/>
    <w:rsid w:val="00AF28D3"/>
    <w:rsid w:val="00AF2BB4"/>
    <w:rsid w:val="00AF3052"/>
    <w:rsid w:val="00AF3C78"/>
    <w:rsid w:val="00AF4D0A"/>
    <w:rsid w:val="00AF4F2D"/>
    <w:rsid w:val="00AF4FDD"/>
    <w:rsid w:val="00AF5831"/>
    <w:rsid w:val="00AF58E0"/>
    <w:rsid w:val="00AF5A49"/>
    <w:rsid w:val="00AF6C16"/>
    <w:rsid w:val="00AF7396"/>
    <w:rsid w:val="00AF7D27"/>
    <w:rsid w:val="00B005CE"/>
    <w:rsid w:val="00B0289D"/>
    <w:rsid w:val="00B02EBD"/>
    <w:rsid w:val="00B035BF"/>
    <w:rsid w:val="00B03A50"/>
    <w:rsid w:val="00B040BF"/>
    <w:rsid w:val="00B04C24"/>
    <w:rsid w:val="00B04F44"/>
    <w:rsid w:val="00B04FA9"/>
    <w:rsid w:val="00B058BA"/>
    <w:rsid w:val="00B05E1D"/>
    <w:rsid w:val="00B06F5E"/>
    <w:rsid w:val="00B07196"/>
    <w:rsid w:val="00B073F7"/>
    <w:rsid w:val="00B076C3"/>
    <w:rsid w:val="00B10A86"/>
    <w:rsid w:val="00B11092"/>
    <w:rsid w:val="00B115C2"/>
    <w:rsid w:val="00B125FA"/>
    <w:rsid w:val="00B12B0A"/>
    <w:rsid w:val="00B130C1"/>
    <w:rsid w:val="00B13B57"/>
    <w:rsid w:val="00B144AD"/>
    <w:rsid w:val="00B152E2"/>
    <w:rsid w:val="00B15809"/>
    <w:rsid w:val="00B1593A"/>
    <w:rsid w:val="00B15C75"/>
    <w:rsid w:val="00B17418"/>
    <w:rsid w:val="00B208C6"/>
    <w:rsid w:val="00B20C97"/>
    <w:rsid w:val="00B21289"/>
    <w:rsid w:val="00B22753"/>
    <w:rsid w:val="00B22BE6"/>
    <w:rsid w:val="00B22DF1"/>
    <w:rsid w:val="00B23503"/>
    <w:rsid w:val="00B23BB2"/>
    <w:rsid w:val="00B241D6"/>
    <w:rsid w:val="00B25109"/>
    <w:rsid w:val="00B2557E"/>
    <w:rsid w:val="00B260BB"/>
    <w:rsid w:val="00B26AA3"/>
    <w:rsid w:val="00B26C01"/>
    <w:rsid w:val="00B30190"/>
    <w:rsid w:val="00B30EED"/>
    <w:rsid w:val="00B31902"/>
    <w:rsid w:val="00B31967"/>
    <w:rsid w:val="00B31AAA"/>
    <w:rsid w:val="00B32A4F"/>
    <w:rsid w:val="00B32A58"/>
    <w:rsid w:val="00B32C69"/>
    <w:rsid w:val="00B32D58"/>
    <w:rsid w:val="00B3495D"/>
    <w:rsid w:val="00B35836"/>
    <w:rsid w:val="00B35B51"/>
    <w:rsid w:val="00B35E9E"/>
    <w:rsid w:val="00B3610B"/>
    <w:rsid w:val="00B3620F"/>
    <w:rsid w:val="00B367C7"/>
    <w:rsid w:val="00B36E23"/>
    <w:rsid w:val="00B36E45"/>
    <w:rsid w:val="00B4013F"/>
    <w:rsid w:val="00B40148"/>
    <w:rsid w:val="00B40F18"/>
    <w:rsid w:val="00B4172E"/>
    <w:rsid w:val="00B41A30"/>
    <w:rsid w:val="00B424C6"/>
    <w:rsid w:val="00B42534"/>
    <w:rsid w:val="00B4326B"/>
    <w:rsid w:val="00B4354B"/>
    <w:rsid w:val="00B44D9E"/>
    <w:rsid w:val="00B44DEC"/>
    <w:rsid w:val="00B4500F"/>
    <w:rsid w:val="00B45531"/>
    <w:rsid w:val="00B4599A"/>
    <w:rsid w:val="00B476DA"/>
    <w:rsid w:val="00B503E0"/>
    <w:rsid w:val="00B504D1"/>
    <w:rsid w:val="00B506D3"/>
    <w:rsid w:val="00B50A1C"/>
    <w:rsid w:val="00B516AB"/>
    <w:rsid w:val="00B518C2"/>
    <w:rsid w:val="00B52854"/>
    <w:rsid w:val="00B52AB3"/>
    <w:rsid w:val="00B52B44"/>
    <w:rsid w:val="00B534DA"/>
    <w:rsid w:val="00B53526"/>
    <w:rsid w:val="00B537A5"/>
    <w:rsid w:val="00B5454F"/>
    <w:rsid w:val="00B54B85"/>
    <w:rsid w:val="00B55619"/>
    <w:rsid w:val="00B55845"/>
    <w:rsid w:val="00B55BD9"/>
    <w:rsid w:val="00B567A8"/>
    <w:rsid w:val="00B56DED"/>
    <w:rsid w:val="00B57538"/>
    <w:rsid w:val="00B5799A"/>
    <w:rsid w:val="00B600AB"/>
    <w:rsid w:val="00B606B0"/>
    <w:rsid w:val="00B61188"/>
    <w:rsid w:val="00B61489"/>
    <w:rsid w:val="00B614D5"/>
    <w:rsid w:val="00B61CEB"/>
    <w:rsid w:val="00B626F0"/>
    <w:rsid w:val="00B6277A"/>
    <w:rsid w:val="00B62B4A"/>
    <w:rsid w:val="00B63313"/>
    <w:rsid w:val="00B65154"/>
    <w:rsid w:val="00B65D42"/>
    <w:rsid w:val="00B66353"/>
    <w:rsid w:val="00B66B71"/>
    <w:rsid w:val="00B6701E"/>
    <w:rsid w:val="00B67709"/>
    <w:rsid w:val="00B70D2C"/>
    <w:rsid w:val="00B71496"/>
    <w:rsid w:val="00B720B5"/>
    <w:rsid w:val="00B72BDB"/>
    <w:rsid w:val="00B74E74"/>
    <w:rsid w:val="00B81BD7"/>
    <w:rsid w:val="00B81E99"/>
    <w:rsid w:val="00B82B52"/>
    <w:rsid w:val="00B8361F"/>
    <w:rsid w:val="00B84431"/>
    <w:rsid w:val="00B84D3E"/>
    <w:rsid w:val="00B84E26"/>
    <w:rsid w:val="00B8590A"/>
    <w:rsid w:val="00B8726C"/>
    <w:rsid w:val="00B8734B"/>
    <w:rsid w:val="00B87859"/>
    <w:rsid w:val="00B908E9"/>
    <w:rsid w:val="00B90B4E"/>
    <w:rsid w:val="00B91960"/>
    <w:rsid w:val="00B91CFC"/>
    <w:rsid w:val="00B94691"/>
    <w:rsid w:val="00B94733"/>
    <w:rsid w:val="00B960D8"/>
    <w:rsid w:val="00B974A3"/>
    <w:rsid w:val="00B97AD1"/>
    <w:rsid w:val="00BA00C3"/>
    <w:rsid w:val="00BA09A4"/>
    <w:rsid w:val="00BA0D4F"/>
    <w:rsid w:val="00BA1C03"/>
    <w:rsid w:val="00BA43B6"/>
    <w:rsid w:val="00BA5993"/>
    <w:rsid w:val="00BA5C99"/>
    <w:rsid w:val="00BA6163"/>
    <w:rsid w:val="00BA68F2"/>
    <w:rsid w:val="00BA6B48"/>
    <w:rsid w:val="00BA7262"/>
    <w:rsid w:val="00BA77EB"/>
    <w:rsid w:val="00BA7A4E"/>
    <w:rsid w:val="00BA7C19"/>
    <w:rsid w:val="00BA7E1C"/>
    <w:rsid w:val="00BB0335"/>
    <w:rsid w:val="00BB063E"/>
    <w:rsid w:val="00BB07C4"/>
    <w:rsid w:val="00BB09E0"/>
    <w:rsid w:val="00BB289B"/>
    <w:rsid w:val="00BB3514"/>
    <w:rsid w:val="00BB37F6"/>
    <w:rsid w:val="00BB4AC2"/>
    <w:rsid w:val="00BB5296"/>
    <w:rsid w:val="00BB5C80"/>
    <w:rsid w:val="00BB605F"/>
    <w:rsid w:val="00BB6C57"/>
    <w:rsid w:val="00BB7FE1"/>
    <w:rsid w:val="00BC08AA"/>
    <w:rsid w:val="00BC08CC"/>
    <w:rsid w:val="00BC110A"/>
    <w:rsid w:val="00BC168D"/>
    <w:rsid w:val="00BC1DAD"/>
    <w:rsid w:val="00BC1DBD"/>
    <w:rsid w:val="00BC2229"/>
    <w:rsid w:val="00BC2508"/>
    <w:rsid w:val="00BC2612"/>
    <w:rsid w:val="00BC3388"/>
    <w:rsid w:val="00BC3D6E"/>
    <w:rsid w:val="00BC49E1"/>
    <w:rsid w:val="00BC4D97"/>
    <w:rsid w:val="00BC52A8"/>
    <w:rsid w:val="00BC64BC"/>
    <w:rsid w:val="00BC6BD0"/>
    <w:rsid w:val="00BC7203"/>
    <w:rsid w:val="00BC7215"/>
    <w:rsid w:val="00BD081A"/>
    <w:rsid w:val="00BD106E"/>
    <w:rsid w:val="00BD17B7"/>
    <w:rsid w:val="00BD184B"/>
    <w:rsid w:val="00BD338C"/>
    <w:rsid w:val="00BD43D6"/>
    <w:rsid w:val="00BD4FE0"/>
    <w:rsid w:val="00BD62E8"/>
    <w:rsid w:val="00BD71A3"/>
    <w:rsid w:val="00BD77A5"/>
    <w:rsid w:val="00BD7CB5"/>
    <w:rsid w:val="00BD7ECA"/>
    <w:rsid w:val="00BE05F6"/>
    <w:rsid w:val="00BE0AF6"/>
    <w:rsid w:val="00BE0B56"/>
    <w:rsid w:val="00BE0EA9"/>
    <w:rsid w:val="00BE12DE"/>
    <w:rsid w:val="00BE1586"/>
    <w:rsid w:val="00BE218A"/>
    <w:rsid w:val="00BE2A67"/>
    <w:rsid w:val="00BE3C46"/>
    <w:rsid w:val="00BE40FE"/>
    <w:rsid w:val="00BE51F6"/>
    <w:rsid w:val="00BE521C"/>
    <w:rsid w:val="00BE5C9B"/>
    <w:rsid w:val="00BE6599"/>
    <w:rsid w:val="00BE6B2C"/>
    <w:rsid w:val="00BF1553"/>
    <w:rsid w:val="00BF1EF8"/>
    <w:rsid w:val="00BF2158"/>
    <w:rsid w:val="00BF2897"/>
    <w:rsid w:val="00BF2E9A"/>
    <w:rsid w:val="00BF4511"/>
    <w:rsid w:val="00BF5EA0"/>
    <w:rsid w:val="00BF6A5E"/>
    <w:rsid w:val="00BF7DBB"/>
    <w:rsid w:val="00C0068D"/>
    <w:rsid w:val="00C0072F"/>
    <w:rsid w:val="00C011B9"/>
    <w:rsid w:val="00C013E2"/>
    <w:rsid w:val="00C01D82"/>
    <w:rsid w:val="00C02ABB"/>
    <w:rsid w:val="00C02FC9"/>
    <w:rsid w:val="00C035CF"/>
    <w:rsid w:val="00C03E7A"/>
    <w:rsid w:val="00C04194"/>
    <w:rsid w:val="00C04DDE"/>
    <w:rsid w:val="00C0702E"/>
    <w:rsid w:val="00C10B3E"/>
    <w:rsid w:val="00C11192"/>
    <w:rsid w:val="00C13D92"/>
    <w:rsid w:val="00C14017"/>
    <w:rsid w:val="00C144C1"/>
    <w:rsid w:val="00C14524"/>
    <w:rsid w:val="00C16CA8"/>
    <w:rsid w:val="00C16D2D"/>
    <w:rsid w:val="00C17368"/>
    <w:rsid w:val="00C207F2"/>
    <w:rsid w:val="00C21B8D"/>
    <w:rsid w:val="00C21C60"/>
    <w:rsid w:val="00C21EDB"/>
    <w:rsid w:val="00C22A61"/>
    <w:rsid w:val="00C23B09"/>
    <w:rsid w:val="00C241A7"/>
    <w:rsid w:val="00C248E0"/>
    <w:rsid w:val="00C24BEC"/>
    <w:rsid w:val="00C24D52"/>
    <w:rsid w:val="00C271AE"/>
    <w:rsid w:val="00C307A9"/>
    <w:rsid w:val="00C30B1E"/>
    <w:rsid w:val="00C3174D"/>
    <w:rsid w:val="00C31C66"/>
    <w:rsid w:val="00C31F9F"/>
    <w:rsid w:val="00C3305B"/>
    <w:rsid w:val="00C33438"/>
    <w:rsid w:val="00C336D4"/>
    <w:rsid w:val="00C33FAB"/>
    <w:rsid w:val="00C34834"/>
    <w:rsid w:val="00C34EC1"/>
    <w:rsid w:val="00C35188"/>
    <w:rsid w:val="00C372E3"/>
    <w:rsid w:val="00C400FA"/>
    <w:rsid w:val="00C40674"/>
    <w:rsid w:val="00C4193E"/>
    <w:rsid w:val="00C42227"/>
    <w:rsid w:val="00C4420B"/>
    <w:rsid w:val="00C451D2"/>
    <w:rsid w:val="00C46442"/>
    <w:rsid w:val="00C4716A"/>
    <w:rsid w:val="00C47547"/>
    <w:rsid w:val="00C503CD"/>
    <w:rsid w:val="00C50CC3"/>
    <w:rsid w:val="00C531D6"/>
    <w:rsid w:val="00C53E7A"/>
    <w:rsid w:val="00C55955"/>
    <w:rsid w:val="00C55F19"/>
    <w:rsid w:val="00C56356"/>
    <w:rsid w:val="00C563F2"/>
    <w:rsid w:val="00C56B43"/>
    <w:rsid w:val="00C612AA"/>
    <w:rsid w:val="00C61690"/>
    <w:rsid w:val="00C61AE1"/>
    <w:rsid w:val="00C6220B"/>
    <w:rsid w:val="00C62835"/>
    <w:rsid w:val="00C6336F"/>
    <w:rsid w:val="00C655FC"/>
    <w:rsid w:val="00C662B4"/>
    <w:rsid w:val="00C66DE5"/>
    <w:rsid w:val="00C66E2C"/>
    <w:rsid w:val="00C67EDD"/>
    <w:rsid w:val="00C70A45"/>
    <w:rsid w:val="00C725C5"/>
    <w:rsid w:val="00C75F9D"/>
    <w:rsid w:val="00C76B34"/>
    <w:rsid w:val="00C7747A"/>
    <w:rsid w:val="00C77797"/>
    <w:rsid w:val="00C81108"/>
    <w:rsid w:val="00C81702"/>
    <w:rsid w:val="00C818EF"/>
    <w:rsid w:val="00C840E7"/>
    <w:rsid w:val="00C84519"/>
    <w:rsid w:val="00C865F3"/>
    <w:rsid w:val="00C87333"/>
    <w:rsid w:val="00C878F9"/>
    <w:rsid w:val="00C90483"/>
    <w:rsid w:val="00C90C41"/>
    <w:rsid w:val="00C90F29"/>
    <w:rsid w:val="00C9116E"/>
    <w:rsid w:val="00C915DE"/>
    <w:rsid w:val="00C92378"/>
    <w:rsid w:val="00C929C5"/>
    <w:rsid w:val="00C92FC6"/>
    <w:rsid w:val="00C93F33"/>
    <w:rsid w:val="00C94160"/>
    <w:rsid w:val="00C94667"/>
    <w:rsid w:val="00C95CFB"/>
    <w:rsid w:val="00C9603C"/>
    <w:rsid w:val="00CA03A1"/>
    <w:rsid w:val="00CA1668"/>
    <w:rsid w:val="00CA170E"/>
    <w:rsid w:val="00CA260B"/>
    <w:rsid w:val="00CA35D5"/>
    <w:rsid w:val="00CA3D7D"/>
    <w:rsid w:val="00CA444C"/>
    <w:rsid w:val="00CA4E55"/>
    <w:rsid w:val="00CA4FCC"/>
    <w:rsid w:val="00CA5183"/>
    <w:rsid w:val="00CA5C89"/>
    <w:rsid w:val="00CA5D2C"/>
    <w:rsid w:val="00CA6432"/>
    <w:rsid w:val="00CA6C16"/>
    <w:rsid w:val="00CA6F63"/>
    <w:rsid w:val="00CB0E09"/>
    <w:rsid w:val="00CB0F5D"/>
    <w:rsid w:val="00CB307E"/>
    <w:rsid w:val="00CB37C6"/>
    <w:rsid w:val="00CB3EDA"/>
    <w:rsid w:val="00CB463F"/>
    <w:rsid w:val="00CB7079"/>
    <w:rsid w:val="00CB73A9"/>
    <w:rsid w:val="00CC0DA7"/>
    <w:rsid w:val="00CC15E7"/>
    <w:rsid w:val="00CC1ECA"/>
    <w:rsid w:val="00CC2470"/>
    <w:rsid w:val="00CC293E"/>
    <w:rsid w:val="00CC4281"/>
    <w:rsid w:val="00CC5931"/>
    <w:rsid w:val="00CC5C2E"/>
    <w:rsid w:val="00CC76EF"/>
    <w:rsid w:val="00CC784D"/>
    <w:rsid w:val="00CC7893"/>
    <w:rsid w:val="00CD03B2"/>
    <w:rsid w:val="00CD1F69"/>
    <w:rsid w:val="00CD2D13"/>
    <w:rsid w:val="00CD2D8F"/>
    <w:rsid w:val="00CD3242"/>
    <w:rsid w:val="00CD408C"/>
    <w:rsid w:val="00CD45B3"/>
    <w:rsid w:val="00CD7261"/>
    <w:rsid w:val="00CD732F"/>
    <w:rsid w:val="00CD78FA"/>
    <w:rsid w:val="00CE1640"/>
    <w:rsid w:val="00CE1F9C"/>
    <w:rsid w:val="00CE2153"/>
    <w:rsid w:val="00CE2DE6"/>
    <w:rsid w:val="00CE3957"/>
    <w:rsid w:val="00CE442D"/>
    <w:rsid w:val="00CE4625"/>
    <w:rsid w:val="00CE5414"/>
    <w:rsid w:val="00CE58EF"/>
    <w:rsid w:val="00CF1A57"/>
    <w:rsid w:val="00CF2F50"/>
    <w:rsid w:val="00CF2FE1"/>
    <w:rsid w:val="00CF31C1"/>
    <w:rsid w:val="00CF371B"/>
    <w:rsid w:val="00CF4E75"/>
    <w:rsid w:val="00CF5A1E"/>
    <w:rsid w:val="00CF656F"/>
    <w:rsid w:val="00CF6A1D"/>
    <w:rsid w:val="00CF7257"/>
    <w:rsid w:val="00CF74DC"/>
    <w:rsid w:val="00CF7DB5"/>
    <w:rsid w:val="00D00085"/>
    <w:rsid w:val="00D0116C"/>
    <w:rsid w:val="00D01483"/>
    <w:rsid w:val="00D01DA1"/>
    <w:rsid w:val="00D02476"/>
    <w:rsid w:val="00D031DC"/>
    <w:rsid w:val="00D04148"/>
    <w:rsid w:val="00D05C25"/>
    <w:rsid w:val="00D05DFF"/>
    <w:rsid w:val="00D0699F"/>
    <w:rsid w:val="00D11B98"/>
    <w:rsid w:val="00D12D1D"/>
    <w:rsid w:val="00D131FC"/>
    <w:rsid w:val="00D15003"/>
    <w:rsid w:val="00D15454"/>
    <w:rsid w:val="00D15CA9"/>
    <w:rsid w:val="00D16530"/>
    <w:rsid w:val="00D177B4"/>
    <w:rsid w:val="00D17FCA"/>
    <w:rsid w:val="00D202B4"/>
    <w:rsid w:val="00D20E38"/>
    <w:rsid w:val="00D216D2"/>
    <w:rsid w:val="00D21C17"/>
    <w:rsid w:val="00D2272D"/>
    <w:rsid w:val="00D22F76"/>
    <w:rsid w:val="00D22F8A"/>
    <w:rsid w:val="00D23FA4"/>
    <w:rsid w:val="00D24372"/>
    <w:rsid w:val="00D252A8"/>
    <w:rsid w:val="00D2725C"/>
    <w:rsid w:val="00D30ACA"/>
    <w:rsid w:val="00D3298B"/>
    <w:rsid w:val="00D335DE"/>
    <w:rsid w:val="00D34502"/>
    <w:rsid w:val="00D37C3D"/>
    <w:rsid w:val="00D41A73"/>
    <w:rsid w:val="00D41D50"/>
    <w:rsid w:val="00D4315E"/>
    <w:rsid w:val="00D435C7"/>
    <w:rsid w:val="00D43A32"/>
    <w:rsid w:val="00D4418E"/>
    <w:rsid w:val="00D44F50"/>
    <w:rsid w:val="00D44F58"/>
    <w:rsid w:val="00D45887"/>
    <w:rsid w:val="00D45955"/>
    <w:rsid w:val="00D46248"/>
    <w:rsid w:val="00D464C1"/>
    <w:rsid w:val="00D47C47"/>
    <w:rsid w:val="00D50829"/>
    <w:rsid w:val="00D51AFF"/>
    <w:rsid w:val="00D54BBA"/>
    <w:rsid w:val="00D551AD"/>
    <w:rsid w:val="00D5558D"/>
    <w:rsid w:val="00D56442"/>
    <w:rsid w:val="00D5677E"/>
    <w:rsid w:val="00D569D8"/>
    <w:rsid w:val="00D57723"/>
    <w:rsid w:val="00D57E64"/>
    <w:rsid w:val="00D57F97"/>
    <w:rsid w:val="00D57FE4"/>
    <w:rsid w:val="00D60004"/>
    <w:rsid w:val="00D623FB"/>
    <w:rsid w:val="00D631FF"/>
    <w:rsid w:val="00D64124"/>
    <w:rsid w:val="00D65654"/>
    <w:rsid w:val="00D6612D"/>
    <w:rsid w:val="00D661C0"/>
    <w:rsid w:val="00D70466"/>
    <w:rsid w:val="00D70A14"/>
    <w:rsid w:val="00D70BBC"/>
    <w:rsid w:val="00D715EF"/>
    <w:rsid w:val="00D72278"/>
    <w:rsid w:val="00D73359"/>
    <w:rsid w:val="00D7335C"/>
    <w:rsid w:val="00D73688"/>
    <w:rsid w:val="00D8056A"/>
    <w:rsid w:val="00D80DE2"/>
    <w:rsid w:val="00D818DB"/>
    <w:rsid w:val="00D81D46"/>
    <w:rsid w:val="00D8252D"/>
    <w:rsid w:val="00D82E91"/>
    <w:rsid w:val="00D83678"/>
    <w:rsid w:val="00D83A49"/>
    <w:rsid w:val="00D83D6E"/>
    <w:rsid w:val="00D8424F"/>
    <w:rsid w:val="00D8461F"/>
    <w:rsid w:val="00D84869"/>
    <w:rsid w:val="00D84C44"/>
    <w:rsid w:val="00D84EB8"/>
    <w:rsid w:val="00D85B75"/>
    <w:rsid w:val="00D86254"/>
    <w:rsid w:val="00D87C54"/>
    <w:rsid w:val="00D87E48"/>
    <w:rsid w:val="00D90F05"/>
    <w:rsid w:val="00D91669"/>
    <w:rsid w:val="00D919A5"/>
    <w:rsid w:val="00D91DA6"/>
    <w:rsid w:val="00D925B7"/>
    <w:rsid w:val="00D925F4"/>
    <w:rsid w:val="00D92A70"/>
    <w:rsid w:val="00D93C7F"/>
    <w:rsid w:val="00D94A81"/>
    <w:rsid w:val="00D95053"/>
    <w:rsid w:val="00D95132"/>
    <w:rsid w:val="00D953F1"/>
    <w:rsid w:val="00D964C7"/>
    <w:rsid w:val="00D965AD"/>
    <w:rsid w:val="00D968BD"/>
    <w:rsid w:val="00D971B1"/>
    <w:rsid w:val="00D97508"/>
    <w:rsid w:val="00DA0D5C"/>
    <w:rsid w:val="00DA1FA9"/>
    <w:rsid w:val="00DA219F"/>
    <w:rsid w:val="00DA239A"/>
    <w:rsid w:val="00DA2757"/>
    <w:rsid w:val="00DA3A7D"/>
    <w:rsid w:val="00DA42D4"/>
    <w:rsid w:val="00DA5424"/>
    <w:rsid w:val="00DA6115"/>
    <w:rsid w:val="00DA67CC"/>
    <w:rsid w:val="00DA6CF2"/>
    <w:rsid w:val="00DA7A83"/>
    <w:rsid w:val="00DA7D0B"/>
    <w:rsid w:val="00DB1C71"/>
    <w:rsid w:val="00DB216C"/>
    <w:rsid w:val="00DB282C"/>
    <w:rsid w:val="00DB2FB7"/>
    <w:rsid w:val="00DB4578"/>
    <w:rsid w:val="00DB484D"/>
    <w:rsid w:val="00DB58C5"/>
    <w:rsid w:val="00DB68C8"/>
    <w:rsid w:val="00DB6DA3"/>
    <w:rsid w:val="00DB762D"/>
    <w:rsid w:val="00DB7BFA"/>
    <w:rsid w:val="00DB7EA7"/>
    <w:rsid w:val="00DC0839"/>
    <w:rsid w:val="00DC0A42"/>
    <w:rsid w:val="00DC0FFF"/>
    <w:rsid w:val="00DC129D"/>
    <w:rsid w:val="00DC17E7"/>
    <w:rsid w:val="00DC1E5C"/>
    <w:rsid w:val="00DC2327"/>
    <w:rsid w:val="00DC235E"/>
    <w:rsid w:val="00DC2B52"/>
    <w:rsid w:val="00DC394E"/>
    <w:rsid w:val="00DC3C30"/>
    <w:rsid w:val="00DC3EF6"/>
    <w:rsid w:val="00DC471E"/>
    <w:rsid w:val="00DC57AE"/>
    <w:rsid w:val="00DC6922"/>
    <w:rsid w:val="00DC704D"/>
    <w:rsid w:val="00DC7F3A"/>
    <w:rsid w:val="00DD01A6"/>
    <w:rsid w:val="00DD0417"/>
    <w:rsid w:val="00DD0450"/>
    <w:rsid w:val="00DD0FF1"/>
    <w:rsid w:val="00DD1DA7"/>
    <w:rsid w:val="00DD1E4A"/>
    <w:rsid w:val="00DD2371"/>
    <w:rsid w:val="00DD25AA"/>
    <w:rsid w:val="00DD4694"/>
    <w:rsid w:val="00DD4808"/>
    <w:rsid w:val="00DD4A01"/>
    <w:rsid w:val="00DD51F0"/>
    <w:rsid w:val="00DD51F8"/>
    <w:rsid w:val="00DD5EB4"/>
    <w:rsid w:val="00DD61DE"/>
    <w:rsid w:val="00DD7149"/>
    <w:rsid w:val="00DE02C3"/>
    <w:rsid w:val="00DE080E"/>
    <w:rsid w:val="00DE09D6"/>
    <w:rsid w:val="00DE0EB6"/>
    <w:rsid w:val="00DE10BB"/>
    <w:rsid w:val="00DE1F45"/>
    <w:rsid w:val="00DE2B3F"/>
    <w:rsid w:val="00DE2BBA"/>
    <w:rsid w:val="00DE2CBF"/>
    <w:rsid w:val="00DE2FB6"/>
    <w:rsid w:val="00DE3067"/>
    <w:rsid w:val="00DE3611"/>
    <w:rsid w:val="00DE362C"/>
    <w:rsid w:val="00DE39D6"/>
    <w:rsid w:val="00DE40E9"/>
    <w:rsid w:val="00DE6015"/>
    <w:rsid w:val="00DE6185"/>
    <w:rsid w:val="00DE658C"/>
    <w:rsid w:val="00DE6A2F"/>
    <w:rsid w:val="00DE6AB0"/>
    <w:rsid w:val="00DE6FD6"/>
    <w:rsid w:val="00DE7ADB"/>
    <w:rsid w:val="00DE7E62"/>
    <w:rsid w:val="00DF044A"/>
    <w:rsid w:val="00DF12F4"/>
    <w:rsid w:val="00DF1BA8"/>
    <w:rsid w:val="00DF1D53"/>
    <w:rsid w:val="00DF2531"/>
    <w:rsid w:val="00DF325E"/>
    <w:rsid w:val="00DF32BB"/>
    <w:rsid w:val="00DF338C"/>
    <w:rsid w:val="00DF3E6D"/>
    <w:rsid w:val="00DF4682"/>
    <w:rsid w:val="00DF4EFA"/>
    <w:rsid w:val="00DF5D37"/>
    <w:rsid w:val="00DF5DE7"/>
    <w:rsid w:val="00DF5FF9"/>
    <w:rsid w:val="00DF62C9"/>
    <w:rsid w:val="00DF6AE9"/>
    <w:rsid w:val="00DF6C54"/>
    <w:rsid w:val="00DF6D28"/>
    <w:rsid w:val="00DF6FA6"/>
    <w:rsid w:val="00E00F1B"/>
    <w:rsid w:val="00E0134E"/>
    <w:rsid w:val="00E0234E"/>
    <w:rsid w:val="00E02ED7"/>
    <w:rsid w:val="00E04370"/>
    <w:rsid w:val="00E06529"/>
    <w:rsid w:val="00E067A2"/>
    <w:rsid w:val="00E067E0"/>
    <w:rsid w:val="00E072A1"/>
    <w:rsid w:val="00E074BA"/>
    <w:rsid w:val="00E1158D"/>
    <w:rsid w:val="00E11D51"/>
    <w:rsid w:val="00E12580"/>
    <w:rsid w:val="00E12E5F"/>
    <w:rsid w:val="00E13087"/>
    <w:rsid w:val="00E136A4"/>
    <w:rsid w:val="00E13899"/>
    <w:rsid w:val="00E13A30"/>
    <w:rsid w:val="00E13DC2"/>
    <w:rsid w:val="00E1416E"/>
    <w:rsid w:val="00E14717"/>
    <w:rsid w:val="00E147B4"/>
    <w:rsid w:val="00E150F3"/>
    <w:rsid w:val="00E151E1"/>
    <w:rsid w:val="00E15956"/>
    <w:rsid w:val="00E164A9"/>
    <w:rsid w:val="00E16DA2"/>
    <w:rsid w:val="00E16F0B"/>
    <w:rsid w:val="00E17174"/>
    <w:rsid w:val="00E17702"/>
    <w:rsid w:val="00E17C82"/>
    <w:rsid w:val="00E17CD9"/>
    <w:rsid w:val="00E20E55"/>
    <w:rsid w:val="00E21671"/>
    <w:rsid w:val="00E218BE"/>
    <w:rsid w:val="00E21CF1"/>
    <w:rsid w:val="00E21D3C"/>
    <w:rsid w:val="00E22182"/>
    <w:rsid w:val="00E22386"/>
    <w:rsid w:val="00E226AE"/>
    <w:rsid w:val="00E231EF"/>
    <w:rsid w:val="00E234A8"/>
    <w:rsid w:val="00E2363F"/>
    <w:rsid w:val="00E2370A"/>
    <w:rsid w:val="00E24C85"/>
    <w:rsid w:val="00E25B93"/>
    <w:rsid w:val="00E266BE"/>
    <w:rsid w:val="00E26EB7"/>
    <w:rsid w:val="00E27DD4"/>
    <w:rsid w:val="00E3006E"/>
    <w:rsid w:val="00E306A8"/>
    <w:rsid w:val="00E329A1"/>
    <w:rsid w:val="00E33673"/>
    <w:rsid w:val="00E347AA"/>
    <w:rsid w:val="00E3488D"/>
    <w:rsid w:val="00E35163"/>
    <w:rsid w:val="00E356DF"/>
    <w:rsid w:val="00E35D9A"/>
    <w:rsid w:val="00E364AF"/>
    <w:rsid w:val="00E36EBA"/>
    <w:rsid w:val="00E3714E"/>
    <w:rsid w:val="00E3794F"/>
    <w:rsid w:val="00E403E6"/>
    <w:rsid w:val="00E40968"/>
    <w:rsid w:val="00E41348"/>
    <w:rsid w:val="00E41B93"/>
    <w:rsid w:val="00E422A0"/>
    <w:rsid w:val="00E423AB"/>
    <w:rsid w:val="00E4382A"/>
    <w:rsid w:val="00E444F8"/>
    <w:rsid w:val="00E44F8C"/>
    <w:rsid w:val="00E456E4"/>
    <w:rsid w:val="00E4599B"/>
    <w:rsid w:val="00E463FB"/>
    <w:rsid w:val="00E47E2B"/>
    <w:rsid w:val="00E50C50"/>
    <w:rsid w:val="00E5222A"/>
    <w:rsid w:val="00E5253E"/>
    <w:rsid w:val="00E52A25"/>
    <w:rsid w:val="00E533DE"/>
    <w:rsid w:val="00E54D68"/>
    <w:rsid w:val="00E550C0"/>
    <w:rsid w:val="00E55131"/>
    <w:rsid w:val="00E5518C"/>
    <w:rsid w:val="00E558EC"/>
    <w:rsid w:val="00E56262"/>
    <w:rsid w:val="00E56B41"/>
    <w:rsid w:val="00E6038C"/>
    <w:rsid w:val="00E60AAE"/>
    <w:rsid w:val="00E60C12"/>
    <w:rsid w:val="00E6121A"/>
    <w:rsid w:val="00E61942"/>
    <w:rsid w:val="00E628F8"/>
    <w:rsid w:val="00E6411D"/>
    <w:rsid w:val="00E6427B"/>
    <w:rsid w:val="00E6476D"/>
    <w:rsid w:val="00E65747"/>
    <w:rsid w:val="00E66D84"/>
    <w:rsid w:val="00E67A32"/>
    <w:rsid w:val="00E70208"/>
    <w:rsid w:val="00E70A34"/>
    <w:rsid w:val="00E70D19"/>
    <w:rsid w:val="00E718B8"/>
    <w:rsid w:val="00E71F5A"/>
    <w:rsid w:val="00E721A8"/>
    <w:rsid w:val="00E7287F"/>
    <w:rsid w:val="00E728BF"/>
    <w:rsid w:val="00E73730"/>
    <w:rsid w:val="00E7383E"/>
    <w:rsid w:val="00E7388C"/>
    <w:rsid w:val="00E74E29"/>
    <w:rsid w:val="00E74F2A"/>
    <w:rsid w:val="00E7552B"/>
    <w:rsid w:val="00E758B9"/>
    <w:rsid w:val="00E75CCE"/>
    <w:rsid w:val="00E75E92"/>
    <w:rsid w:val="00E76350"/>
    <w:rsid w:val="00E7711E"/>
    <w:rsid w:val="00E779EC"/>
    <w:rsid w:val="00E8025A"/>
    <w:rsid w:val="00E8054F"/>
    <w:rsid w:val="00E80630"/>
    <w:rsid w:val="00E80BCA"/>
    <w:rsid w:val="00E82D7E"/>
    <w:rsid w:val="00E83D0E"/>
    <w:rsid w:val="00E849D1"/>
    <w:rsid w:val="00E84A49"/>
    <w:rsid w:val="00E857DA"/>
    <w:rsid w:val="00E85BBC"/>
    <w:rsid w:val="00E8659F"/>
    <w:rsid w:val="00E8671B"/>
    <w:rsid w:val="00E86812"/>
    <w:rsid w:val="00E876A7"/>
    <w:rsid w:val="00E879AD"/>
    <w:rsid w:val="00E915AB"/>
    <w:rsid w:val="00E91AFB"/>
    <w:rsid w:val="00E92121"/>
    <w:rsid w:val="00E92629"/>
    <w:rsid w:val="00E92933"/>
    <w:rsid w:val="00E9307F"/>
    <w:rsid w:val="00E94189"/>
    <w:rsid w:val="00E975C0"/>
    <w:rsid w:val="00EA0A1C"/>
    <w:rsid w:val="00EA0C46"/>
    <w:rsid w:val="00EA49CD"/>
    <w:rsid w:val="00EA6973"/>
    <w:rsid w:val="00EB0120"/>
    <w:rsid w:val="00EB25A1"/>
    <w:rsid w:val="00EB2D36"/>
    <w:rsid w:val="00EB4091"/>
    <w:rsid w:val="00EB40E7"/>
    <w:rsid w:val="00EB4F10"/>
    <w:rsid w:val="00EB4F12"/>
    <w:rsid w:val="00EB543B"/>
    <w:rsid w:val="00EB55EB"/>
    <w:rsid w:val="00EB69DD"/>
    <w:rsid w:val="00EB6A1C"/>
    <w:rsid w:val="00EB7519"/>
    <w:rsid w:val="00EB7B9B"/>
    <w:rsid w:val="00EB7C21"/>
    <w:rsid w:val="00EC1762"/>
    <w:rsid w:val="00EC188B"/>
    <w:rsid w:val="00EC190D"/>
    <w:rsid w:val="00EC1B1F"/>
    <w:rsid w:val="00EC220D"/>
    <w:rsid w:val="00EC2576"/>
    <w:rsid w:val="00EC2C12"/>
    <w:rsid w:val="00EC3CB2"/>
    <w:rsid w:val="00EC48EA"/>
    <w:rsid w:val="00EC49BB"/>
    <w:rsid w:val="00EC4B9D"/>
    <w:rsid w:val="00EC5010"/>
    <w:rsid w:val="00EC589B"/>
    <w:rsid w:val="00EC5BB0"/>
    <w:rsid w:val="00EC625A"/>
    <w:rsid w:val="00EC6F48"/>
    <w:rsid w:val="00EC7CCD"/>
    <w:rsid w:val="00ED21B3"/>
    <w:rsid w:val="00ED617F"/>
    <w:rsid w:val="00ED631E"/>
    <w:rsid w:val="00ED6423"/>
    <w:rsid w:val="00ED7362"/>
    <w:rsid w:val="00ED751F"/>
    <w:rsid w:val="00EE01A6"/>
    <w:rsid w:val="00EE02CD"/>
    <w:rsid w:val="00EE09BD"/>
    <w:rsid w:val="00EE12C8"/>
    <w:rsid w:val="00EE14EF"/>
    <w:rsid w:val="00EE19DE"/>
    <w:rsid w:val="00EE2481"/>
    <w:rsid w:val="00EE2670"/>
    <w:rsid w:val="00EE2FDC"/>
    <w:rsid w:val="00EE4051"/>
    <w:rsid w:val="00EE4B52"/>
    <w:rsid w:val="00EE56C2"/>
    <w:rsid w:val="00EE5736"/>
    <w:rsid w:val="00EE58C8"/>
    <w:rsid w:val="00EE5FED"/>
    <w:rsid w:val="00EE6148"/>
    <w:rsid w:val="00EE6A1D"/>
    <w:rsid w:val="00EE7416"/>
    <w:rsid w:val="00EF0A58"/>
    <w:rsid w:val="00EF19E4"/>
    <w:rsid w:val="00EF1FAA"/>
    <w:rsid w:val="00EF2D23"/>
    <w:rsid w:val="00EF383C"/>
    <w:rsid w:val="00EF4BA9"/>
    <w:rsid w:val="00EF5BA1"/>
    <w:rsid w:val="00EF60B8"/>
    <w:rsid w:val="00EF6325"/>
    <w:rsid w:val="00EF6659"/>
    <w:rsid w:val="00EF6A76"/>
    <w:rsid w:val="00EF6AC9"/>
    <w:rsid w:val="00EF72CE"/>
    <w:rsid w:val="00EF7387"/>
    <w:rsid w:val="00EF7746"/>
    <w:rsid w:val="00F003BA"/>
    <w:rsid w:val="00F010D9"/>
    <w:rsid w:val="00F01716"/>
    <w:rsid w:val="00F01E98"/>
    <w:rsid w:val="00F0252D"/>
    <w:rsid w:val="00F025E6"/>
    <w:rsid w:val="00F029EE"/>
    <w:rsid w:val="00F03DFD"/>
    <w:rsid w:val="00F044F3"/>
    <w:rsid w:val="00F04A07"/>
    <w:rsid w:val="00F04BDF"/>
    <w:rsid w:val="00F0516A"/>
    <w:rsid w:val="00F0524E"/>
    <w:rsid w:val="00F05688"/>
    <w:rsid w:val="00F0569D"/>
    <w:rsid w:val="00F11171"/>
    <w:rsid w:val="00F111C4"/>
    <w:rsid w:val="00F11227"/>
    <w:rsid w:val="00F11D4F"/>
    <w:rsid w:val="00F11E0B"/>
    <w:rsid w:val="00F1416B"/>
    <w:rsid w:val="00F14954"/>
    <w:rsid w:val="00F14D5B"/>
    <w:rsid w:val="00F154FC"/>
    <w:rsid w:val="00F16489"/>
    <w:rsid w:val="00F168A2"/>
    <w:rsid w:val="00F17148"/>
    <w:rsid w:val="00F172B8"/>
    <w:rsid w:val="00F17497"/>
    <w:rsid w:val="00F17B2B"/>
    <w:rsid w:val="00F20389"/>
    <w:rsid w:val="00F21650"/>
    <w:rsid w:val="00F21AAE"/>
    <w:rsid w:val="00F21C96"/>
    <w:rsid w:val="00F22E40"/>
    <w:rsid w:val="00F24407"/>
    <w:rsid w:val="00F25E63"/>
    <w:rsid w:val="00F25F19"/>
    <w:rsid w:val="00F260B9"/>
    <w:rsid w:val="00F26506"/>
    <w:rsid w:val="00F26B12"/>
    <w:rsid w:val="00F303F0"/>
    <w:rsid w:val="00F30578"/>
    <w:rsid w:val="00F310FB"/>
    <w:rsid w:val="00F31145"/>
    <w:rsid w:val="00F31B00"/>
    <w:rsid w:val="00F324FD"/>
    <w:rsid w:val="00F32B4C"/>
    <w:rsid w:val="00F34666"/>
    <w:rsid w:val="00F35676"/>
    <w:rsid w:val="00F35C45"/>
    <w:rsid w:val="00F35D19"/>
    <w:rsid w:val="00F3601D"/>
    <w:rsid w:val="00F36237"/>
    <w:rsid w:val="00F367AC"/>
    <w:rsid w:val="00F40032"/>
    <w:rsid w:val="00F40790"/>
    <w:rsid w:val="00F40B6E"/>
    <w:rsid w:val="00F40F47"/>
    <w:rsid w:val="00F41054"/>
    <w:rsid w:val="00F4199A"/>
    <w:rsid w:val="00F42066"/>
    <w:rsid w:val="00F42457"/>
    <w:rsid w:val="00F43C1E"/>
    <w:rsid w:val="00F43DD7"/>
    <w:rsid w:val="00F44D42"/>
    <w:rsid w:val="00F45428"/>
    <w:rsid w:val="00F459B8"/>
    <w:rsid w:val="00F465CE"/>
    <w:rsid w:val="00F46642"/>
    <w:rsid w:val="00F46E81"/>
    <w:rsid w:val="00F474A8"/>
    <w:rsid w:val="00F51A9E"/>
    <w:rsid w:val="00F51B12"/>
    <w:rsid w:val="00F52129"/>
    <w:rsid w:val="00F5255C"/>
    <w:rsid w:val="00F52859"/>
    <w:rsid w:val="00F53DD9"/>
    <w:rsid w:val="00F53F44"/>
    <w:rsid w:val="00F54911"/>
    <w:rsid w:val="00F5498F"/>
    <w:rsid w:val="00F5700B"/>
    <w:rsid w:val="00F60357"/>
    <w:rsid w:val="00F6144B"/>
    <w:rsid w:val="00F618DA"/>
    <w:rsid w:val="00F61F11"/>
    <w:rsid w:val="00F62B34"/>
    <w:rsid w:val="00F63255"/>
    <w:rsid w:val="00F63463"/>
    <w:rsid w:val="00F63767"/>
    <w:rsid w:val="00F6380D"/>
    <w:rsid w:val="00F64E99"/>
    <w:rsid w:val="00F65122"/>
    <w:rsid w:val="00F654C8"/>
    <w:rsid w:val="00F65975"/>
    <w:rsid w:val="00F65989"/>
    <w:rsid w:val="00F673C2"/>
    <w:rsid w:val="00F6763E"/>
    <w:rsid w:val="00F6764A"/>
    <w:rsid w:val="00F707D9"/>
    <w:rsid w:val="00F722A1"/>
    <w:rsid w:val="00F72E53"/>
    <w:rsid w:val="00F7352F"/>
    <w:rsid w:val="00F73724"/>
    <w:rsid w:val="00F7384D"/>
    <w:rsid w:val="00F73B83"/>
    <w:rsid w:val="00F74467"/>
    <w:rsid w:val="00F74D97"/>
    <w:rsid w:val="00F76350"/>
    <w:rsid w:val="00F76554"/>
    <w:rsid w:val="00F7705E"/>
    <w:rsid w:val="00F7760C"/>
    <w:rsid w:val="00F77E1E"/>
    <w:rsid w:val="00F8010A"/>
    <w:rsid w:val="00F80E13"/>
    <w:rsid w:val="00F8129E"/>
    <w:rsid w:val="00F81A9D"/>
    <w:rsid w:val="00F82051"/>
    <w:rsid w:val="00F826CC"/>
    <w:rsid w:val="00F82A85"/>
    <w:rsid w:val="00F844D2"/>
    <w:rsid w:val="00F84692"/>
    <w:rsid w:val="00F850C9"/>
    <w:rsid w:val="00F861FA"/>
    <w:rsid w:val="00F86711"/>
    <w:rsid w:val="00F8689B"/>
    <w:rsid w:val="00F86FE9"/>
    <w:rsid w:val="00F87476"/>
    <w:rsid w:val="00F90888"/>
    <w:rsid w:val="00F922A6"/>
    <w:rsid w:val="00F92DD5"/>
    <w:rsid w:val="00F931C1"/>
    <w:rsid w:val="00F93EF5"/>
    <w:rsid w:val="00F9411D"/>
    <w:rsid w:val="00F94269"/>
    <w:rsid w:val="00F95C75"/>
    <w:rsid w:val="00F95DBF"/>
    <w:rsid w:val="00F95DD3"/>
    <w:rsid w:val="00F96706"/>
    <w:rsid w:val="00FA0004"/>
    <w:rsid w:val="00FA04EC"/>
    <w:rsid w:val="00FA0E46"/>
    <w:rsid w:val="00FA116A"/>
    <w:rsid w:val="00FA19FB"/>
    <w:rsid w:val="00FA1ED8"/>
    <w:rsid w:val="00FA31D2"/>
    <w:rsid w:val="00FA34AD"/>
    <w:rsid w:val="00FA3592"/>
    <w:rsid w:val="00FA36F0"/>
    <w:rsid w:val="00FA3BD3"/>
    <w:rsid w:val="00FA41AC"/>
    <w:rsid w:val="00FA421E"/>
    <w:rsid w:val="00FA4D2C"/>
    <w:rsid w:val="00FA5140"/>
    <w:rsid w:val="00FA53A3"/>
    <w:rsid w:val="00FA5E68"/>
    <w:rsid w:val="00FA6E76"/>
    <w:rsid w:val="00FA744A"/>
    <w:rsid w:val="00FA77AC"/>
    <w:rsid w:val="00FA7F71"/>
    <w:rsid w:val="00FB01BE"/>
    <w:rsid w:val="00FB0DBF"/>
    <w:rsid w:val="00FB1A20"/>
    <w:rsid w:val="00FB1AC7"/>
    <w:rsid w:val="00FB21E7"/>
    <w:rsid w:val="00FB2880"/>
    <w:rsid w:val="00FB304D"/>
    <w:rsid w:val="00FB3551"/>
    <w:rsid w:val="00FB433E"/>
    <w:rsid w:val="00FB49B5"/>
    <w:rsid w:val="00FB691B"/>
    <w:rsid w:val="00FB6A0B"/>
    <w:rsid w:val="00FB6F1B"/>
    <w:rsid w:val="00FB722D"/>
    <w:rsid w:val="00FB79E4"/>
    <w:rsid w:val="00FB7FB0"/>
    <w:rsid w:val="00FC018E"/>
    <w:rsid w:val="00FC0704"/>
    <w:rsid w:val="00FC0C9C"/>
    <w:rsid w:val="00FC0E18"/>
    <w:rsid w:val="00FC127D"/>
    <w:rsid w:val="00FC1394"/>
    <w:rsid w:val="00FC261A"/>
    <w:rsid w:val="00FC38B7"/>
    <w:rsid w:val="00FC3B0A"/>
    <w:rsid w:val="00FC46B8"/>
    <w:rsid w:val="00FC4CD3"/>
    <w:rsid w:val="00FC58E0"/>
    <w:rsid w:val="00FC66B1"/>
    <w:rsid w:val="00FC6D04"/>
    <w:rsid w:val="00FC70B3"/>
    <w:rsid w:val="00FC76D1"/>
    <w:rsid w:val="00FD04FD"/>
    <w:rsid w:val="00FD091C"/>
    <w:rsid w:val="00FD16CF"/>
    <w:rsid w:val="00FD19EE"/>
    <w:rsid w:val="00FD1E51"/>
    <w:rsid w:val="00FD1F3E"/>
    <w:rsid w:val="00FD27D7"/>
    <w:rsid w:val="00FD2BD1"/>
    <w:rsid w:val="00FD2EDE"/>
    <w:rsid w:val="00FD39F0"/>
    <w:rsid w:val="00FD4E09"/>
    <w:rsid w:val="00FD4E1D"/>
    <w:rsid w:val="00FD59EC"/>
    <w:rsid w:val="00FD6510"/>
    <w:rsid w:val="00FD682B"/>
    <w:rsid w:val="00FD7682"/>
    <w:rsid w:val="00FD77B4"/>
    <w:rsid w:val="00FD7D19"/>
    <w:rsid w:val="00FE157F"/>
    <w:rsid w:val="00FE1649"/>
    <w:rsid w:val="00FE257C"/>
    <w:rsid w:val="00FE271F"/>
    <w:rsid w:val="00FE332E"/>
    <w:rsid w:val="00FE4780"/>
    <w:rsid w:val="00FE4C62"/>
    <w:rsid w:val="00FE4DFD"/>
    <w:rsid w:val="00FE4E52"/>
    <w:rsid w:val="00FE5DFE"/>
    <w:rsid w:val="00FE64FC"/>
    <w:rsid w:val="00FE67DA"/>
    <w:rsid w:val="00FE7D38"/>
    <w:rsid w:val="00FF0155"/>
    <w:rsid w:val="00FF073A"/>
    <w:rsid w:val="00FF13FB"/>
    <w:rsid w:val="00FF4FA2"/>
    <w:rsid w:val="00FF4FFA"/>
    <w:rsid w:val="00FF515C"/>
    <w:rsid w:val="00FF5A86"/>
    <w:rsid w:val="00FF71D3"/>
    <w:rsid w:val="015036E2"/>
    <w:rsid w:val="017B2F92"/>
    <w:rsid w:val="01924E0F"/>
    <w:rsid w:val="01C66668"/>
    <w:rsid w:val="01D84888"/>
    <w:rsid w:val="01EA0118"/>
    <w:rsid w:val="024C3A01"/>
    <w:rsid w:val="02523B74"/>
    <w:rsid w:val="02773D5E"/>
    <w:rsid w:val="029C58B6"/>
    <w:rsid w:val="02E96621"/>
    <w:rsid w:val="02EF1E8A"/>
    <w:rsid w:val="03067BF6"/>
    <w:rsid w:val="0317318F"/>
    <w:rsid w:val="031A67DB"/>
    <w:rsid w:val="033B022D"/>
    <w:rsid w:val="0347276B"/>
    <w:rsid w:val="036E26A7"/>
    <w:rsid w:val="03842F49"/>
    <w:rsid w:val="03951EC8"/>
    <w:rsid w:val="03B66504"/>
    <w:rsid w:val="03F67248"/>
    <w:rsid w:val="04185410"/>
    <w:rsid w:val="04304132"/>
    <w:rsid w:val="04781A0B"/>
    <w:rsid w:val="04A203D8"/>
    <w:rsid w:val="04A7083C"/>
    <w:rsid w:val="04B769D7"/>
    <w:rsid w:val="04DA26C6"/>
    <w:rsid w:val="050B2BF1"/>
    <w:rsid w:val="051756C8"/>
    <w:rsid w:val="05257DE5"/>
    <w:rsid w:val="05322502"/>
    <w:rsid w:val="05BD5BC5"/>
    <w:rsid w:val="05C162D9"/>
    <w:rsid w:val="05E84FEB"/>
    <w:rsid w:val="06007638"/>
    <w:rsid w:val="06532730"/>
    <w:rsid w:val="06DD649D"/>
    <w:rsid w:val="06FF6413"/>
    <w:rsid w:val="072B545A"/>
    <w:rsid w:val="0753183E"/>
    <w:rsid w:val="07A7654E"/>
    <w:rsid w:val="07D1358A"/>
    <w:rsid w:val="080B2B96"/>
    <w:rsid w:val="082C2E50"/>
    <w:rsid w:val="082D5E12"/>
    <w:rsid w:val="0838098B"/>
    <w:rsid w:val="084C5A24"/>
    <w:rsid w:val="084F5179"/>
    <w:rsid w:val="086D1C09"/>
    <w:rsid w:val="087F780C"/>
    <w:rsid w:val="08AA0370"/>
    <w:rsid w:val="08B31DD2"/>
    <w:rsid w:val="08D573F8"/>
    <w:rsid w:val="08FA6E92"/>
    <w:rsid w:val="08FD6F20"/>
    <w:rsid w:val="09313816"/>
    <w:rsid w:val="093A7FDE"/>
    <w:rsid w:val="095A3DD5"/>
    <w:rsid w:val="09987BF4"/>
    <w:rsid w:val="0A1F1931"/>
    <w:rsid w:val="0A394CDD"/>
    <w:rsid w:val="0A7401CF"/>
    <w:rsid w:val="0AC92FC0"/>
    <w:rsid w:val="0ACB7B23"/>
    <w:rsid w:val="0B16398F"/>
    <w:rsid w:val="0B8B64C8"/>
    <w:rsid w:val="0B9B652B"/>
    <w:rsid w:val="0BA21963"/>
    <w:rsid w:val="0BCF62D4"/>
    <w:rsid w:val="0C076857"/>
    <w:rsid w:val="0C1659F4"/>
    <w:rsid w:val="0C752CF5"/>
    <w:rsid w:val="0CB47CA0"/>
    <w:rsid w:val="0D1C7D1F"/>
    <w:rsid w:val="0D260065"/>
    <w:rsid w:val="0D4545B5"/>
    <w:rsid w:val="0DD95C10"/>
    <w:rsid w:val="0DF0649E"/>
    <w:rsid w:val="0DF26CD2"/>
    <w:rsid w:val="0DFF4F4B"/>
    <w:rsid w:val="0E1B0071"/>
    <w:rsid w:val="0E387690"/>
    <w:rsid w:val="0E413411"/>
    <w:rsid w:val="0E4877F8"/>
    <w:rsid w:val="0E4B1892"/>
    <w:rsid w:val="0E63372C"/>
    <w:rsid w:val="0ED00D47"/>
    <w:rsid w:val="0ED2440E"/>
    <w:rsid w:val="0ED87758"/>
    <w:rsid w:val="0EE53CAA"/>
    <w:rsid w:val="0EEE1D7E"/>
    <w:rsid w:val="0F171794"/>
    <w:rsid w:val="0F1B465F"/>
    <w:rsid w:val="0F256C33"/>
    <w:rsid w:val="0F307AB2"/>
    <w:rsid w:val="0F541A61"/>
    <w:rsid w:val="0F974A3C"/>
    <w:rsid w:val="0FD80032"/>
    <w:rsid w:val="0FFC5BE6"/>
    <w:rsid w:val="105552E2"/>
    <w:rsid w:val="105A42D3"/>
    <w:rsid w:val="106F5889"/>
    <w:rsid w:val="109716C5"/>
    <w:rsid w:val="10A07A0D"/>
    <w:rsid w:val="10CE7AC1"/>
    <w:rsid w:val="112A100F"/>
    <w:rsid w:val="112E0B2A"/>
    <w:rsid w:val="116F4FCC"/>
    <w:rsid w:val="11A00D44"/>
    <w:rsid w:val="11CA5C20"/>
    <w:rsid w:val="11DE0176"/>
    <w:rsid w:val="121F3E0E"/>
    <w:rsid w:val="122E65E3"/>
    <w:rsid w:val="122F1EC1"/>
    <w:rsid w:val="122F5FE4"/>
    <w:rsid w:val="128D3FCB"/>
    <w:rsid w:val="12B82479"/>
    <w:rsid w:val="12C07E72"/>
    <w:rsid w:val="12FA73D6"/>
    <w:rsid w:val="12FD715D"/>
    <w:rsid w:val="1343347F"/>
    <w:rsid w:val="13622204"/>
    <w:rsid w:val="13623FB2"/>
    <w:rsid w:val="136F2E76"/>
    <w:rsid w:val="137565AB"/>
    <w:rsid w:val="13931819"/>
    <w:rsid w:val="13E96481"/>
    <w:rsid w:val="140432BB"/>
    <w:rsid w:val="14111BC6"/>
    <w:rsid w:val="141352AC"/>
    <w:rsid w:val="14305D45"/>
    <w:rsid w:val="14706BA3"/>
    <w:rsid w:val="147F207F"/>
    <w:rsid w:val="14F00556"/>
    <w:rsid w:val="15001BB1"/>
    <w:rsid w:val="154502B2"/>
    <w:rsid w:val="157306F8"/>
    <w:rsid w:val="158C6ED8"/>
    <w:rsid w:val="15D1541F"/>
    <w:rsid w:val="15D67C96"/>
    <w:rsid w:val="15E11F58"/>
    <w:rsid w:val="15EB1A40"/>
    <w:rsid w:val="160475A2"/>
    <w:rsid w:val="16314110"/>
    <w:rsid w:val="16585815"/>
    <w:rsid w:val="1697252A"/>
    <w:rsid w:val="16A36133"/>
    <w:rsid w:val="17686429"/>
    <w:rsid w:val="17ED3B99"/>
    <w:rsid w:val="18276C33"/>
    <w:rsid w:val="183657F5"/>
    <w:rsid w:val="188F45B2"/>
    <w:rsid w:val="18975082"/>
    <w:rsid w:val="18B739D7"/>
    <w:rsid w:val="18E577AE"/>
    <w:rsid w:val="18FB5CC4"/>
    <w:rsid w:val="18FE29CF"/>
    <w:rsid w:val="19196360"/>
    <w:rsid w:val="194859F8"/>
    <w:rsid w:val="197A49AB"/>
    <w:rsid w:val="198804EA"/>
    <w:rsid w:val="19B644A8"/>
    <w:rsid w:val="19C14F9A"/>
    <w:rsid w:val="19C92FDD"/>
    <w:rsid w:val="19F93196"/>
    <w:rsid w:val="1A8652FD"/>
    <w:rsid w:val="1B03607B"/>
    <w:rsid w:val="1B126C27"/>
    <w:rsid w:val="1B3C00DF"/>
    <w:rsid w:val="1B3C77DE"/>
    <w:rsid w:val="1B436786"/>
    <w:rsid w:val="1B5D4176"/>
    <w:rsid w:val="1B6328DE"/>
    <w:rsid w:val="1B910BC9"/>
    <w:rsid w:val="1B960989"/>
    <w:rsid w:val="1BD5053A"/>
    <w:rsid w:val="1BEC75F7"/>
    <w:rsid w:val="1C461BCB"/>
    <w:rsid w:val="1CA4563B"/>
    <w:rsid w:val="1CCC6940"/>
    <w:rsid w:val="1CF62663"/>
    <w:rsid w:val="1D206441"/>
    <w:rsid w:val="1D322C47"/>
    <w:rsid w:val="1D3249F5"/>
    <w:rsid w:val="1D3F5364"/>
    <w:rsid w:val="1DD84502"/>
    <w:rsid w:val="1DDA0899"/>
    <w:rsid w:val="1DF24184"/>
    <w:rsid w:val="1E043C37"/>
    <w:rsid w:val="1E1B19B1"/>
    <w:rsid w:val="1E294799"/>
    <w:rsid w:val="1E6B73A1"/>
    <w:rsid w:val="1EA731C1"/>
    <w:rsid w:val="1EC423D4"/>
    <w:rsid w:val="1F132720"/>
    <w:rsid w:val="1F240FEC"/>
    <w:rsid w:val="1F3321C3"/>
    <w:rsid w:val="1F3E6CC4"/>
    <w:rsid w:val="1F8346FD"/>
    <w:rsid w:val="1FB519C2"/>
    <w:rsid w:val="1FD06747"/>
    <w:rsid w:val="20222B5C"/>
    <w:rsid w:val="20244027"/>
    <w:rsid w:val="20345E81"/>
    <w:rsid w:val="205663F9"/>
    <w:rsid w:val="205B38DF"/>
    <w:rsid w:val="20847C5E"/>
    <w:rsid w:val="20AF2801"/>
    <w:rsid w:val="2107263D"/>
    <w:rsid w:val="210E7527"/>
    <w:rsid w:val="2144119B"/>
    <w:rsid w:val="21997739"/>
    <w:rsid w:val="219D555C"/>
    <w:rsid w:val="21C35326"/>
    <w:rsid w:val="21F5439F"/>
    <w:rsid w:val="220A3C81"/>
    <w:rsid w:val="22140DD2"/>
    <w:rsid w:val="22573150"/>
    <w:rsid w:val="228A770C"/>
    <w:rsid w:val="229242AE"/>
    <w:rsid w:val="22931F88"/>
    <w:rsid w:val="22AF1686"/>
    <w:rsid w:val="22EB5AC3"/>
    <w:rsid w:val="2362356F"/>
    <w:rsid w:val="23727812"/>
    <w:rsid w:val="238C0BD7"/>
    <w:rsid w:val="2391304B"/>
    <w:rsid w:val="23A34511"/>
    <w:rsid w:val="23B51CFD"/>
    <w:rsid w:val="23FD7EF4"/>
    <w:rsid w:val="240331FA"/>
    <w:rsid w:val="24434F50"/>
    <w:rsid w:val="245B7A3B"/>
    <w:rsid w:val="24906AD6"/>
    <w:rsid w:val="24A00DDE"/>
    <w:rsid w:val="24BD368A"/>
    <w:rsid w:val="24DD00F6"/>
    <w:rsid w:val="25186BC6"/>
    <w:rsid w:val="25203CCD"/>
    <w:rsid w:val="257D24BF"/>
    <w:rsid w:val="25840D0B"/>
    <w:rsid w:val="258B383C"/>
    <w:rsid w:val="259A32E6"/>
    <w:rsid w:val="25B66E03"/>
    <w:rsid w:val="260377FE"/>
    <w:rsid w:val="26502390"/>
    <w:rsid w:val="266B24E0"/>
    <w:rsid w:val="268609F9"/>
    <w:rsid w:val="26A1499A"/>
    <w:rsid w:val="272B79BF"/>
    <w:rsid w:val="272C0399"/>
    <w:rsid w:val="27612030"/>
    <w:rsid w:val="276612AE"/>
    <w:rsid w:val="277D7CE2"/>
    <w:rsid w:val="27D0359E"/>
    <w:rsid w:val="27D03788"/>
    <w:rsid w:val="27D35027"/>
    <w:rsid w:val="2879781A"/>
    <w:rsid w:val="28AA3FD9"/>
    <w:rsid w:val="29233F67"/>
    <w:rsid w:val="29B92F49"/>
    <w:rsid w:val="2A0B7803"/>
    <w:rsid w:val="2A931B32"/>
    <w:rsid w:val="2AAF581D"/>
    <w:rsid w:val="2ABA24CE"/>
    <w:rsid w:val="2ACD2201"/>
    <w:rsid w:val="2ACE7019"/>
    <w:rsid w:val="2AD654EB"/>
    <w:rsid w:val="2B1716CE"/>
    <w:rsid w:val="2B4E1778"/>
    <w:rsid w:val="2B680D83"/>
    <w:rsid w:val="2B8A7FAD"/>
    <w:rsid w:val="2BB533C1"/>
    <w:rsid w:val="2BC453B2"/>
    <w:rsid w:val="2C371498"/>
    <w:rsid w:val="2C514BE7"/>
    <w:rsid w:val="2C5461E3"/>
    <w:rsid w:val="2C9F00E2"/>
    <w:rsid w:val="2CD51841"/>
    <w:rsid w:val="2CD77A4F"/>
    <w:rsid w:val="2D0D2D39"/>
    <w:rsid w:val="2D5F3B61"/>
    <w:rsid w:val="2D746FD6"/>
    <w:rsid w:val="2D9E7E85"/>
    <w:rsid w:val="2DAD0B06"/>
    <w:rsid w:val="2DBA1131"/>
    <w:rsid w:val="2DC55411"/>
    <w:rsid w:val="2DCA22DB"/>
    <w:rsid w:val="2DE17D54"/>
    <w:rsid w:val="2E011C87"/>
    <w:rsid w:val="2E3F6F72"/>
    <w:rsid w:val="2E6267EB"/>
    <w:rsid w:val="2E6547D1"/>
    <w:rsid w:val="2E7D7A9A"/>
    <w:rsid w:val="2E84600A"/>
    <w:rsid w:val="2EDD59A8"/>
    <w:rsid w:val="2F3C7955"/>
    <w:rsid w:val="2F3E6FC0"/>
    <w:rsid w:val="2F432A92"/>
    <w:rsid w:val="2F9217E7"/>
    <w:rsid w:val="2FA07EE4"/>
    <w:rsid w:val="2FAE0C98"/>
    <w:rsid w:val="2FB56B8E"/>
    <w:rsid w:val="30120635"/>
    <w:rsid w:val="30241DCC"/>
    <w:rsid w:val="3045283A"/>
    <w:rsid w:val="30795862"/>
    <w:rsid w:val="30A05CC2"/>
    <w:rsid w:val="30A77050"/>
    <w:rsid w:val="30C8687A"/>
    <w:rsid w:val="30D467B6"/>
    <w:rsid w:val="30FA1E63"/>
    <w:rsid w:val="31083F93"/>
    <w:rsid w:val="310B3A83"/>
    <w:rsid w:val="311C1AE7"/>
    <w:rsid w:val="31335E46"/>
    <w:rsid w:val="31453104"/>
    <w:rsid w:val="316867E0"/>
    <w:rsid w:val="317337AB"/>
    <w:rsid w:val="31793857"/>
    <w:rsid w:val="31A121F7"/>
    <w:rsid w:val="31CA1248"/>
    <w:rsid w:val="31E46467"/>
    <w:rsid w:val="321107EC"/>
    <w:rsid w:val="32361A4D"/>
    <w:rsid w:val="323B3EF4"/>
    <w:rsid w:val="32562ADC"/>
    <w:rsid w:val="328315C0"/>
    <w:rsid w:val="329F0927"/>
    <w:rsid w:val="32C1639E"/>
    <w:rsid w:val="3348449E"/>
    <w:rsid w:val="336D2778"/>
    <w:rsid w:val="33E464D4"/>
    <w:rsid w:val="33E95618"/>
    <w:rsid w:val="33F07240"/>
    <w:rsid w:val="34283941"/>
    <w:rsid w:val="34386A4F"/>
    <w:rsid w:val="3459722F"/>
    <w:rsid w:val="345B339C"/>
    <w:rsid w:val="3509652C"/>
    <w:rsid w:val="3555351F"/>
    <w:rsid w:val="35763460"/>
    <w:rsid w:val="35963FC2"/>
    <w:rsid w:val="35B50461"/>
    <w:rsid w:val="35C506A4"/>
    <w:rsid w:val="35EC513A"/>
    <w:rsid w:val="36217164"/>
    <w:rsid w:val="36313B6B"/>
    <w:rsid w:val="36385A86"/>
    <w:rsid w:val="364F61C0"/>
    <w:rsid w:val="36720A00"/>
    <w:rsid w:val="36EB413B"/>
    <w:rsid w:val="370A20E7"/>
    <w:rsid w:val="37181A58"/>
    <w:rsid w:val="37752B46"/>
    <w:rsid w:val="37D847E0"/>
    <w:rsid w:val="37F03B86"/>
    <w:rsid w:val="38190834"/>
    <w:rsid w:val="38566277"/>
    <w:rsid w:val="38A91140"/>
    <w:rsid w:val="38E35EF3"/>
    <w:rsid w:val="38E40D44"/>
    <w:rsid w:val="38F126BF"/>
    <w:rsid w:val="38FE651C"/>
    <w:rsid w:val="393C22B1"/>
    <w:rsid w:val="395A5165"/>
    <w:rsid w:val="3975472F"/>
    <w:rsid w:val="39C72511"/>
    <w:rsid w:val="39C96289"/>
    <w:rsid w:val="39CC3997"/>
    <w:rsid w:val="3A00614F"/>
    <w:rsid w:val="3A086314"/>
    <w:rsid w:val="3A0B771A"/>
    <w:rsid w:val="3A237D17"/>
    <w:rsid w:val="3A6D4E67"/>
    <w:rsid w:val="3A7B57D6"/>
    <w:rsid w:val="3A984FCB"/>
    <w:rsid w:val="3ABE24A9"/>
    <w:rsid w:val="3B037579"/>
    <w:rsid w:val="3B07350D"/>
    <w:rsid w:val="3B09302D"/>
    <w:rsid w:val="3B1D063B"/>
    <w:rsid w:val="3B24560B"/>
    <w:rsid w:val="3B250567"/>
    <w:rsid w:val="3B2B03C4"/>
    <w:rsid w:val="3B381919"/>
    <w:rsid w:val="3B38668E"/>
    <w:rsid w:val="3B576356"/>
    <w:rsid w:val="3B5B73B5"/>
    <w:rsid w:val="3B642F97"/>
    <w:rsid w:val="3B6B3A9C"/>
    <w:rsid w:val="3BAF58AA"/>
    <w:rsid w:val="3BB243FF"/>
    <w:rsid w:val="3BF33A92"/>
    <w:rsid w:val="3BF55114"/>
    <w:rsid w:val="3C101301"/>
    <w:rsid w:val="3C131A3E"/>
    <w:rsid w:val="3C6D5A4D"/>
    <w:rsid w:val="3C7B0003"/>
    <w:rsid w:val="3C8B09E1"/>
    <w:rsid w:val="3C8F6832"/>
    <w:rsid w:val="3CB317D3"/>
    <w:rsid w:val="3CC35465"/>
    <w:rsid w:val="3CF67395"/>
    <w:rsid w:val="3CFA2D85"/>
    <w:rsid w:val="3D252EDE"/>
    <w:rsid w:val="3D43157A"/>
    <w:rsid w:val="3D642E67"/>
    <w:rsid w:val="3DAC2927"/>
    <w:rsid w:val="3E121915"/>
    <w:rsid w:val="3E8F7D9F"/>
    <w:rsid w:val="3EC05EAD"/>
    <w:rsid w:val="3EEA117C"/>
    <w:rsid w:val="3F194FE2"/>
    <w:rsid w:val="3F913FAB"/>
    <w:rsid w:val="3FAC6BE4"/>
    <w:rsid w:val="3FE41A1E"/>
    <w:rsid w:val="3FE97350"/>
    <w:rsid w:val="4007507C"/>
    <w:rsid w:val="40307062"/>
    <w:rsid w:val="405009AC"/>
    <w:rsid w:val="40534AFF"/>
    <w:rsid w:val="40705EF0"/>
    <w:rsid w:val="40B135EF"/>
    <w:rsid w:val="40BD7FF9"/>
    <w:rsid w:val="40CB04F0"/>
    <w:rsid w:val="40FB4E3C"/>
    <w:rsid w:val="41596C87"/>
    <w:rsid w:val="41894783"/>
    <w:rsid w:val="419563BC"/>
    <w:rsid w:val="41C47869"/>
    <w:rsid w:val="41E80AF7"/>
    <w:rsid w:val="423C3269"/>
    <w:rsid w:val="42424B29"/>
    <w:rsid w:val="42496C5A"/>
    <w:rsid w:val="42E67EAC"/>
    <w:rsid w:val="431F7000"/>
    <w:rsid w:val="43546119"/>
    <w:rsid w:val="43634785"/>
    <w:rsid w:val="43835BE1"/>
    <w:rsid w:val="43884ABF"/>
    <w:rsid w:val="443A431D"/>
    <w:rsid w:val="446472DA"/>
    <w:rsid w:val="44670B79"/>
    <w:rsid w:val="453A3F4D"/>
    <w:rsid w:val="45435142"/>
    <w:rsid w:val="45482758"/>
    <w:rsid w:val="454C6783"/>
    <w:rsid w:val="45594965"/>
    <w:rsid w:val="4561308F"/>
    <w:rsid w:val="456B16B7"/>
    <w:rsid w:val="457A338F"/>
    <w:rsid w:val="457E36C4"/>
    <w:rsid w:val="457E43CC"/>
    <w:rsid w:val="457F2F0C"/>
    <w:rsid w:val="45ED51BA"/>
    <w:rsid w:val="460361C4"/>
    <w:rsid w:val="462A6302"/>
    <w:rsid w:val="462C3E28"/>
    <w:rsid w:val="46346585"/>
    <w:rsid w:val="463827CD"/>
    <w:rsid w:val="465A0995"/>
    <w:rsid w:val="46674E60"/>
    <w:rsid w:val="46906916"/>
    <w:rsid w:val="46B77188"/>
    <w:rsid w:val="46BE2783"/>
    <w:rsid w:val="46D8159E"/>
    <w:rsid w:val="46D83FB0"/>
    <w:rsid w:val="46E110B6"/>
    <w:rsid w:val="475032DE"/>
    <w:rsid w:val="476D2268"/>
    <w:rsid w:val="478704A5"/>
    <w:rsid w:val="47DB3D58"/>
    <w:rsid w:val="47E56984"/>
    <w:rsid w:val="48013092"/>
    <w:rsid w:val="481E1483"/>
    <w:rsid w:val="482254E2"/>
    <w:rsid w:val="483064A2"/>
    <w:rsid w:val="48541414"/>
    <w:rsid w:val="489154B2"/>
    <w:rsid w:val="48965ED0"/>
    <w:rsid w:val="48B87FEA"/>
    <w:rsid w:val="48DD5FA5"/>
    <w:rsid w:val="48E1714C"/>
    <w:rsid w:val="48F74BC1"/>
    <w:rsid w:val="49415E3C"/>
    <w:rsid w:val="494B0A69"/>
    <w:rsid w:val="49953C63"/>
    <w:rsid w:val="499E6DEB"/>
    <w:rsid w:val="49A72F92"/>
    <w:rsid w:val="49B803CC"/>
    <w:rsid w:val="49C96D11"/>
    <w:rsid w:val="49DD1DC9"/>
    <w:rsid w:val="49EF7646"/>
    <w:rsid w:val="49F370C0"/>
    <w:rsid w:val="4A0033EE"/>
    <w:rsid w:val="4A062690"/>
    <w:rsid w:val="4A07617E"/>
    <w:rsid w:val="4A115D39"/>
    <w:rsid w:val="4A625D30"/>
    <w:rsid w:val="4A9147F4"/>
    <w:rsid w:val="4A927C9F"/>
    <w:rsid w:val="4AE20F59"/>
    <w:rsid w:val="4AE42141"/>
    <w:rsid w:val="4B7507FF"/>
    <w:rsid w:val="4B887D52"/>
    <w:rsid w:val="4BC277CD"/>
    <w:rsid w:val="4BD02215"/>
    <w:rsid w:val="4C2D26A8"/>
    <w:rsid w:val="4C4D68A6"/>
    <w:rsid w:val="4C9932F9"/>
    <w:rsid w:val="4CA72C28"/>
    <w:rsid w:val="4CC96874"/>
    <w:rsid w:val="4CEA67EB"/>
    <w:rsid w:val="4D677E3B"/>
    <w:rsid w:val="4D7565F5"/>
    <w:rsid w:val="4D791EE6"/>
    <w:rsid w:val="4DA8501B"/>
    <w:rsid w:val="4DD52FF7"/>
    <w:rsid w:val="4DE33966"/>
    <w:rsid w:val="4DEA4CF4"/>
    <w:rsid w:val="4DEC5760"/>
    <w:rsid w:val="4DF60F5F"/>
    <w:rsid w:val="4E1D4635"/>
    <w:rsid w:val="4EEB4E54"/>
    <w:rsid w:val="4F4D5A86"/>
    <w:rsid w:val="4FCD042A"/>
    <w:rsid w:val="4FFC2750"/>
    <w:rsid w:val="504734DD"/>
    <w:rsid w:val="50C43538"/>
    <w:rsid w:val="50DC644B"/>
    <w:rsid w:val="511B34EA"/>
    <w:rsid w:val="51301BB0"/>
    <w:rsid w:val="514F30C0"/>
    <w:rsid w:val="51621046"/>
    <w:rsid w:val="516218EB"/>
    <w:rsid w:val="51960CEF"/>
    <w:rsid w:val="51CE6421"/>
    <w:rsid w:val="51E672CA"/>
    <w:rsid w:val="523537D5"/>
    <w:rsid w:val="52404347"/>
    <w:rsid w:val="527252D9"/>
    <w:rsid w:val="52762C3B"/>
    <w:rsid w:val="527B0C0C"/>
    <w:rsid w:val="529804C7"/>
    <w:rsid w:val="52C35B14"/>
    <w:rsid w:val="532317F1"/>
    <w:rsid w:val="53314906"/>
    <w:rsid w:val="53395827"/>
    <w:rsid w:val="5344377B"/>
    <w:rsid w:val="535B6597"/>
    <w:rsid w:val="53A27F29"/>
    <w:rsid w:val="53A36B01"/>
    <w:rsid w:val="53B91855"/>
    <w:rsid w:val="53CB1124"/>
    <w:rsid w:val="53DA0B8E"/>
    <w:rsid w:val="54170B62"/>
    <w:rsid w:val="543A753C"/>
    <w:rsid w:val="544C4408"/>
    <w:rsid w:val="5458221B"/>
    <w:rsid w:val="54620037"/>
    <w:rsid w:val="54953656"/>
    <w:rsid w:val="54972DB4"/>
    <w:rsid w:val="54AB1575"/>
    <w:rsid w:val="54BE5041"/>
    <w:rsid w:val="54D42C91"/>
    <w:rsid w:val="54DF250B"/>
    <w:rsid w:val="55012924"/>
    <w:rsid w:val="55055F70"/>
    <w:rsid w:val="550B2E1F"/>
    <w:rsid w:val="551121A7"/>
    <w:rsid w:val="55333FFE"/>
    <w:rsid w:val="553A565F"/>
    <w:rsid w:val="55786250"/>
    <w:rsid w:val="558B7275"/>
    <w:rsid w:val="558E1912"/>
    <w:rsid w:val="55D536A5"/>
    <w:rsid w:val="560E70A6"/>
    <w:rsid w:val="562E6FE3"/>
    <w:rsid w:val="56953858"/>
    <w:rsid w:val="569B5EAE"/>
    <w:rsid w:val="56AA02DE"/>
    <w:rsid w:val="56AB2B47"/>
    <w:rsid w:val="56AF0889"/>
    <w:rsid w:val="56B91708"/>
    <w:rsid w:val="56CE6835"/>
    <w:rsid w:val="56F97D56"/>
    <w:rsid w:val="570F4A31"/>
    <w:rsid w:val="571A52F3"/>
    <w:rsid w:val="573169F8"/>
    <w:rsid w:val="577E0184"/>
    <w:rsid w:val="579E445A"/>
    <w:rsid w:val="57EA167D"/>
    <w:rsid w:val="57FF75EE"/>
    <w:rsid w:val="582B435E"/>
    <w:rsid w:val="58BB5904"/>
    <w:rsid w:val="58BC0D37"/>
    <w:rsid w:val="58DD460F"/>
    <w:rsid w:val="591C207E"/>
    <w:rsid w:val="59396035"/>
    <w:rsid w:val="59CE27F4"/>
    <w:rsid w:val="5A051D26"/>
    <w:rsid w:val="5A170639"/>
    <w:rsid w:val="5A364B88"/>
    <w:rsid w:val="5A3A2B60"/>
    <w:rsid w:val="5A5D3504"/>
    <w:rsid w:val="5A6E782F"/>
    <w:rsid w:val="5AFF7905"/>
    <w:rsid w:val="5B04316E"/>
    <w:rsid w:val="5B0942E0"/>
    <w:rsid w:val="5B215ACE"/>
    <w:rsid w:val="5B4F3FF9"/>
    <w:rsid w:val="5B9D6810"/>
    <w:rsid w:val="5BA819DD"/>
    <w:rsid w:val="5C0212BA"/>
    <w:rsid w:val="5C480E38"/>
    <w:rsid w:val="5C605BC7"/>
    <w:rsid w:val="5C8A11D3"/>
    <w:rsid w:val="5CBE6948"/>
    <w:rsid w:val="5DEB4C7D"/>
    <w:rsid w:val="5EC61DC6"/>
    <w:rsid w:val="5ED05841"/>
    <w:rsid w:val="5F006597"/>
    <w:rsid w:val="5F311DB2"/>
    <w:rsid w:val="5F93061C"/>
    <w:rsid w:val="5FDE3F8D"/>
    <w:rsid w:val="5FF45790"/>
    <w:rsid w:val="60347295"/>
    <w:rsid w:val="60730030"/>
    <w:rsid w:val="60A32AE1"/>
    <w:rsid w:val="60BD61EA"/>
    <w:rsid w:val="60E26EF2"/>
    <w:rsid w:val="6138591F"/>
    <w:rsid w:val="61500EBB"/>
    <w:rsid w:val="618750D2"/>
    <w:rsid w:val="61DA69D6"/>
    <w:rsid w:val="61F6438F"/>
    <w:rsid w:val="62283C6C"/>
    <w:rsid w:val="62465973"/>
    <w:rsid w:val="625A16A0"/>
    <w:rsid w:val="62633D04"/>
    <w:rsid w:val="62D90A3C"/>
    <w:rsid w:val="630E16D5"/>
    <w:rsid w:val="634E73D2"/>
    <w:rsid w:val="63B40090"/>
    <w:rsid w:val="63BD2DF3"/>
    <w:rsid w:val="63C77272"/>
    <w:rsid w:val="640C1CAC"/>
    <w:rsid w:val="643A2B44"/>
    <w:rsid w:val="64450C7C"/>
    <w:rsid w:val="64794AD4"/>
    <w:rsid w:val="64C86B6E"/>
    <w:rsid w:val="64D24210"/>
    <w:rsid w:val="64EF41C5"/>
    <w:rsid w:val="64F200B3"/>
    <w:rsid w:val="65270520"/>
    <w:rsid w:val="6564185E"/>
    <w:rsid w:val="65A417D5"/>
    <w:rsid w:val="65A672FB"/>
    <w:rsid w:val="65A71921"/>
    <w:rsid w:val="65B80E74"/>
    <w:rsid w:val="66CA526B"/>
    <w:rsid w:val="67496656"/>
    <w:rsid w:val="676E209B"/>
    <w:rsid w:val="67742764"/>
    <w:rsid w:val="682B229E"/>
    <w:rsid w:val="68460921"/>
    <w:rsid w:val="68B0223F"/>
    <w:rsid w:val="692F13B6"/>
    <w:rsid w:val="69472556"/>
    <w:rsid w:val="695928D6"/>
    <w:rsid w:val="696F3C02"/>
    <w:rsid w:val="697D65C5"/>
    <w:rsid w:val="698A0CE2"/>
    <w:rsid w:val="69B10C5F"/>
    <w:rsid w:val="69BB2925"/>
    <w:rsid w:val="69E41123"/>
    <w:rsid w:val="69F65BF2"/>
    <w:rsid w:val="6A6652AB"/>
    <w:rsid w:val="6A667059"/>
    <w:rsid w:val="6A6B5C20"/>
    <w:rsid w:val="6AC13E4D"/>
    <w:rsid w:val="6AF85D1A"/>
    <w:rsid w:val="6B0301DC"/>
    <w:rsid w:val="6B0D3978"/>
    <w:rsid w:val="6B3462F8"/>
    <w:rsid w:val="6B427AC6"/>
    <w:rsid w:val="6B741C4A"/>
    <w:rsid w:val="6B7C6AC7"/>
    <w:rsid w:val="6BE2677E"/>
    <w:rsid w:val="6BE97F42"/>
    <w:rsid w:val="6BEC0E81"/>
    <w:rsid w:val="6C007039"/>
    <w:rsid w:val="6C0B7C47"/>
    <w:rsid w:val="6C4B50F0"/>
    <w:rsid w:val="6CA021E5"/>
    <w:rsid w:val="6CA1442A"/>
    <w:rsid w:val="6CA560BE"/>
    <w:rsid w:val="6CEA4CD0"/>
    <w:rsid w:val="6CED1D73"/>
    <w:rsid w:val="6D3A6462"/>
    <w:rsid w:val="6D6A70DC"/>
    <w:rsid w:val="6DC773AF"/>
    <w:rsid w:val="6DF72A28"/>
    <w:rsid w:val="6DFA4245"/>
    <w:rsid w:val="6E1119D2"/>
    <w:rsid w:val="6E4408FB"/>
    <w:rsid w:val="6E4E1B11"/>
    <w:rsid w:val="6E762EF9"/>
    <w:rsid w:val="6E8E50DE"/>
    <w:rsid w:val="6EA26BDB"/>
    <w:rsid w:val="6EE92007"/>
    <w:rsid w:val="6EED49C0"/>
    <w:rsid w:val="6EF820EC"/>
    <w:rsid w:val="6F300612"/>
    <w:rsid w:val="6F5D6289"/>
    <w:rsid w:val="6FA81EC2"/>
    <w:rsid w:val="6FD9651F"/>
    <w:rsid w:val="701B16A2"/>
    <w:rsid w:val="706933FF"/>
    <w:rsid w:val="708E2E66"/>
    <w:rsid w:val="70B560B7"/>
    <w:rsid w:val="711C2B67"/>
    <w:rsid w:val="71306870"/>
    <w:rsid w:val="71C54FAD"/>
    <w:rsid w:val="71E80C9B"/>
    <w:rsid w:val="725E4ABA"/>
    <w:rsid w:val="72776B1C"/>
    <w:rsid w:val="727F6C0C"/>
    <w:rsid w:val="72C25048"/>
    <w:rsid w:val="732C6966"/>
    <w:rsid w:val="73B10660"/>
    <w:rsid w:val="73B9469D"/>
    <w:rsid w:val="73BD1BA1"/>
    <w:rsid w:val="73CF6E1B"/>
    <w:rsid w:val="73DB2564"/>
    <w:rsid w:val="73F27BAF"/>
    <w:rsid w:val="74406107"/>
    <w:rsid w:val="744E66E3"/>
    <w:rsid w:val="7486012E"/>
    <w:rsid w:val="74A41264"/>
    <w:rsid w:val="74B135C7"/>
    <w:rsid w:val="74D87AAC"/>
    <w:rsid w:val="74D97E42"/>
    <w:rsid w:val="74EE588B"/>
    <w:rsid w:val="750A2D89"/>
    <w:rsid w:val="75175B20"/>
    <w:rsid w:val="7519467C"/>
    <w:rsid w:val="752B4315"/>
    <w:rsid w:val="752B765B"/>
    <w:rsid w:val="75330480"/>
    <w:rsid w:val="760B5D79"/>
    <w:rsid w:val="7664287F"/>
    <w:rsid w:val="768F1979"/>
    <w:rsid w:val="769D4A3B"/>
    <w:rsid w:val="76E36061"/>
    <w:rsid w:val="76EC08E6"/>
    <w:rsid w:val="772F65D3"/>
    <w:rsid w:val="774B1AB0"/>
    <w:rsid w:val="7772528F"/>
    <w:rsid w:val="779A47E6"/>
    <w:rsid w:val="77AD521F"/>
    <w:rsid w:val="77AF4B9F"/>
    <w:rsid w:val="77D31AA6"/>
    <w:rsid w:val="782537BE"/>
    <w:rsid w:val="786A010E"/>
    <w:rsid w:val="786B1DE0"/>
    <w:rsid w:val="789D458E"/>
    <w:rsid w:val="78A92C48"/>
    <w:rsid w:val="78B91C9F"/>
    <w:rsid w:val="790939F0"/>
    <w:rsid w:val="791C31CA"/>
    <w:rsid w:val="791E0E24"/>
    <w:rsid w:val="79485839"/>
    <w:rsid w:val="795935BF"/>
    <w:rsid w:val="799F3431"/>
    <w:rsid w:val="79CB512B"/>
    <w:rsid w:val="79EE5915"/>
    <w:rsid w:val="79F20909"/>
    <w:rsid w:val="7A3D028F"/>
    <w:rsid w:val="7A913DB9"/>
    <w:rsid w:val="7AA5772A"/>
    <w:rsid w:val="7AC027B5"/>
    <w:rsid w:val="7B367109"/>
    <w:rsid w:val="7B38234C"/>
    <w:rsid w:val="7B3867F0"/>
    <w:rsid w:val="7BD1454E"/>
    <w:rsid w:val="7C0927F8"/>
    <w:rsid w:val="7C2428B6"/>
    <w:rsid w:val="7C263F08"/>
    <w:rsid w:val="7C3C2310"/>
    <w:rsid w:val="7C502B1E"/>
    <w:rsid w:val="7C8F180B"/>
    <w:rsid w:val="7C9409B3"/>
    <w:rsid w:val="7CC43D31"/>
    <w:rsid w:val="7CC7600D"/>
    <w:rsid w:val="7D1550B4"/>
    <w:rsid w:val="7D19625D"/>
    <w:rsid w:val="7D20753B"/>
    <w:rsid w:val="7D3D633F"/>
    <w:rsid w:val="7D5E4FB5"/>
    <w:rsid w:val="7D774318"/>
    <w:rsid w:val="7D957640"/>
    <w:rsid w:val="7DBA34EC"/>
    <w:rsid w:val="7DCE51E9"/>
    <w:rsid w:val="7DE027C6"/>
    <w:rsid w:val="7DE53EF4"/>
    <w:rsid w:val="7DEA317D"/>
    <w:rsid w:val="7DEB49CB"/>
    <w:rsid w:val="7E5D551C"/>
    <w:rsid w:val="7E881415"/>
    <w:rsid w:val="7E991AC8"/>
    <w:rsid w:val="7ED06D3F"/>
    <w:rsid w:val="7EF103D0"/>
    <w:rsid w:val="7F191334"/>
    <w:rsid w:val="7F2F3A66"/>
    <w:rsid w:val="7F5A4826"/>
    <w:rsid w:val="7F710522"/>
    <w:rsid w:val="7F85072D"/>
    <w:rsid w:val="7F9D5240"/>
    <w:rsid w:val="7FB56661"/>
    <w:rsid w:val="7FC60793"/>
    <w:rsid w:val="7FE17A51"/>
    <w:rsid w:val="7FED1F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keepLines/>
      <w:spacing w:before="340" w:after="330" w:line="578" w:lineRule="auto"/>
      <w:jc w:val="center"/>
      <w:outlineLvl w:val="0"/>
    </w:pPr>
    <w:rPr>
      <w:rFonts w:ascii="等线" w:hAnsi="等线" w:cs="宋体"/>
      <w:b/>
      <w:bCs/>
      <w:kern w:val="44"/>
      <w:sz w:val="32"/>
      <w:szCs w:val="44"/>
    </w:rPr>
  </w:style>
  <w:style w:type="paragraph" w:styleId="3">
    <w:name w:val="heading 2"/>
    <w:basedOn w:val="1"/>
    <w:link w:val="54"/>
    <w:autoRedefine/>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55"/>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56"/>
    <w:autoRedefine/>
    <w:qFormat/>
    <w:uiPriority w:val="9"/>
    <w:pPr>
      <w:keepNext/>
      <w:keepLines/>
      <w:numPr>
        <w:ilvl w:val="0"/>
        <w:numId w:val="1"/>
      </w:numPr>
      <w:tabs>
        <w:tab w:val="left" w:pos="0"/>
      </w:tabs>
      <w:ind w:left="200" w:leftChars="200" w:firstLine="0"/>
      <w:outlineLvl w:val="3"/>
    </w:pPr>
    <w:rPr>
      <w:rFonts w:ascii="Calibri Light" w:hAnsi="Calibri Light"/>
      <w:b/>
      <w:bCs/>
      <w:sz w:val="24"/>
      <w:szCs w:val="28"/>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Calibri" w:hAnsi="Calibri"/>
      <w:sz w:val="18"/>
      <w:szCs w:val="18"/>
    </w:rPr>
  </w:style>
  <w:style w:type="paragraph" w:styleId="7">
    <w:name w:val="Normal Indent"/>
    <w:basedOn w:val="1"/>
    <w:next w:val="1"/>
    <w:link w:val="74"/>
    <w:autoRedefine/>
    <w:qFormat/>
    <w:uiPriority w:val="99"/>
    <w:pPr>
      <w:ind w:firstLine="420" w:firstLineChars="200"/>
    </w:pPr>
  </w:style>
  <w:style w:type="paragraph" w:styleId="8">
    <w:name w:val="caption"/>
    <w:basedOn w:val="1"/>
    <w:next w:val="1"/>
    <w:autoRedefine/>
    <w:qFormat/>
    <w:uiPriority w:val="0"/>
    <w:pPr>
      <w:spacing w:before="152" w:after="160"/>
    </w:pPr>
    <w:rPr>
      <w:rFonts w:ascii="Arial" w:hAnsi="Arial" w:eastAsia="黑体" w:cs="Arial"/>
      <w:sz w:val="20"/>
      <w:szCs w:val="20"/>
    </w:rPr>
  </w:style>
  <w:style w:type="paragraph" w:styleId="9">
    <w:name w:val="Document Map"/>
    <w:basedOn w:val="1"/>
    <w:link w:val="75"/>
    <w:autoRedefine/>
    <w:qFormat/>
    <w:uiPriority w:val="0"/>
    <w:pPr>
      <w:shd w:val="clear" w:color="auto" w:fill="000080"/>
    </w:pPr>
    <w:rPr>
      <w:szCs w:val="20"/>
    </w:rPr>
  </w:style>
  <w:style w:type="paragraph" w:styleId="10">
    <w:name w:val="annotation text"/>
    <w:basedOn w:val="1"/>
    <w:link w:val="76"/>
    <w:autoRedefine/>
    <w:qFormat/>
    <w:uiPriority w:val="0"/>
    <w:pPr>
      <w:jc w:val="left"/>
    </w:pPr>
    <w:rPr>
      <w:rFonts w:ascii="Calibri" w:hAnsi="Calibri"/>
      <w:szCs w:val="22"/>
    </w:rPr>
  </w:style>
  <w:style w:type="paragraph" w:styleId="11">
    <w:name w:val="Body Text"/>
    <w:basedOn w:val="1"/>
    <w:next w:val="12"/>
    <w:link w:val="58"/>
    <w:autoRedefine/>
    <w:qFormat/>
    <w:uiPriority w:val="0"/>
    <w:pPr>
      <w:spacing w:after="120"/>
    </w:pPr>
  </w:style>
  <w:style w:type="paragraph" w:customStyle="1" w:styleId="12">
    <w:name w:val="Default"/>
    <w:basedOn w:val="13"/>
    <w:next w:val="1"/>
    <w:autoRedefine/>
    <w:qFormat/>
    <w:uiPriority w:val="0"/>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styleId="13">
    <w:name w:val="Plain Text"/>
    <w:basedOn w:val="1"/>
    <w:next w:val="11"/>
    <w:link w:val="77"/>
    <w:autoRedefine/>
    <w:qFormat/>
    <w:uiPriority w:val="99"/>
    <w:rPr>
      <w:rFonts w:ascii="宋体" w:hAnsi="Courier New" w:eastAsia="微软雅黑" w:cs="宋体"/>
      <w:sz w:val="24"/>
      <w:szCs w:val="20"/>
    </w:rPr>
  </w:style>
  <w:style w:type="paragraph" w:styleId="14">
    <w:name w:val="Body Text Indent"/>
    <w:basedOn w:val="1"/>
    <w:next w:val="15"/>
    <w:link w:val="67"/>
    <w:autoRedefine/>
    <w:qFormat/>
    <w:uiPriority w:val="0"/>
    <w:pPr>
      <w:spacing w:after="120"/>
      <w:ind w:left="420" w:leftChars="200"/>
    </w:pPr>
  </w:style>
  <w:style w:type="paragraph" w:customStyle="1" w:styleId="15">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6">
    <w:name w:val="List 2"/>
    <w:basedOn w:val="1"/>
    <w:autoRedefine/>
    <w:qFormat/>
    <w:uiPriority w:val="0"/>
    <w:pPr>
      <w:ind w:left="100" w:leftChars="200" w:hanging="200" w:hangingChars="200"/>
    </w:pPr>
  </w:style>
  <w:style w:type="paragraph" w:styleId="17">
    <w:name w:val="toc 5"/>
    <w:basedOn w:val="1"/>
    <w:next w:val="1"/>
    <w:autoRedefine/>
    <w:qFormat/>
    <w:uiPriority w:val="0"/>
    <w:pPr>
      <w:ind w:left="840"/>
      <w:jc w:val="left"/>
    </w:pPr>
    <w:rPr>
      <w:rFonts w:ascii="Calibri" w:hAnsi="Calibri"/>
      <w:sz w:val="18"/>
      <w:szCs w:val="18"/>
    </w:rPr>
  </w:style>
  <w:style w:type="paragraph" w:styleId="18">
    <w:name w:val="toc 3"/>
    <w:basedOn w:val="1"/>
    <w:next w:val="1"/>
    <w:autoRedefine/>
    <w:qFormat/>
    <w:uiPriority w:val="0"/>
    <w:pPr>
      <w:widowControl/>
      <w:spacing w:after="100" w:line="259" w:lineRule="auto"/>
      <w:ind w:left="440"/>
      <w:jc w:val="left"/>
    </w:pPr>
    <w:rPr>
      <w:rFonts w:ascii="等线" w:hAnsi="等线" w:eastAsia="等线"/>
      <w:kern w:val="0"/>
      <w:sz w:val="22"/>
      <w:szCs w:val="22"/>
    </w:rPr>
  </w:style>
  <w:style w:type="paragraph" w:styleId="19">
    <w:name w:val="toc 8"/>
    <w:basedOn w:val="1"/>
    <w:next w:val="1"/>
    <w:autoRedefine/>
    <w:qFormat/>
    <w:uiPriority w:val="0"/>
    <w:pPr>
      <w:ind w:left="1470"/>
      <w:jc w:val="left"/>
    </w:pPr>
    <w:rPr>
      <w:rFonts w:ascii="Calibri" w:hAnsi="Calibri"/>
      <w:sz w:val="18"/>
      <w:szCs w:val="18"/>
    </w:rPr>
  </w:style>
  <w:style w:type="paragraph" w:styleId="20">
    <w:name w:val="Date"/>
    <w:basedOn w:val="1"/>
    <w:next w:val="1"/>
    <w:link w:val="79"/>
    <w:autoRedefine/>
    <w:qFormat/>
    <w:uiPriority w:val="0"/>
    <w:rPr>
      <w:rFonts w:ascii="隶书" w:eastAsia="隶书"/>
      <w:b/>
      <w:sz w:val="44"/>
      <w:szCs w:val="20"/>
    </w:rPr>
  </w:style>
  <w:style w:type="paragraph" w:styleId="21">
    <w:name w:val="Body Text Indent 2"/>
    <w:basedOn w:val="1"/>
    <w:link w:val="80"/>
    <w:autoRedefine/>
    <w:qFormat/>
    <w:uiPriority w:val="0"/>
    <w:pPr>
      <w:spacing w:after="120" w:line="480" w:lineRule="auto"/>
      <w:ind w:left="420"/>
    </w:pPr>
  </w:style>
  <w:style w:type="paragraph" w:styleId="22">
    <w:name w:val="Balloon Text"/>
    <w:basedOn w:val="1"/>
    <w:link w:val="60"/>
    <w:autoRedefine/>
    <w:qFormat/>
    <w:uiPriority w:val="0"/>
    <w:rPr>
      <w:sz w:val="18"/>
      <w:szCs w:val="18"/>
    </w:rPr>
  </w:style>
  <w:style w:type="paragraph" w:styleId="23">
    <w:name w:val="footer"/>
    <w:basedOn w:val="1"/>
    <w:link w:val="59"/>
    <w:autoRedefine/>
    <w:qFormat/>
    <w:uiPriority w:val="99"/>
    <w:pPr>
      <w:tabs>
        <w:tab w:val="center" w:pos="4153"/>
        <w:tab w:val="right" w:pos="8306"/>
      </w:tabs>
      <w:snapToGrid w:val="0"/>
      <w:jc w:val="left"/>
    </w:pPr>
    <w:rPr>
      <w:sz w:val="18"/>
      <w:szCs w:val="18"/>
    </w:rPr>
  </w:style>
  <w:style w:type="paragraph" w:styleId="24">
    <w:name w:val="envelope return"/>
    <w:basedOn w:val="1"/>
    <w:autoRedefine/>
    <w:qFormat/>
    <w:uiPriority w:val="0"/>
    <w:pPr>
      <w:snapToGrid w:val="0"/>
    </w:pPr>
    <w:rPr>
      <w:rFonts w:ascii="Arial" w:hAnsi="Arial"/>
    </w:rPr>
  </w:style>
  <w:style w:type="paragraph" w:styleId="25">
    <w:name w:val="header"/>
    <w:basedOn w:val="1"/>
    <w:link w:val="62"/>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toc 4"/>
    <w:basedOn w:val="1"/>
    <w:next w:val="1"/>
    <w:autoRedefine/>
    <w:qFormat/>
    <w:uiPriority w:val="0"/>
    <w:pPr>
      <w:ind w:left="630"/>
      <w:jc w:val="left"/>
    </w:pPr>
    <w:rPr>
      <w:rFonts w:ascii="Calibri" w:hAnsi="Calibri"/>
      <w:sz w:val="18"/>
      <w:szCs w:val="18"/>
    </w:rPr>
  </w:style>
  <w:style w:type="paragraph" w:styleId="28">
    <w:name w:val="Subtitle"/>
    <w:basedOn w:val="1"/>
    <w:next w:val="1"/>
    <w:link w:val="81"/>
    <w:autoRedefine/>
    <w:qFormat/>
    <w:uiPriority w:val="0"/>
    <w:pPr>
      <w:spacing w:before="240" w:after="60" w:line="312" w:lineRule="auto"/>
      <w:jc w:val="center"/>
      <w:outlineLvl w:val="1"/>
    </w:pPr>
    <w:rPr>
      <w:rFonts w:ascii="Cambria" w:hAnsi="Cambria" w:eastAsia="微软雅黑" w:cs="宋体"/>
      <w:b/>
      <w:bCs/>
      <w:kern w:val="28"/>
      <w:sz w:val="32"/>
      <w:szCs w:val="32"/>
    </w:rPr>
  </w:style>
  <w:style w:type="paragraph" w:styleId="29">
    <w:name w:val="toc 6"/>
    <w:basedOn w:val="1"/>
    <w:next w:val="1"/>
    <w:autoRedefine/>
    <w:qFormat/>
    <w:uiPriority w:val="0"/>
    <w:pPr>
      <w:ind w:left="1050"/>
      <w:jc w:val="left"/>
    </w:pPr>
    <w:rPr>
      <w:rFonts w:ascii="Calibri" w:hAnsi="Calibri"/>
      <w:sz w:val="18"/>
      <w:szCs w:val="18"/>
    </w:rPr>
  </w:style>
  <w:style w:type="paragraph" w:styleId="30">
    <w:name w:val="Body Text Indent 3"/>
    <w:basedOn w:val="1"/>
    <w:link w:val="83"/>
    <w:autoRedefine/>
    <w:qFormat/>
    <w:uiPriority w:val="0"/>
    <w:pPr>
      <w:spacing w:after="120"/>
      <w:ind w:left="420" w:leftChars="200"/>
    </w:pPr>
    <w:rPr>
      <w:sz w:val="16"/>
      <w:szCs w:val="16"/>
    </w:rPr>
  </w:style>
  <w:style w:type="paragraph" w:styleId="31">
    <w:name w:val="toc 2"/>
    <w:basedOn w:val="1"/>
    <w:next w:val="1"/>
    <w:autoRedefine/>
    <w:qFormat/>
    <w:uiPriority w:val="39"/>
    <w:pPr>
      <w:ind w:left="420" w:leftChars="200"/>
    </w:pPr>
  </w:style>
  <w:style w:type="paragraph" w:styleId="32">
    <w:name w:val="toc 9"/>
    <w:basedOn w:val="1"/>
    <w:next w:val="1"/>
    <w:autoRedefine/>
    <w:qFormat/>
    <w:uiPriority w:val="0"/>
    <w:pPr>
      <w:ind w:left="1680"/>
      <w:jc w:val="left"/>
    </w:pPr>
    <w:rPr>
      <w:rFonts w:ascii="Calibri" w:hAnsi="Calibri"/>
      <w:sz w:val="18"/>
      <w:szCs w:val="18"/>
    </w:rPr>
  </w:style>
  <w:style w:type="paragraph" w:styleId="33">
    <w:name w:val="Body Text 2"/>
    <w:basedOn w:val="1"/>
    <w:next w:val="11"/>
    <w:link w:val="84"/>
    <w:autoRedefine/>
    <w:qFormat/>
    <w:uiPriority w:val="0"/>
    <w:pPr>
      <w:spacing w:after="120" w:line="480" w:lineRule="auto"/>
    </w:pPr>
    <w:rPr>
      <w:rFonts w:ascii="宋体"/>
      <w:bCs/>
      <w:sz w:val="28"/>
    </w:rPr>
  </w:style>
  <w:style w:type="paragraph" w:styleId="34">
    <w:name w:val="HTML Preformatted"/>
    <w:basedOn w:val="1"/>
    <w:link w:val="85"/>
    <w:autoRedefine/>
    <w:qFormat/>
    <w:uiPriority w:val="0"/>
    <w:pPr>
      <w:widowControl/>
      <w:jc w:val="left"/>
    </w:pPr>
    <w:rPr>
      <w:rFonts w:ascii="黑体" w:hAnsi="Courier New" w:eastAsia="黑体"/>
      <w:kern w:val="0"/>
      <w:sz w:val="20"/>
      <w:szCs w:val="21"/>
    </w:rPr>
  </w:style>
  <w:style w:type="paragraph" w:styleId="3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1"/>
    <w:next w:val="1"/>
    <w:link w:val="86"/>
    <w:autoRedefine/>
    <w:qFormat/>
    <w:uiPriority w:val="0"/>
    <w:pPr>
      <w:spacing w:before="240" w:after="60"/>
      <w:jc w:val="center"/>
      <w:outlineLvl w:val="0"/>
    </w:pPr>
    <w:rPr>
      <w:rFonts w:ascii="Cambria" w:hAnsi="Cambria"/>
      <w:b/>
      <w:bCs/>
      <w:sz w:val="32"/>
      <w:szCs w:val="32"/>
    </w:rPr>
  </w:style>
  <w:style w:type="paragraph" w:styleId="37">
    <w:name w:val="annotation subject"/>
    <w:basedOn w:val="10"/>
    <w:next w:val="10"/>
    <w:link w:val="87"/>
    <w:autoRedefine/>
    <w:qFormat/>
    <w:uiPriority w:val="0"/>
    <w:rPr>
      <w:b/>
      <w:bCs/>
    </w:rPr>
  </w:style>
  <w:style w:type="paragraph" w:styleId="38">
    <w:name w:val="Body Text First Indent"/>
    <w:basedOn w:val="11"/>
    <w:next w:val="1"/>
    <w:link w:val="71"/>
    <w:autoRedefine/>
    <w:qFormat/>
    <w:uiPriority w:val="99"/>
    <w:pPr>
      <w:ind w:firstLine="420" w:firstLineChars="100"/>
    </w:pPr>
  </w:style>
  <w:style w:type="paragraph" w:styleId="39">
    <w:name w:val="Body Text First Indent 2"/>
    <w:basedOn w:val="14"/>
    <w:next w:val="1"/>
    <w:link w:val="68"/>
    <w:autoRedefine/>
    <w:qFormat/>
    <w:uiPriority w:val="0"/>
    <w:pPr>
      <w:ind w:firstLine="420" w:firstLineChars="200"/>
    </w:p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autoRedefine/>
    <w:qFormat/>
    <w:uiPriority w:val="22"/>
    <w:rPr>
      <w:b/>
      <w:bCs/>
    </w:rPr>
  </w:style>
  <w:style w:type="character" w:styleId="44">
    <w:name w:val="page number"/>
    <w:basedOn w:val="42"/>
    <w:autoRedefine/>
    <w:qFormat/>
    <w:uiPriority w:val="0"/>
  </w:style>
  <w:style w:type="character" w:styleId="45">
    <w:name w:val="FollowedHyperlink"/>
    <w:autoRedefine/>
    <w:qFormat/>
    <w:uiPriority w:val="0"/>
    <w:rPr>
      <w:color w:val="954F72"/>
      <w:u w:val="single"/>
    </w:rPr>
  </w:style>
  <w:style w:type="character" w:styleId="46">
    <w:name w:val="Emphasis"/>
    <w:autoRedefine/>
    <w:qFormat/>
    <w:uiPriority w:val="20"/>
    <w:rPr>
      <w:color w:val="CC0000"/>
    </w:rPr>
  </w:style>
  <w:style w:type="character" w:styleId="47">
    <w:name w:val="Hyperlink"/>
    <w:autoRedefine/>
    <w:qFormat/>
    <w:uiPriority w:val="99"/>
    <w:rPr>
      <w:rFonts w:cs="Times New Roman"/>
      <w:color w:val="0000FF"/>
      <w:u w:val="single"/>
    </w:rPr>
  </w:style>
  <w:style w:type="character" w:styleId="48">
    <w:name w:val="annotation reference"/>
    <w:autoRedefine/>
    <w:qFormat/>
    <w:uiPriority w:val="0"/>
    <w:rPr>
      <w:sz w:val="21"/>
      <w:szCs w:val="21"/>
    </w:rPr>
  </w:style>
  <w:style w:type="paragraph" w:customStyle="1" w:styleId="49">
    <w:name w:val="无间隔1"/>
    <w:basedOn w:val="1"/>
    <w:next w:val="8"/>
    <w:autoRedefine/>
    <w:qFormat/>
    <w:uiPriority w:val="0"/>
    <w:pPr>
      <w:spacing w:line="400" w:lineRule="exact"/>
    </w:pPr>
    <w:rPr>
      <w:rFonts w:asciiTheme="minorHAnsi" w:hAnsiTheme="minorHAnsi" w:eastAsiaTheme="minorEastAsia" w:cstheme="minorBidi"/>
      <w:sz w:val="24"/>
    </w:rPr>
  </w:style>
  <w:style w:type="character" w:customStyle="1" w:styleId="50">
    <w:name w:val="标题 1 Char"/>
    <w:basedOn w:val="42"/>
    <w:link w:val="2"/>
    <w:autoRedefine/>
    <w:qFormat/>
    <w:uiPriority w:val="9"/>
    <w:rPr>
      <w:rFonts w:ascii="等线" w:hAnsi="等线" w:cs="宋体"/>
      <w:b/>
      <w:bCs/>
      <w:kern w:val="44"/>
      <w:sz w:val="32"/>
      <w:szCs w:val="44"/>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TOC Heading1"/>
    <w:next w:val="1"/>
    <w:autoRedefine/>
    <w:qFormat/>
    <w:uiPriority w:val="0"/>
    <w:pPr>
      <w:wordWrap w:val="0"/>
    </w:pPr>
    <w:rPr>
      <w:rFonts w:ascii="Times New Roman" w:hAnsi="Times New Roman" w:eastAsia="宋体" w:cs="Times New Roman"/>
      <w:sz w:val="32"/>
      <w:szCs w:val="22"/>
      <w:lang w:val="en-US" w:eastAsia="zh-CN" w:bidi="ar-SA"/>
    </w:rPr>
  </w:style>
  <w:style w:type="paragraph" w:customStyle="1" w:styleId="53">
    <w:name w:val="大标题"/>
    <w:basedOn w:val="1"/>
    <w:next w:val="39"/>
    <w:autoRedefine/>
    <w:qFormat/>
    <w:uiPriority w:val="0"/>
    <w:pPr>
      <w:jc w:val="center"/>
    </w:pPr>
    <w:rPr>
      <w:rFonts w:ascii="Arial" w:hAnsi="Arial"/>
      <w:b/>
      <w:sz w:val="28"/>
    </w:rPr>
  </w:style>
  <w:style w:type="character" w:customStyle="1" w:styleId="54">
    <w:name w:val="标题 2 Char"/>
    <w:basedOn w:val="42"/>
    <w:link w:val="3"/>
    <w:autoRedefine/>
    <w:qFormat/>
    <w:uiPriority w:val="9"/>
    <w:rPr>
      <w:rFonts w:ascii="宋体" w:hAnsi="宋体" w:cs="宋体"/>
      <w:b/>
      <w:bCs/>
      <w:sz w:val="36"/>
      <w:szCs w:val="36"/>
    </w:rPr>
  </w:style>
  <w:style w:type="character" w:customStyle="1" w:styleId="55">
    <w:name w:val="标题 3 Char"/>
    <w:basedOn w:val="42"/>
    <w:link w:val="4"/>
    <w:autoRedefine/>
    <w:qFormat/>
    <w:uiPriority w:val="9"/>
    <w:rPr>
      <w:b/>
      <w:bCs/>
      <w:kern w:val="2"/>
      <w:sz w:val="32"/>
      <w:szCs w:val="32"/>
    </w:rPr>
  </w:style>
  <w:style w:type="character" w:customStyle="1" w:styleId="56">
    <w:name w:val="标题 4 Char"/>
    <w:basedOn w:val="42"/>
    <w:link w:val="5"/>
    <w:autoRedefine/>
    <w:qFormat/>
    <w:uiPriority w:val="9"/>
    <w:rPr>
      <w:rFonts w:ascii="Calibri Light" w:hAnsi="Calibri Light"/>
      <w:b/>
      <w:bCs/>
      <w:kern w:val="2"/>
      <w:sz w:val="24"/>
      <w:szCs w:val="28"/>
    </w:rPr>
  </w:style>
  <w:style w:type="character" w:customStyle="1" w:styleId="57">
    <w:name w:val="正文文本 Char"/>
    <w:basedOn w:val="42"/>
    <w:autoRedefine/>
    <w:qFormat/>
    <w:uiPriority w:val="1"/>
    <w:rPr>
      <w:kern w:val="2"/>
      <w:sz w:val="21"/>
      <w:szCs w:val="24"/>
    </w:rPr>
  </w:style>
  <w:style w:type="character" w:customStyle="1" w:styleId="58">
    <w:name w:val="正文文本 Char1"/>
    <w:basedOn w:val="42"/>
    <w:link w:val="11"/>
    <w:autoRedefine/>
    <w:qFormat/>
    <w:uiPriority w:val="0"/>
    <w:rPr>
      <w:kern w:val="2"/>
      <w:sz w:val="21"/>
      <w:szCs w:val="24"/>
    </w:rPr>
  </w:style>
  <w:style w:type="character" w:customStyle="1" w:styleId="59">
    <w:name w:val="页脚 Char"/>
    <w:basedOn w:val="42"/>
    <w:link w:val="23"/>
    <w:autoRedefine/>
    <w:qFormat/>
    <w:uiPriority w:val="99"/>
    <w:rPr>
      <w:kern w:val="2"/>
      <w:sz w:val="18"/>
      <w:szCs w:val="18"/>
    </w:rPr>
  </w:style>
  <w:style w:type="character" w:customStyle="1" w:styleId="60">
    <w:name w:val="批注框文本 Char"/>
    <w:basedOn w:val="42"/>
    <w:link w:val="22"/>
    <w:autoRedefine/>
    <w:qFormat/>
    <w:uiPriority w:val="0"/>
    <w:rPr>
      <w:kern w:val="2"/>
      <w:sz w:val="18"/>
      <w:szCs w:val="18"/>
    </w:rPr>
  </w:style>
  <w:style w:type="paragraph" w:customStyle="1" w:styleId="61">
    <w:name w:val="p"/>
    <w:basedOn w:val="1"/>
    <w:autoRedefine/>
    <w:qFormat/>
    <w:uiPriority w:val="0"/>
    <w:pPr>
      <w:widowControl/>
      <w:spacing w:line="432" w:lineRule="auto"/>
      <w:jc w:val="left"/>
    </w:pPr>
    <w:rPr>
      <w:rFonts w:ascii="宋体" w:hAnsi="宋体" w:cs="宋体"/>
      <w:kern w:val="0"/>
      <w:sz w:val="24"/>
    </w:rPr>
  </w:style>
  <w:style w:type="character" w:customStyle="1" w:styleId="62">
    <w:name w:val="页眉 Char"/>
    <w:basedOn w:val="42"/>
    <w:link w:val="25"/>
    <w:autoRedefine/>
    <w:qFormat/>
    <w:uiPriority w:val="99"/>
    <w:rPr>
      <w:kern w:val="2"/>
      <w:sz w:val="18"/>
      <w:szCs w:val="18"/>
    </w:rPr>
  </w:style>
  <w:style w:type="paragraph" w:customStyle="1" w:styleId="63">
    <w:name w:val="Table Paragraph"/>
    <w:basedOn w:val="1"/>
    <w:autoRedefine/>
    <w:qFormat/>
    <w:uiPriority w:val="1"/>
    <w:rPr>
      <w:szCs w:val="20"/>
    </w:rPr>
  </w:style>
  <w:style w:type="paragraph" w:customStyle="1" w:styleId="64">
    <w:name w:val="正文1"/>
    <w:basedOn w:val="1"/>
    <w:autoRedefine/>
    <w:qFormat/>
    <w:uiPriority w:val="0"/>
    <w:pPr>
      <w:adjustRightInd w:val="0"/>
      <w:spacing w:line="318" w:lineRule="atLeast"/>
      <w:ind w:left="369" w:firstLine="369"/>
      <w:textAlignment w:val="baseline"/>
    </w:pPr>
    <w:rPr>
      <w:rFonts w:ascii="宋体"/>
    </w:rPr>
  </w:style>
  <w:style w:type="paragraph" w:styleId="65">
    <w:name w:val="List Paragraph"/>
    <w:basedOn w:val="1"/>
    <w:link w:val="66"/>
    <w:autoRedefine/>
    <w:qFormat/>
    <w:uiPriority w:val="34"/>
    <w:pPr>
      <w:ind w:firstLine="420" w:firstLineChars="200"/>
    </w:pPr>
  </w:style>
  <w:style w:type="character" w:customStyle="1" w:styleId="66">
    <w:name w:val="列出段落 Char"/>
    <w:link w:val="65"/>
    <w:autoRedefine/>
    <w:qFormat/>
    <w:locked/>
    <w:uiPriority w:val="34"/>
    <w:rPr>
      <w:kern w:val="2"/>
      <w:sz w:val="21"/>
      <w:szCs w:val="24"/>
    </w:rPr>
  </w:style>
  <w:style w:type="character" w:customStyle="1" w:styleId="67">
    <w:name w:val="正文文本缩进 Char"/>
    <w:basedOn w:val="42"/>
    <w:link w:val="14"/>
    <w:autoRedefine/>
    <w:qFormat/>
    <w:uiPriority w:val="0"/>
    <w:rPr>
      <w:kern w:val="2"/>
      <w:sz w:val="21"/>
      <w:szCs w:val="24"/>
    </w:rPr>
  </w:style>
  <w:style w:type="character" w:customStyle="1" w:styleId="68">
    <w:name w:val="正文首行缩进 2 Char"/>
    <w:basedOn w:val="67"/>
    <w:link w:val="39"/>
    <w:autoRedefine/>
    <w:qFormat/>
    <w:uiPriority w:val="0"/>
    <w:rPr>
      <w:kern w:val="2"/>
      <w:sz w:val="21"/>
      <w:szCs w:val="24"/>
    </w:rPr>
  </w:style>
  <w:style w:type="character" w:customStyle="1" w:styleId="69">
    <w:name w:val="ll-span"/>
    <w:basedOn w:val="42"/>
    <w:autoRedefine/>
    <w:qFormat/>
    <w:uiPriority w:val="0"/>
  </w:style>
  <w:style w:type="character" w:customStyle="1" w:styleId="70">
    <w:name w:val="divcss5"/>
    <w:basedOn w:val="42"/>
    <w:autoRedefine/>
    <w:qFormat/>
    <w:uiPriority w:val="0"/>
  </w:style>
  <w:style w:type="character" w:customStyle="1" w:styleId="71">
    <w:name w:val="正文首行缩进 Char"/>
    <w:basedOn w:val="58"/>
    <w:link w:val="38"/>
    <w:autoRedefine/>
    <w:qFormat/>
    <w:uiPriority w:val="99"/>
    <w:rPr>
      <w:kern w:val="2"/>
      <w:sz w:val="21"/>
      <w:szCs w:val="24"/>
    </w:rPr>
  </w:style>
  <w:style w:type="paragraph" w:customStyle="1" w:styleId="72">
    <w:name w:val="表格文字"/>
    <w:basedOn w:val="1"/>
    <w:next w:val="11"/>
    <w:autoRedefine/>
    <w:qFormat/>
    <w:uiPriority w:val="0"/>
    <w:pPr>
      <w:adjustRightInd w:val="0"/>
      <w:spacing w:line="420" w:lineRule="atLeast"/>
      <w:jc w:val="left"/>
      <w:textAlignment w:val="baseline"/>
    </w:pPr>
    <w:rPr>
      <w:kern w:val="0"/>
      <w:szCs w:val="20"/>
    </w:rPr>
  </w:style>
  <w:style w:type="paragraph" w:customStyle="1" w:styleId="73">
    <w:name w:val="正文格式"/>
    <w:basedOn w:val="1"/>
    <w:autoRedefine/>
    <w:qFormat/>
    <w:uiPriority w:val="0"/>
    <w:pPr>
      <w:widowControl/>
      <w:adjustRightInd w:val="0"/>
      <w:snapToGrid w:val="0"/>
      <w:spacing w:line="400" w:lineRule="atLeast"/>
      <w:ind w:firstLine="482"/>
      <w:textAlignment w:val="baseline"/>
    </w:pPr>
    <w:rPr>
      <w:kern w:val="0"/>
      <w:sz w:val="24"/>
      <w:szCs w:val="22"/>
    </w:rPr>
  </w:style>
  <w:style w:type="character" w:customStyle="1" w:styleId="74">
    <w:name w:val="正文缩进 Char"/>
    <w:link w:val="7"/>
    <w:autoRedefine/>
    <w:qFormat/>
    <w:uiPriority w:val="0"/>
    <w:rPr>
      <w:kern w:val="2"/>
      <w:sz w:val="21"/>
      <w:szCs w:val="24"/>
    </w:rPr>
  </w:style>
  <w:style w:type="character" w:customStyle="1" w:styleId="75">
    <w:name w:val="文档结构图 Char"/>
    <w:basedOn w:val="42"/>
    <w:link w:val="9"/>
    <w:autoRedefine/>
    <w:qFormat/>
    <w:uiPriority w:val="0"/>
    <w:rPr>
      <w:kern w:val="2"/>
      <w:sz w:val="21"/>
      <w:shd w:val="clear" w:color="auto" w:fill="000080"/>
    </w:rPr>
  </w:style>
  <w:style w:type="character" w:customStyle="1" w:styleId="76">
    <w:name w:val="批注文字 Char"/>
    <w:basedOn w:val="42"/>
    <w:link w:val="10"/>
    <w:autoRedefine/>
    <w:qFormat/>
    <w:uiPriority w:val="0"/>
    <w:rPr>
      <w:rFonts w:ascii="Calibri" w:hAnsi="Calibri"/>
      <w:kern w:val="2"/>
      <w:sz w:val="21"/>
      <w:szCs w:val="22"/>
    </w:rPr>
  </w:style>
  <w:style w:type="character" w:customStyle="1" w:styleId="77">
    <w:name w:val="纯文本 Char1"/>
    <w:basedOn w:val="42"/>
    <w:link w:val="13"/>
    <w:autoRedefine/>
    <w:qFormat/>
    <w:uiPriority w:val="0"/>
    <w:rPr>
      <w:rFonts w:ascii="宋体" w:hAnsi="Courier New" w:eastAsia="微软雅黑" w:cs="宋体"/>
      <w:kern w:val="2"/>
      <w:sz w:val="24"/>
    </w:rPr>
  </w:style>
  <w:style w:type="character" w:customStyle="1" w:styleId="78">
    <w:name w:val="纯文本 Char"/>
    <w:basedOn w:val="42"/>
    <w:autoRedefine/>
    <w:qFormat/>
    <w:uiPriority w:val="99"/>
    <w:rPr>
      <w:rFonts w:ascii="宋体" w:hAnsi="Courier New" w:cs="Courier New"/>
      <w:kern w:val="2"/>
      <w:sz w:val="21"/>
      <w:szCs w:val="21"/>
    </w:rPr>
  </w:style>
  <w:style w:type="character" w:customStyle="1" w:styleId="79">
    <w:name w:val="日期 Char"/>
    <w:basedOn w:val="42"/>
    <w:link w:val="20"/>
    <w:autoRedefine/>
    <w:qFormat/>
    <w:uiPriority w:val="0"/>
    <w:rPr>
      <w:rFonts w:ascii="隶书" w:eastAsia="隶书"/>
      <w:b/>
      <w:kern w:val="2"/>
      <w:sz w:val="44"/>
    </w:rPr>
  </w:style>
  <w:style w:type="character" w:customStyle="1" w:styleId="80">
    <w:name w:val="正文文本缩进 2 Char"/>
    <w:basedOn w:val="42"/>
    <w:link w:val="21"/>
    <w:autoRedefine/>
    <w:qFormat/>
    <w:uiPriority w:val="0"/>
    <w:rPr>
      <w:kern w:val="2"/>
      <w:sz w:val="21"/>
      <w:szCs w:val="24"/>
    </w:rPr>
  </w:style>
  <w:style w:type="character" w:customStyle="1" w:styleId="81">
    <w:name w:val="副标题 Char1"/>
    <w:basedOn w:val="42"/>
    <w:link w:val="28"/>
    <w:autoRedefine/>
    <w:qFormat/>
    <w:uiPriority w:val="0"/>
    <w:rPr>
      <w:rFonts w:ascii="Cambria" w:hAnsi="Cambria" w:eastAsia="微软雅黑" w:cs="宋体"/>
      <w:b/>
      <w:bCs/>
      <w:kern w:val="28"/>
      <w:sz w:val="32"/>
      <w:szCs w:val="32"/>
    </w:rPr>
  </w:style>
  <w:style w:type="character" w:customStyle="1" w:styleId="82">
    <w:name w:val="副标题 Char"/>
    <w:basedOn w:val="42"/>
    <w:autoRedefine/>
    <w:qFormat/>
    <w:uiPriority w:val="0"/>
    <w:rPr>
      <w:rFonts w:asciiTheme="majorHAnsi" w:hAnsiTheme="majorHAnsi" w:cstheme="majorBidi"/>
      <w:b/>
      <w:bCs/>
      <w:kern w:val="28"/>
      <w:sz w:val="32"/>
      <w:szCs w:val="32"/>
    </w:rPr>
  </w:style>
  <w:style w:type="character" w:customStyle="1" w:styleId="83">
    <w:name w:val="正文文本缩进 3 Char"/>
    <w:basedOn w:val="42"/>
    <w:link w:val="30"/>
    <w:autoRedefine/>
    <w:qFormat/>
    <w:uiPriority w:val="0"/>
    <w:rPr>
      <w:kern w:val="2"/>
      <w:sz w:val="16"/>
      <w:szCs w:val="16"/>
    </w:rPr>
  </w:style>
  <w:style w:type="character" w:customStyle="1" w:styleId="84">
    <w:name w:val="正文文本 2 Char"/>
    <w:basedOn w:val="42"/>
    <w:link w:val="33"/>
    <w:autoRedefine/>
    <w:qFormat/>
    <w:uiPriority w:val="0"/>
    <w:rPr>
      <w:rFonts w:ascii="宋体"/>
      <w:bCs/>
      <w:kern w:val="2"/>
      <w:sz w:val="28"/>
      <w:szCs w:val="24"/>
    </w:rPr>
  </w:style>
  <w:style w:type="character" w:customStyle="1" w:styleId="85">
    <w:name w:val="HTML 预设格式 Char"/>
    <w:basedOn w:val="42"/>
    <w:link w:val="34"/>
    <w:autoRedefine/>
    <w:qFormat/>
    <w:uiPriority w:val="0"/>
    <w:rPr>
      <w:rFonts w:ascii="黑体" w:hAnsi="Courier New" w:eastAsia="黑体"/>
      <w:szCs w:val="21"/>
    </w:rPr>
  </w:style>
  <w:style w:type="character" w:customStyle="1" w:styleId="86">
    <w:name w:val="标题 Char"/>
    <w:basedOn w:val="42"/>
    <w:link w:val="36"/>
    <w:autoRedefine/>
    <w:qFormat/>
    <w:uiPriority w:val="0"/>
    <w:rPr>
      <w:rFonts w:ascii="Cambria" w:hAnsi="Cambria"/>
      <w:b/>
      <w:bCs/>
      <w:kern w:val="2"/>
      <w:sz w:val="32"/>
      <w:szCs w:val="32"/>
    </w:rPr>
  </w:style>
  <w:style w:type="character" w:customStyle="1" w:styleId="87">
    <w:name w:val="批注主题 Char"/>
    <w:basedOn w:val="76"/>
    <w:link w:val="37"/>
    <w:autoRedefine/>
    <w:qFormat/>
    <w:uiPriority w:val="0"/>
    <w:rPr>
      <w:rFonts w:ascii="Calibri" w:hAnsi="Calibri"/>
      <w:b/>
      <w:bCs/>
      <w:kern w:val="2"/>
      <w:sz w:val="21"/>
      <w:szCs w:val="22"/>
    </w:rPr>
  </w:style>
  <w:style w:type="paragraph" w:customStyle="1" w:styleId="88">
    <w:name w:val="缺省文本"/>
    <w:basedOn w:val="1"/>
    <w:autoRedefine/>
    <w:qFormat/>
    <w:uiPriority w:val="99"/>
    <w:pPr>
      <w:autoSpaceDE w:val="0"/>
      <w:autoSpaceDN w:val="0"/>
      <w:adjustRightInd w:val="0"/>
      <w:jc w:val="left"/>
    </w:pPr>
    <w:rPr>
      <w:kern w:val="0"/>
      <w:sz w:val="24"/>
    </w:rPr>
  </w:style>
  <w:style w:type="paragraph" w:customStyle="1" w:styleId="89">
    <w:name w:val="列出段落1"/>
    <w:basedOn w:val="1"/>
    <w:autoRedefine/>
    <w:qFormat/>
    <w:uiPriority w:val="34"/>
    <w:pPr>
      <w:ind w:firstLine="420" w:firstLineChars="200"/>
    </w:pPr>
    <w:rPr>
      <w:rFonts w:ascii="等线" w:hAnsi="等线" w:eastAsia="微软雅黑" w:cs="宋体"/>
      <w:sz w:val="24"/>
      <w:szCs w:val="22"/>
    </w:rPr>
  </w:style>
  <w:style w:type="paragraph" w:customStyle="1" w:styleId="90">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Cs w:val="32"/>
    </w:rPr>
  </w:style>
  <w:style w:type="paragraph" w:customStyle="1" w:styleId="91">
    <w:name w:val="列出段落111"/>
    <w:basedOn w:val="1"/>
    <w:autoRedefine/>
    <w:qFormat/>
    <w:uiPriority w:val="0"/>
    <w:pPr>
      <w:widowControl/>
      <w:adjustRightInd w:val="0"/>
      <w:snapToGrid w:val="0"/>
      <w:spacing w:line="440" w:lineRule="exact"/>
      <w:ind w:firstLine="420" w:firstLineChars="200"/>
      <w:jc w:val="left"/>
    </w:pPr>
    <w:rPr>
      <w:rFonts w:ascii="Tahoma" w:hAnsi="Tahoma" w:eastAsia="仿宋_GB2312"/>
      <w:kern w:val="0"/>
      <w:sz w:val="28"/>
      <w:szCs w:val="22"/>
    </w:rPr>
  </w:style>
  <w:style w:type="paragraph" w:customStyle="1" w:styleId="92">
    <w:name w:val="彩色列表 - 强调文字颜色 11"/>
    <w:basedOn w:val="1"/>
    <w:autoRedefine/>
    <w:qFormat/>
    <w:uiPriority w:val="34"/>
    <w:pPr>
      <w:spacing w:line="480" w:lineRule="auto"/>
      <w:ind w:firstLine="420" w:firstLineChars="200"/>
      <w:jc w:val="left"/>
    </w:pPr>
    <w:rPr>
      <w:rFonts w:ascii="Calibri" w:hAnsi="Calibri"/>
      <w:sz w:val="24"/>
      <w:szCs w:val="22"/>
      <w:lang w:eastAsia="zh-TW"/>
    </w:rPr>
  </w:style>
  <w:style w:type="paragraph" w:customStyle="1" w:styleId="93">
    <w:name w:val="列出段落11"/>
    <w:basedOn w:val="1"/>
    <w:autoRedefine/>
    <w:qFormat/>
    <w:uiPriority w:val="0"/>
    <w:pPr>
      <w:widowControl/>
      <w:adjustRightInd w:val="0"/>
      <w:snapToGrid w:val="0"/>
      <w:spacing w:line="440" w:lineRule="exact"/>
      <w:ind w:firstLine="420" w:firstLineChars="200"/>
      <w:jc w:val="left"/>
    </w:pPr>
    <w:rPr>
      <w:rFonts w:ascii="Tahoma" w:hAnsi="Tahoma" w:eastAsia="仿宋_GB2312"/>
      <w:kern w:val="0"/>
      <w:sz w:val="28"/>
      <w:szCs w:val="22"/>
    </w:rPr>
  </w:style>
  <w:style w:type="paragraph" w:customStyle="1" w:styleId="94">
    <w:name w:val="列出段落2"/>
    <w:basedOn w:val="1"/>
    <w:autoRedefine/>
    <w:qFormat/>
    <w:uiPriority w:val="34"/>
    <w:pPr>
      <w:ind w:firstLine="420" w:firstLineChars="200"/>
    </w:pPr>
    <w:rPr>
      <w:rFonts w:ascii="等线" w:hAnsi="等线" w:eastAsia="微软雅黑" w:cs="宋体"/>
      <w:sz w:val="24"/>
      <w:szCs w:val="22"/>
    </w:rPr>
  </w:style>
  <w:style w:type="paragraph" w:customStyle="1" w:styleId="95">
    <w:name w:val="_Style 2"/>
    <w:basedOn w:val="1"/>
    <w:autoRedefine/>
    <w:qFormat/>
    <w:uiPriority w:val="0"/>
    <w:pPr>
      <w:ind w:firstLine="420" w:firstLineChars="200"/>
    </w:pPr>
    <w:rPr>
      <w:rFonts w:ascii="Calibri" w:hAnsi="Calibri"/>
      <w:sz w:val="24"/>
      <w:szCs w:val="22"/>
    </w:rPr>
  </w:style>
  <w:style w:type="paragraph" w:customStyle="1" w:styleId="96">
    <w:name w:val="p0"/>
    <w:basedOn w:val="1"/>
    <w:autoRedefine/>
    <w:qFormat/>
    <w:uiPriority w:val="0"/>
    <w:pPr>
      <w:widowControl/>
    </w:pPr>
    <w:rPr>
      <w:kern w:val="0"/>
      <w:sz w:val="32"/>
      <w:szCs w:val="32"/>
    </w:rPr>
  </w:style>
  <w:style w:type="paragraph" w:customStyle="1" w:styleId="97">
    <w:name w:val="_Style 1"/>
    <w:basedOn w:val="1"/>
    <w:autoRedefine/>
    <w:qFormat/>
    <w:uiPriority w:val="34"/>
    <w:pPr>
      <w:ind w:firstLine="420" w:firstLineChars="200"/>
    </w:pPr>
    <w:rPr>
      <w:rFonts w:ascii="等线" w:hAnsi="等线" w:eastAsia="微软雅黑" w:cs="宋体"/>
      <w:sz w:val="24"/>
      <w:szCs w:val="22"/>
    </w:rPr>
  </w:style>
  <w:style w:type="paragraph" w:customStyle="1" w:styleId="98">
    <w:name w:val="Char Char Char Char Char Char Char Char Char Char Char Char"/>
    <w:basedOn w:val="1"/>
    <w:autoRedefine/>
    <w:qFormat/>
    <w:uiPriority w:val="0"/>
    <w:pPr>
      <w:spacing w:line="300" w:lineRule="auto"/>
    </w:pPr>
    <w:rPr>
      <w:rFonts w:ascii="宋体" w:hAnsi="宋体"/>
      <w:b/>
      <w:bCs/>
      <w:color w:val="000000"/>
      <w:spacing w:val="8"/>
      <w:kern w:val="0"/>
      <w:sz w:val="24"/>
    </w:rPr>
  </w:style>
  <w:style w:type="paragraph" w:customStyle="1" w:styleId="99">
    <w:name w:val="Char"/>
    <w:basedOn w:val="1"/>
    <w:autoRedefine/>
    <w:qFormat/>
    <w:uiPriority w:val="0"/>
    <w:pPr>
      <w:tabs>
        <w:tab w:val="left" w:pos="432"/>
      </w:tabs>
      <w:spacing w:beforeLines="50" w:afterLines="50"/>
      <w:ind w:left="864" w:hanging="432"/>
    </w:pPr>
    <w:rPr>
      <w:szCs w:val="20"/>
    </w:rPr>
  </w:style>
  <w:style w:type="paragraph" w:customStyle="1" w:styleId="100">
    <w:name w:val="Char Char Char1 Char Char Char"/>
    <w:basedOn w:val="1"/>
    <w:autoRedefine/>
    <w:qFormat/>
    <w:uiPriority w:val="0"/>
    <w:rPr>
      <w:rFonts w:ascii="仿宋_GB2312" w:eastAsia="仿宋_GB2312"/>
      <w:b/>
      <w:sz w:val="32"/>
      <w:szCs w:val="32"/>
    </w:rPr>
  </w:style>
  <w:style w:type="paragraph" w:customStyle="1" w:styleId="101">
    <w:name w:val="样式7"/>
    <w:basedOn w:val="1"/>
    <w:autoRedefine/>
    <w:qFormat/>
    <w:uiPriority w:val="0"/>
    <w:pPr>
      <w:spacing w:line="360" w:lineRule="auto"/>
      <w:ind w:right="210" w:firstLine="540" w:firstLineChars="225"/>
    </w:pPr>
    <w:rPr>
      <w:rFonts w:ascii="宋体" w:hAnsi="宋体"/>
      <w:kern w:val="0"/>
      <w:sz w:val="24"/>
    </w:rPr>
  </w:style>
  <w:style w:type="paragraph" w:customStyle="1" w:styleId="102">
    <w:name w:val="??"/>
    <w:autoRedefine/>
    <w:qFormat/>
    <w:uiPriority w:val="0"/>
    <w:pPr>
      <w:widowControl w:val="0"/>
      <w:autoSpaceDE w:val="0"/>
      <w:autoSpaceDN w:val="0"/>
      <w:adjustRightInd w:val="0"/>
      <w:spacing w:line="312" w:lineRule="atLeast"/>
      <w:jc w:val="both"/>
      <w:textAlignment w:val="baseline"/>
    </w:pPr>
    <w:rPr>
      <w:rFonts w:ascii="Times New Roman" w:hAnsi="Times New Roman" w:eastAsia="??" w:cs="Times New Roman"/>
      <w:sz w:val="21"/>
      <w:lang w:val="en-US" w:eastAsia="zh-CN" w:bidi="ar-SA"/>
    </w:rPr>
  </w:style>
  <w:style w:type="paragraph" w:customStyle="1" w:styleId="103">
    <w:name w:val="xl25"/>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04">
    <w:name w:val="Char Char Char"/>
    <w:basedOn w:val="1"/>
    <w:link w:val="105"/>
    <w:autoRedefine/>
    <w:qFormat/>
    <w:uiPriority w:val="0"/>
    <w:rPr>
      <w:rFonts w:ascii="仿宋_GB2312" w:eastAsia="仿宋_GB2312"/>
      <w:b/>
      <w:sz w:val="32"/>
      <w:szCs w:val="32"/>
    </w:rPr>
  </w:style>
  <w:style w:type="character" w:customStyle="1" w:styleId="105">
    <w:name w:val="Char Char Char Char"/>
    <w:link w:val="104"/>
    <w:autoRedefine/>
    <w:qFormat/>
    <w:uiPriority w:val="0"/>
    <w:rPr>
      <w:rFonts w:ascii="仿宋_GB2312" w:eastAsia="仿宋_GB2312"/>
      <w:b/>
      <w:kern w:val="2"/>
      <w:sz w:val="32"/>
      <w:szCs w:val="32"/>
    </w:rPr>
  </w:style>
  <w:style w:type="paragraph" w:customStyle="1" w:styleId="106">
    <w:name w:val="Char1"/>
    <w:basedOn w:val="1"/>
    <w:autoRedefine/>
    <w:qFormat/>
    <w:uiPriority w:val="0"/>
    <w:pPr>
      <w:tabs>
        <w:tab w:val="left" w:pos="432"/>
      </w:tabs>
      <w:ind w:left="432" w:hanging="432"/>
    </w:pPr>
    <w:rPr>
      <w:rFonts w:ascii="Tahoma" w:hAnsi="Tahoma"/>
      <w:sz w:val="24"/>
      <w:szCs w:val="20"/>
    </w:rPr>
  </w:style>
  <w:style w:type="paragraph" w:customStyle="1" w:styleId="107">
    <w:name w:val="style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8">
    <w:name w:val="默认段落字体 Para Char"/>
    <w:basedOn w:val="1"/>
    <w:autoRedefine/>
    <w:qFormat/>
    <w:uiPriority w:val="0"/>
    <w:pPr>
      <w:adjustRightInd w:val="0"/>
      <w:spacing w:line="360" w:lineRule="auto"/>
    </w:pPr>
    <w:rPr>
      <w:kern w:val="0"/>
      <w:sz w:val="24"/>
      <w:szCs w:val="20"/>
    </w:rPr>
  </w:style>
  <w:style w:type="paragraph" w:customStyle="1" w:styleId="109">
    <w:name w:val="style1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10">
    <w:name w:val="apple-converted-space"/>
    <w:basedOn w:val="42"/>
    <w:autoRedefine/>
    <w:qFormat/>
    <w:uiPriority w:val="0"/>
  </w:style>
  <w:style w:type="paragraph" w:customStyle="1" w:styleId="111">
    <w:name w:val="样式4"/>
    <w:basedOn w:val="11"/>
    <w:autoRedefine/>
    <w:qFormat/>
    <w:uiPriority w:val="0"/>
    <w:pPr>
      <w:tabs>
        <w:tab w:val="left" w:pos="0"/>
      </w:tabs>
      <w:spacing w:before="72" w:after="0" w:line="360" w:lineRule="exact"/>
      <w:jc w:val="center"/>
    </w:pPr>
    <w:rPr>
      <w:rFonts w:ascii="宋体" w:hAnsi="宋体"/>
      <w:sz w:val="24"/>
      <w:szCs w:val="20"/>
    </w:rPr>
  </w:style>
  <w:style w:type="paragraph" w:customStyle="1" w:styleId="112">
    <w:name w:val="Char Char Char Char Char Char Char"/>
    <w:basedOn w:val="1"/>
    <w:autoRedefine/>
    <w:qFormat/>
    <w:uiPriority w:val="0"/>
    <w:pPr>
      <w:tabs>
        <w:tab w:val="left" w:pos="432"/>
      </w:tabs>
      <w:ind w:left="432" w:hanging="432"/>
    </w:pPr>
    <w:rPr>
      <w:rFonts w:ascii="Tahoma" w:hAnsi="Tahoma"/>
      <w:sz w:val="24"/>
      <w:szCs w:val="20"/>
    </w:rPr>
  </w:style>
  <w:style w:type="character" w:customStyle="1" w:styleId="113">
    <w:name w:val="marklong"/>
    <w:basedOn w:val="42"/>
    <w:autoRedefine/>
    <w:qFormat/>
    <w:uiPriority w:val="0"/>
  </w:style>
  <w:style w:type="character" w:customStyle="1" w:styleId="114">
    <w:name w:val="mark"/>
    <w:basedOn w:val="42"/>
    <w:autoRedefine/>
    <w:qFormat/>
    <w:uiPriority w:val="0"/>
  </w:style>
  <w:style w:type="character" w:customStyle="1" w:styleId="115">
    <w:name w:val="mark8"/>
    <w:autoRedefine/>
    <w:qFormat/>
    <w:uiPriority w:val="0"/>
    <w:rPr>
      <w:b/>
      <w:bCs/>
      <w:sz w:val="21"/>
      <w:szCs w:val="21"/>
    </w:rPr>
  </w:style>
  <w:style w:type="paragraph" w:customStyle="1" w:styleId="116">
    <w:name w:val="Char Char Char Char Char Char Char Char Char Char Char Char Char Char Char Char"/>
    <w:basedOn w:val="1"/>
    <w:autoRedefine/>
    <w:qFormat/>
    <w:uiPriority w:val="0"/>
    <w:pPr>
      <w:tabs>
        <w:tab w:val="left" w:pos="360"/>
      </w:tabs>
      <w:spacing w:line="360" w:lineRule="auto"/>
      <w:ind w:left="-2" w:leftChars="-1" w:firstLine="360" w:firstLineChars="150"/>
    </w:pPr>
    <w:rPr>
      <w:rFonts w:ascii="宋体"/>
      <w:sz w:val="24"/>
    </w:rPr>
  </w:style>
  <w:style w:type="paragraph" w:customStyle="1" w:styleId="117">
    <w:name w:val="正文－5"/>
    <w:autoRedefine/>
    <w:qFormat/>
    <w:uiPriority w:val="0"/>
    <w:pPr>
      <w:tabs>
        <w:tab w:val="left" w:pos="354"/>
      </w:tabs>
      <w:jc w:val="both"/>
    </w:pPr>
    <w:rPr>
      <w:rFonts w:ascii="宋体" w:hAnsi="宋体" w:eastAsia="宋体" w:cs="Times New Roman"/>
      <w:kern w:val="2"/>
      <w:sz w:val="24"/>
      <w:szCs w:val="24"/>
      <w:lang w:val="en-US" w:eastAsia="zh-CN" w:bidi="ar-SA"/>
    </w:rPr>
  </w:style>
  <w:style w:type="paragraph" w:customStyle="1" w:styleId="118">
    <w:name w:val="Char2 Char Char Char"/>
    <w:basedOn w:val="1"/>
    <w:autoRedefine/>
    <w:qFormat/>
    <w:uiPriority w:val="0"/>
    <w:rPr>
      <w:rFonts w:ascii="仿宋_GB2312" w:eastAsia="仿宋_GB2312"/>
      <w:b/>
      <w:sz w:val="32"/>
      <w:szCs w:val="32"/>
    </w:rPr>
  </w:style>
  <w:style w:type="character" w:customStyle="1" w:styleId="119">
    <w:name w:val="apple-style-span"/>
    <w:basedOn w:val="42"/>
    <w:autoRedefine/>
    <w:qFormat/>
    <w:uiPriority w:val="0"/>
  </w:style>
  <w:style w:type="paragraph" w:customStyle="1" w:styleId="120">
    <w:name w:val="标书正文1"/>
    <w:basedOn w:val="1"/>
    <w:autoRedefine/>
    <w:qFormat/>
    <w:uiPriority w:val="0"/>
    <w:pPr>
      <w:tabs>
        <w:tab w:val="left" w:pos="5730"/>
        <w:tab w:val="left" w:pos="8280"/>
      </w:tabs>
      <w:adjustRightInd w:val="0"/>
      <w:snapToGrid w:val="0"/>
      <w:spacing w:line="360" w:lineRule="auto"/>
      <w:ind w:firstLine="480" w:firstLineChars="200"/>
    </w:pPr>
    <w:rPr>
      <w:rFonts w:ascii="宋体" w:hAnsi="宋体"/>
      <w:kern w:val="28"/>
      <w:sz w:val="24"/>
    </w:rPr>
  </w:style>
  <w:style w:type="paragraph" w:customStyle="1" w:styleId="121">
    <w:name w:val="Char Char Char1"/>
    <w:basedOn w:val="1"/>
    <w:autoRedefine/>
    <w:qFormat/>
    <w:uiPriority w:val="0"/>
    <w:rPr>
      <w:rFonts w:ascii="仿宋_GB2312" w:eastAsia="仿宋_GB2312"/>
      <w:b/>
      <w:sz w:val="32"/>
      <w:szCs w:val="32"/>
    </w:rPr>
  </w:style>
  <w:style w:type="character" w:customStyle="1" w:styleId="122">
    <w:name w:val="unnamed11"/>
    <w:autoRedefine/>
    <w:qFormat/>
    <w:uiPriority w:val="0"/>
    <w:rPr>
      <w:color w:val="000033"/>
      <w:sz w:val="20"/>
      <w:szCs w:val="20"/>
    </w:rPr>
  </w:style>
  <w:style w:type="paragraph" w:customStyle="1" w:styleId="123">
    <w:name w:val="Char1 Char Char"/>
    <w:basedOn w:val="1"/>
    <w:autoRedefine/>
    <w:qFormat/>
    <w:uiPriority w:val="0"/>
    <w:rPr>
      <w:rFonts w:ascii="仿宋_GB2312" w:eastAsia="仿宋_GB2312"/>
      <w:b/>
      <w:sz w:val="32"/>
      <w:szCs w:val="32"/>
    </w:rPr>
  </w:style>
  <w:style w:type="character" w:customStyle="1" w:styleId="124">
    <w:name w:val="at_0"/>
    <w:basedOn w:val="42"/>
    <w:autoRedefine/>
    <w:qFormat/>
    <w:uiPriority w:val="0"/>
  </w:style>
  <w:style w:type="paragraph" w:customStyle="1" w:styleId="125">
    <w:name w:val="Char Char1 Char"/>
    <w:basedOn w:val="1"/>
    <w:autoRedefine/>
    <w:qFormat/>
    <w:uiPriority w:val="0"/>
    <w:rPr>
      <w:rFonts w:ascii="仿宋_GB2312" w:eastAsia="仿宋_GB2312"/>
      <w:b/>
      <w:sz w:val="32"/>
      <w:szCs w:val="32"/>
    </w:rPr>
  </w:style>
  <w:style w:type="paragraph" w:customStyle="1" w:styleId="126">
    <w:name w:val="Char 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7">
    <w:name w:val="Char Char Char Char1"/>
    <w:basedOn w:val="9"/>
    <w:autoRedefine/>
    <w:qFormat/>
    <w:uiPriority w:val="0"/>
    <w:pPr>
      <w:adjustRightInd w:val="0"/>
      <w:snapToGrid w:val="0"/>
      <w:spacing w:line="360" w:lineRule="auto"/>
    </w:pPr>
    <w:rPr>
      <w:rFonts w:ascii="Tahoma" w:hAnsi="Tahoma"/>
      <w:sz w:val="24"/>
      <w:szCs w:val="24"/>
    </w:rPr>
  </w:style>
  <w:style w:type="character" w:customStyle="1" w:styleId="128">
    <w:name w:val="普通文字 Char Char"/>
    <w:autoRedefine/>
    <w:qFormat/>
    <w:uiPriority w:val="0"/>
    <w:rPr>
      <w:rFonts w:ascii="宋体" w:hAnsi="Courier New" w:eastAsia="宋体"/>
      <w:kern w:val="2"/>
      <w:sz w:val="21"/>
      <w:lang w:val="en-US" w:eastAsia="zh-CN" w:bidi="ar-SA"/>
    </w:rPr>
  </w:style>
  <w:style w:type="character" w:customStyle="1" w:styleId="129">
    <w:name w:val="正文内容 Char1"/>
    <w:link w:val="130"/>
    <w:autoRedefine/>
    <w:qFormat/>
    <w:uiPriority w:val="0"/>
    <w:rPr>
      <w:sz w:val="24"/>
      <w:szCs w:val="24"/>
    </w:rPr>
  </w:style>
  <w:style w:type="paragraph" w:customStyle="1" w:styleId="130">
    <w:name w:val="正文内容"/>
    <w:basedOn w:val="1"/>
    <w:link w:val="129"/>
    <w:autoRedefine/>
    <w:qFormat/>
    <w:uiPriority w:val="0"/>
    <w:pPr>
      <w:spacing w:line="400" w:lineRule="exact"/>
      <w:ind w:firstLine="480" w:firstLineChars="200"/>
    </w:pPr>
    <w:rPr>
      <w:kern w:val="0"/>
      <w:sz w:val="24"/>
    </w:rPr>
  </w:style>
  <w:style w:type="character" w:customStyle="1" w:styleId="131">
    <w:name w:val="书籍标题1"/>
    <w:autoRedefine/>
    <w:qFormat/>
    <w:uiPriority w:val="0"/>
    <w:rPr>
      <w:b/>
      <w:smallCaps/>
      <w:spacing w:val="5"/>
    </w:rPr>
  </w:style>
  <w:style w:type="paragraph" w:customStyle="1" w:styleId="132">
    <w:name w:val="包正文"/>
    <w:basedOn w:val="1"/>
    <w:link w:val="133"/>
    <w:autoRedefine/>
    <w:qFormat/>
    <w:uiPriority w:val="0"/>
    <w:pPr>
      <w:spacing w:line="360" w:lineRule="auto"/>
      <w:ind w:firstLine="480" w:firstLineChars="200"/>
      <w:jc w:val="left"/>
    </w:pPr>
    <w:rPr>
      <w:rFonts w:ascii="宋体" w:hAnsi="宋体"/>
      <w:sz w:val="24"/>
    </w:rPr>
  </w:style>
  <w:style w:type="character" w:customStyle="1" w:styleId="133">
    <w:name w:val="包正文 Char"/>
    <w:link w:val="132"/>
    <w:autoRedefine/>
    <w:qFormat/>
    <w:uiPriority w:val="0"/>
    <w:rPr>
      <w:rFonts w:ascii="宋体" w:hAnsi="宋体"/>
      <w:kern w:val="2"/>
      <w:sz w:val="24"/>
      <w:szCs w:val="24"/>
    </w:rPr>
  </w:style>
  <w:style w:type="paragraph" w:customStyle="1" w:styleId="134">
    <w:name w:val="样式 标题 3 + 宋体 五号"/>
    <w:basedOn w:val="4"/>
    <w:link w:val="135"/>
    <w:autoRedefine/>
    <w:qFormat/>
    <w:uiPriority w:val="0"/>
    <w:pPr>
      <w:spacing w:line="240" w:lineRule="auto"/>
    </w:pPr>
    <w:rPr>
      <w:rFonts w:ascii="宋体" w:hAnsi="宋体"/>
      <w:sz w:val="21"/>
    </w:rPr>
  </w:style>
  <w:style w:type="character" w:customStyle="1" w:styleId="135">
    <w:name w:val="样式 标题 3 + 宋体 五号 Char"/>
    <w:link w:val="134"/>
    <w:autoRedefine/>
    <w:qFormat/>
    <w:uiPriority w:val="0"/>
    <w:rPr>
      <w:rFonts w:ascii="宋体" w:hAnsi="宋体"/>
      <w:b/>
      <w:bCs/>
      <w:kern w:val="2"/>
      <w:sz w:val="21"/>
      <w:szCs w:val="32"/>
    </w:rPr>
  </w:style>
  <w:style w:type="character" w:customStyle="1" w:styleId="136">
    <w:name w:val="Footer-Even Char Char"/>
    <w:autoRedefine/>
    <w:qFormat/>
    <w:uiPriority w:val="0"/>
    <w:rPr>
      <w:rFonts w:eastAsia="宋体"/>
      <w:kern w:val="2"/>
      <w:sz w:val="18"/>
      <w:szCs w:val="18"/>
      <w:lang w:val="en-US" w:eastAsia="zh-CN" w:bidi="ar-SA"/>
    </w:rPr>
  </w:style>
  <w:style w:type="paragraph" w:customStyle="1" w:styleId="137">
    <w:name w:val="纯文本1"/>
    <w:basedOn w:val="1"/>
    <w:autoRedefine/>
    <w:qFormat/>
    <w:uiPriority w:val="0"/>
    <w:rPr>
      <w:rFonts w:ascii="宋体" w:hAnsi="Courier New" w:cs="Courier New"/>
      <w:szCs w:val="21"/>
    </w:rPr>
  </w:style>
  <w:style w:type="paragraph" w:customStyle="1" w:styleId="138">
    <w:name w:val="正文文本缩进1"/>
    <w:basedOn w:val="1"/>
    <w:autoRedefine/>
    <w:qFormat/>
    <w:uiPriority w:val="0"/>
    <w:pPr>
      <w:spacing w:after="120"/>
      <w:ind w:left="420" w:leftChars="200"/>
    </w:pPr>
    <w:rPr>
      <w:rFonts w:ascii="Calibri" w:hAnsi="Calibri" w:cs="黑体"/>
      <w:szCs w:val="22"/>
    </w:rPr>
  </w:style>
  <w:style w:type="paragraph" w:styleId="13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Char4"/>
    <w:basedOn w:val="1"/>
    <w:autoRedefine/>
    <w:qFormat/>
    <w:uiPriority w:val="0"/>
    <w:rPr>
      <w:position w:val="-6"/>
    </w:rPr>
  </w:style>
  <w:style w:type="character" w:customStyle="1" w:styleId="141">
    <w:name w:val="样式 标题 3 + 宋体 五号 Char Char"/>
    <w:autoRedefine/>
    <w:qFormat/>
    <w:uiPriority w:val="0"/>
    <w:rPr>
      <w:rFonts w:ascii="宋体" w:hAnsi="宋体" w:eastAsia="宋体"/>
      <w:b/>
      <w:bCs/>
      <w:kern w:val="2"/>
      <w:sz w:val="21"/>
      <w:szCs w:val="32"/>
      <w:lang w:val="en-US" w:eastAsia="zh-CN" w:bidi="ar-SA"/>
    </w:rPr>
  </w:style>
  <w:style w:type="character" w:customStyle="1" w:styleId="142">
    <w:name w:val="样式 左用 Char Char"/>
    <w:link w:val="143"/>
    <w:autoRedefine/>
    <w:qFormat/>
    <w:uiPriority w:val="0"/>
    <w:rPr>
      <w:rFonts w:ascii="宋体" w:hAnsi="宋体" w:cs="宋体"/>
      <w:sz w:val="32"/>
      <w:szCs w:val="32"/>
    </w:rPr>
  </w:style>
  <w:style w:type="paragraph" w:customStyle="1" w:styleId="143">
    <w:name w:val="样式 左用"/>
    <w:basedOn w:val="1"/>
    <w:link w:val="142"/>
    <w:autoRedefine/>
    <w:qFormat/>
    <w:uiPriority w:val="0"/>
    <w:pPr>
      <w:spacing w:line="360" w:lineRule="auto"/>
      <w:jc w:val="left"/>
    </w:pPr>
    <w:rPr>
      <w:rFonts w:ascii="宋体" w:hAnsi="宋体" w:cs="宋体"/>
      <w:kern w:val="0"/>
      <w:sz w:val="32"/>
      <w:szCs w:val="32"/>
    </w:rPr>
  </w:style>
  <w:style w:type="character" w:customStyle="1" w:styleId="144">
    <w:name w:val="Char Char3"/>
    <w:link w:val="145"/>
    <w:autoRedefine/>
    <w:qFormat/>
    <w:uiPriority w:val="0"/>
    <w:rPr>
      <w:rFonts w:ascii="宋体" w:hAnsi="宋体" w:cs="Gulim"/>
      <w:color w:val="000000"/>
      <w:szCs w:val="21"/>
    </w:rPr>
  </w:style>
  <w:style w:type="paragraph" w:customStyle="1" w:styleId="145">
    <w:name w:val="正文2"/>
    <w:next w:val="1"/>
    <w:link w:val="144"/>
    <w:autoRedefine/>
    <w:qFormat/>
    <w:uiPriority w:val="0"/>
    <w:pPr>
      <w:spacing w:line="360" w:lineRule="auto"/>
      <w:jc w:val="center"/>
    </w:pPr>
    <w:rPr>
      <w:rFonts w:ascii="宋体" w:hAnsi="宋体" w:eastAsia="宋体" w:cs="Gulim"/>
      <w:color w:val="000000"/>
      <w:szCs w:val="21"/>
      <w:lang w:val="en-US" w:eastAsia="zh-CN" w:bidi="ar-SA"/>
    </w:rPr>
  </w:style>
  <w:style w:type="character" w:customStyle="1" w:styleId="146">
    <w:name w:val="Header Char_60ce4aed-08b6-4d1c-b050-4344269c97ec"/>
    <w:autoRedefine/>
    <w:qFormat/>
    <w:uiPriority w:val="0"/>
    <w:rPr>
      <w:rFonts w:ascii="Calibri" w:hAnsi="Calibri" w:eastAsia="宋体"/>
      <w:kern w:val="2"/>
      <w:sz w:val="18"/>
      <w:lang w:val="en-US" w:eastAsia="zh-CN"/>
    </w:rPr>
  </w:style>
  <w:style w:type="character" w:customStyle="1" w:styleId="147">
    <w:name w:val="样式 左用 Char Char Char"/>
    <w:autoRedefine/>
    <w:qFormat/>
    <w:uiPriority w:val="0"/>
    <w:rPr>
      <w:rFonts w:ascii="宋体" w:hAnsi="宋体" w:eastAsia="宋体"/>
      <w:bCs/>
      <w:kern w:val="2"/>
      <w:sz w:val="21"/>
      <w:szCs w:val="32"/>
      <w:lang w:val="en-US" w:eastAsia="zh-CN" w:bidi="ar-SA"/>
    </w:rPr>
  </w:style>
  <w:style w:type="paragraph" w:customStyle="1" w:styleId="148">
    <w:name w:val="样式 宋体 表格文字2"/>
    <w:basedOn w:val="145"/>
    <w:next w:val="145"/>
    <w:autoRedefine/>
    <w:qFormat/>
    <w:uiPriority w:val="0"/>
  </w:style>
  <w:style w:type="paragraph" w:customStyle="1" w:styleId="149">
    <w:name w:val="Char1 Char Char Char Char Char Char"/>
    <w:basedOn w:val="1"/>
    <w:autoRedefine/>
    <w:qFormat/>
    <w:uiPriority w:val="0"/>
    <w:rPr>
      <w:rFonts w:ascii="Tahoma" w:hAnsi="Tahoma"/>
      <w:sz w:val="24"/>
      <w:szCs w:val="20"/>
    </w:rPr>
  </w:style>
  <w:style w:type="paragraph" w:customStyle="1" w:styleId="150">
    <w:name w:val="TOC 标题2"/>
    <w:basedOn w:val="2"/>
    <w:next w:val="1"/>
    <w:autoRedefine/>
    <w:qFormat/>
    <w:uiPriority w:val="0"/>
    <w:pPr>
      <w:widowControl/>
      <w:spacing w:before="480" w:after="0" w:line="276" w:lineRule="auto"/>
      <w:jc w:val="left"/>
      <w:outlineLvl w:val="9"/>
    </w:pPr>
    <w:rPr>
      <w:rFonts w:ascii="Cambria" w:hAnsi="Cambria" w:cs="Cambria"/>
      <w:color w:val="365F91"/>
      <w:kern w:val="0"/>
      <w:sz w:val="28"/>
      <w:szCs w:val="28"/>
    </w:rPr>
  </w:style>
  <w:style w:type="character" w:customStyle="1" w:styleId="151">
    <w:name w:val="书籍标题2"/>
    <w:autoRedefine/>
    <w:qFormat/>
    <w:uiPriority w:val="0"/>
    <w:rPr>
      <w:b/>
      <w:bCs/>
      <w:smallCaps/>
      <w:spacing w:val="5"/>
    </w:rPr>
  </w:style>
  <w:style w:type="paragraph" w:customStyle="1" w:styleId="152">
    <w:name w:val="表格"/>
    <w:basedOn w:val="1"/>
    <w:autoRedefine/>
    <w:qFormat/>
    <w:uiPriority w:val="0"/>
    <w:rPr>
      <w:rFonts w:ascii="宋体" w:hAnsi="宋体" w:cs="宋体"/>
      <w:sz w:val="24"/>
    </w:rPr>
  </w:style>
  <w:style w:type="paragraph" w:customStyle="1" w:styleId="153">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列表段落1"/>
    <w:basedOn w:val="1"/>
    <w:autoRedefine/>
    <w:qFormat/>
    <w:uiPriority w:val="99"/>
    <w:pPr>
      <w:ind w:firstLine="420" w:firstLineChars="200"/>
    </w:pPr>
    <w:rPr>
      <w:rFonts w:ascii="Calibri" w:hAnsi="Calibri"/>
      <w:szCs w:val="22"/>
    </w:rPr>
  </w:style>
  <w:style w:type="character" w:customStyle="1" w:styleId="155">
    <w:name w:val="页脚 字符1"/>
    <w:basedOn w:val="42"/>
    <w:autoRedefine/>
    <w:semiHidden/>
    <w:qFormat/>
    <w:uiPriority w:val="99"/>
    <w:rPr>
      <w:kern w:val="2"/>
      <w:sz w:val="18"/>
      <w:szCs w:val="18"/>
    </w:rPr>
  </w:style>
  <w:style w:type="paragraph" w:customStyle="1" w:styleId="156">
    <w:name w:val="_Style 9"/>
    <w:basedOn w:val="1"/>
    <w:autoRedefine/>
    <w:qFormat/>
    <w:uiPriority w:val="0"/>
    <w:pPr>
      <w:widowControl/>
      <w:ind w:left="482"/>
    </w:pPr>
    <w:rPr>
      <w:szCs w:val="20"/>
    </w:rPr>
  </w:style>
  <w:style w:type="character" w:customStyle="1" w:styleId="157">
    <w:name w:val="fontstyle01"/>
    <w:basedOn w:val="42"/>
    <w:autoRedefine/>
    <w:qFormat/>
    <w:uiPriority w:val="0"/>
    <w:rPr>
      <w:rFonts w:hint="eastAsia" w:ascii="宋体" w:hAnsi="宋体" w:eastAsia="宋体"/>
      <w:color w:val="000000"/>
      <w:sz w:val="24"/>
      <w:szCs w:val="24"/>
    </w:rPr>
  </w:style>
  <w:style w:type="character" w:customStyle="1" w:styleId="158">
    <w:name w:val="hover18"/>
    <w:basedOn w:val="42"/>
    <w:autoRedefine/>
    <w:qFormat/>
    <w:uiPriority w:val="0"/>
  </w:style>
  <w:style w:type="character" w:customStyle="1" w:styleId="159">
    <w:name w:val="NormalCharacter"/>
    <w:link w:val="160"/>
    <w:autoRedefine/>
    <w:semiHidden/>
    <w:qFormat/>
    <w:uiPriority w:val="0"/>
    <w:rPr>
      <w:rFonts w:ascii="Tahoma" w:hAnsi="Tahoma" w:eastAsia="宋体"/>
      <w:spacing w:val="6"/>
      <w:kern w:val="2"/>
      <w:sz w:val="24"/>
      <w:szCs w:val="20"/>
      <w:lang w:val="en-US" w:eastAsia="zh-CN" w:bidi="ar-SA"/>
    </w:rPr>
  </w:style>
  <w:style w:type="paragraph" w:customStyle="1" w:styleId="160">
    <w:name w:val="UserStyle_1"/>
    <w:basedOn w:val="1"/>
    <w:link w:val="159"/>
    <w:qFormat/>
    <w:uiPriority w:val="0"/>
    <w:pPr>
      <w:tabs>
        <w:tab w:val="right" w:pos="-2120"/>
      </w:tabs>
      <w:snapToGrid w:val="0"/>
      <w:jc w:val="both"/>
      <w:textAlignment w:val="baseline"/>
    </w:pPr>
    <w:rPr>
      <w:rFonts w:ascii="Tahoma" w:hAnsi="Tahoma" w:eastAsia="宋体"/>
      <w:spacing w:val="6"/>
      <w:kern w:val="2"/>
      <w:sz w:val="24"/>
      <w:szCs w:val="20"/>
      <w:lang w:val="en-US" w:eastAsia="zh-CN" w:bidi="ar-SA"/>
    </w:rPr>
  </w:style>
  <w:style w:type="paragraph" w:customStyle="1" w:styleId="161">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162">
    <w:name w:val="表文"/>
    <w:basedOn w:val="1"/>
    <w:qFormat/>
    <w:uiPriority w:val="0"/>
    <w:pPr>
      <w:spacing w:line="360" w:lineRule="exact"/>
      <w:jc w:val="center"/>
    </w:pPr>
    <w:rPr>
      <w:sz w:val="24"/>
    </w:rPr>
  </w:style>
  <w:style w:type="paragraph" w:customStyle="1" w:styleId="16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2" Type="http://schemas.openxmlformats.org/officeDocument/2006/relationships/image" Target="file:///C:\Program%2525252525252525252525252525252525252525252525252525252525252525252525252520Files\Tencent\QQ\Users\763502907\Image\0254824F-E245-4015-824E-9E252A54E140.jpg"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ADF3A1-FF11-4DC5-A91E-30C36B576DCB}">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56</Pages>
  <Words>2254</Words>
  <Characters>2669</Characters>
  <Lines>199</Lines>
  <Paragraphs>56</Paragraphs>
  <TotalTime>3</TotalTime>
  <ScaleCrop>false</ScaleCrop>
  <LinksUpToDate>false</LinksUpToDate>
  <CharactersWithSpaces>2765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2020-12-31T00:18:00Z</dcterms:created>
  <dc:creator>微软中国</dc:creator>
  <cp:lastModifiedBy>朱文</cp:lastModifiedBy>
  <cp:lastPrinted>2024-03-29T02:45:00Z</cp:lastPrinted>
  <dcterms:modified xsi:type="dcterms:W3CDTF">2025-12-04T11:44:23Z</dcterms:modified>
  <dc:title>驻马店市政府采购货物项目</dc:title>
  <cp:revision>3148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F0150065D1A34DF5BDC54289D4469F3F_13</vt:lpwstr>
  </property>
  <property fmtid="{D5CDD505-2E9C-101B-9397-08002B2CF9AE}" pid="4" name="KSOTemplateDocerSaveRecord">
    <vt:lpwstr>eyJoZGlkIjoiYTUxZWI5MjM0MGFlZWVlNGFhODE0MzAzMTlmMDAzNGQiLCJ1c2VySWQiOiIxNjg0NDk5MjQ2In0=</vt:lpwstr>
  </property>
</Properties>
</file>